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Business Continuity Policy Policy Statement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Policy Statement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is committed to maintaining a comprehensive Business Continuity Management System (BCMS) to ensure the timely and effective response to any disruption or interruption of critical business processes. The BCMS aims to minimize the impact of disruptions on business operations, protect the interests of stakeholders, and ensure the continuity of services to customers.</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Scope </w:t>
      </w: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policy applies to all business operations, processes, and systems that are critical to the organization's ability to deliver products and services to customers. The policy covers all employees, contractors, and other stakeholders who are involved in the development, implementation, and maintenance of the BCMS.</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Business Continuity Objectives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objectives of the BCMS are as follows: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To identify, assess, and manage risks to critical business operations and services.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To establish and maintain effective business continuity strategies and plans.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To provide training and awareness programs for employees and stakeholders.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To test and validate the effectiveness of the BCMS.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To continually improve the BCMS through ongoing monitoring, review, and update.</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Roles and Responsibilities</w:t>
      </w:r>
      <w:r w:rsidDel="00000000" w:rsidR="00000000" w:rsidRPr="00000000">
        <w:rPr>
          <w:rFonts w:ascii="Roboto" w:cs="Roboto" w:eastAsia="Roboto" w:hAnsi="Roboto"/>
          <w:sz w:val="21"/>
          <w:szCs w:val="21"/>
          <w:rtl w:val="0"/>
        </w:rPr>
        <w:t xml:space="preserve"> : The following roles and responsibilities are defined for the effective implementation of the BCMS: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Executive Management Team is responsible for providing the necessary resources and support for the development, implementation, and maintenance of the BCMS.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Business Continuity Management Team is responsible for the development, implementation, and maintenance of the BCMS.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All employees and stakeholders are responsible for following the procedures and processes defined in the BCMS.</w:t>
      </w:r>
    </w:p>
    <w:p w:rsidR="00000000" w:rsidDel="00000000" w:rsidP="00000000" w:rsidRDefault="00000000" w:rsidRPr="00000000" w14:paraId="0000001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Risk Assessment and Management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shall perform regular risk assessments to identify potential threats and vulnerabilities to critical business processes and services. Risk management strategies shall be developed to mitigate the identified risks and ensure the continuity of services in case of disruptions.</w:t>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Business Continuity Planning</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shall develop and maintain effective business continuity plans that define the procedures and processes for responding to disruptions or interruptions of critical business processes and services. The plans shall be tested and validated to ensure their effectiveness.</w:t>
      </w:r>
    </w:p>
    <w:p w:rsidR="00000000" w:rsidDel="00000000" w:rsidP="00000000" w:rsidRDefault="00000000" w:rsidRPr="00000000" w14:paraId="000000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Training and Awareness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shall provide training and awareness programs for employees and stakeholders to ensure their understanding of the BCMS and their roles and responsibilities in the event of disruptions or interruptions.</w:t>
      </w:r>
    </w:p>
    <w:p w:rsidR="00000000" w:rsidDel="00000000" w:rsidP="00000000" w:rsidRDefault="00000000" w:rsidRPr="00000000" w14:paraId="000000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Testing and Validation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shall conduct regular testing and validation of the BCMS to ensure its effectiveness and identify areas for improvement. The results of testing and validation shall be used to update and improve the BCMS.</w:t>
      </w:r>
    </w:p>
    <w:p w:rsidR="00000000" w:rsidDel="00000000" w:rsidP="00000000" w:rsidRDefault="00000000" w:rsidRPr="00000000" w14:paraId="000000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Monitoring and Review</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shall monitor and review the BCMS on a regular basis to ensure its ongoing effectiveness and relevance. The BCMS shall be updated as necessary to reflect changes in the organization's business operations, processes, and systems.</w:t>
      </w:r>
    </w:p>
    <w:p w:rsidR="00000000" w:rsidDel="00000000" w:rsidP="00000000" w:rsidRDefault="00000000" w:rsidRPr="00000000" w14:paraId="000000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Compliance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shall comply with all relevant laws, regulations, and industry standards related to business continuity management.</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Continual Improvement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organization shall continually improve the BCMS through ongoing monitoring, review, and update to ensure its ongoing effectiveness and relevance.</w:t>
      </w:r>
    </w:p>
    <w:p w:rsidR="00000000" w:rsidDel="00000000" w:rsidP="00000000" w:rsidRDefault="00000000" w:rsidRPr="00000000" w14:paraId="000000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Policy Review</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policy shall be reviewed and updated on a regular basis to ensure its ongoing relevance and effectiveness in supporting the BCMS.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6D6719613293EE4DA9F2F1E8203A39F4" ma:contentTypeVersion="11" ma:contentTypeDescription="Kurkite naują dokumentą." ma:contentTypeScope="" ma:versionID="ed8e87dd038ffa8e29a90e1c9923ede4">
  <xsd:schema xmlns:xsd="http://www.w3.org/2001/XMLSchema" xmlns:xs="http://www.w3.org/2001/XMLSchema" xmlns:p="http://schemas.microsoft.com/office/2006/metadata/properties" xmlns:ns2="2ccbd535-c728-4b3d-afc1-4abff793e80d" xmlns:ns3="5020cc98-a2d1-4e52-b751-16ba83907b95" targetNamespace="http://schemas.microsoft.com/office/2006/metadata/properties" ma:root="true" ma:fieldsID="6fa5f4a2b9752a104e32db148194091f" ns2:_="" ns3:_="">
    <xsd:import namespace="2ccbd535-c728-4b3d-afc1-4abff793e80d"/>
    <xsd:import namespace="5020cc98-a2d1-4e52-b751-16ba83907b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bd535-c728-4b3d-afc1-4abff793e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Vaizdų žymės" ma:readOnly="false" ma:fieldId="{5cf76f15-5ced-4ddc-b409-7134ff3c332f}" ma:taxonomyMulti="true" ma:sspId="170f77d6-0e01-4d43-ba48-7d2f3bc0a53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0cc98-a2d1-4e52-b751-16ba83907b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8d9032a-20e3-42a8-bcd0-72ab493ad61d}" ma:internalName="TaxCatchAll" ma:showField="CatchAllData" ma:web="5020cc98-a2d1-4e52-b751-16ba83907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cbd535-c728-4b3d-afc1-4abff793e80d">
      <Terms xmlns="http://schemas.microsoft.com/office/infopath/2007/PartnerControls"/>
    </lcf76f155ced4ddcb4097134ff3c332f>
    <TaxCatchAll xmlns="5020cc98-a2d1-4e52-b751-16ba83907b95" xsi:nil="true"/>
  </documentManagement>
</p:properties>
</file>

<file path=customXml/itemProps1.xml><?xml version="1.0" encoding="utf-8"?>
<ds:datastoreItem xmlns:ds="http://schemas.openxmlformats.org/officeDocument/2006/customXml" ds:itemID="{FF11FCD4-8016-4262-AC09-406C6BE27DFF}"/>
</file>

<file path=customXml/itemProps2.xml><?xml version="1.0" encoding="utf-8"?>
<ds:datastoreItem xmlns:ds="http://schemas.openxmlformats.org/officeDocument/2006/customXml" ds:itemID="{141630FA-44D6-4CA6-87E7-5CFA55B798A0}"/>
</file>

<file path=customXml/itemProps3.xml><?xml version="1.0" encoding="utf-8"?>
<ds:datastoreItem xmlns:ds="http://schemas.openxmlformats.org/officeDocument/2006/customXml" ds:itemID="{1084894D-4ED7-41E9-BFF5-57297EEDD95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0x0101006D6719613293EE4DA9F2F1E8203A39F4</vt:lpwstr>
  </property>
</Properties>
</file>