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Locations: All physical locations where HealthBridge conducts business, including offices and medical facilities.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Organizational Units: All departments within HealthBridge, including administrative, medical, and IT.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Processes and Services: All processes and services related to the healthcare industry, including patient care, medical record management, and insurance billing.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Networks, IT Assets, and Infrastructure: All IT systems, networks, and assets used to support the organization's business processes and services, including electronic health records, medical imaging systems, and communication networks.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Out of Scope: Any non-healthcare related processes or services, such as cafeteria operations or building maintenance.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Validity: One year from the date of approval.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Owner: Chief Information Security Officer (CISO) of HealthBridge.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719613293EE4DA9F2F1E8203A39F4" ma:contentTypeVersion="11" ma:contentTypeDescription="Create a new document." ma:contentTypeScope="" ma:versionID="e878a774bd9269af8ccd586ca44f277f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e16851023455df63a7d83579fab55264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7B75490A-8B2D-41FC-AD95-D4CBC1AD877F}"/>
</file>

<file path=customXml/itemProps2.xml><?xml version="1.0" encoding="utf-8"?>
<ds:datastoreItem xmlns:ds="http://schemas.openxmlformats.org/officeDocument/2006/customXml" ds:itemID="{9B2E7485-E108-4FBA-9870-2545C1E31328}"/>
</file>

<file path=customXml/itemProps3.xml><?xml version="1.0" encoding="utf-8"?>
<ds:datastoreItem xmlns:ds="http://schemas.openxmlformats.org/officeDocument/2006/customXml" ds:itemID="{C6BA6064-8AEE-4224-8747-3AF8D358790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