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[Organization Name] Incident Management Procedure - ISO 27001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establish a consistent and effective process for identifying, reporting, responding to, and learning from information security incidents in accordance with ISO 27001 requirements.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minimize the impact of security incidents on the organization's information assets, operations, and reputation.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procedure applies to all information security incidents involving the organization's information assets, systems, and personnel, including incidents related to physical security, cybersecurity, and data privacy.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Management: Ensuring the implementation and continuous improvement of the incident management process.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 Response Team (IRT): Managing and coordinating the response to information security incidents.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Employees: Reporting suspected or confirmed security incidents and cooperating with the incident response process.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Identification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Monitoring: Implement continuous monitoring of systems, networks, and applications to detect potential security incidents.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awareness: Provide training and awareness programs to help employees identify and report security incidents.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Reporting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channels: Establish clear and accessible reporting channels for employees to report suspected or confirmed security incidents (e.g., email, phone hotline, incident reporting form).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 details: Collect relevant details about the incident, such as the date and time, affected assets, and a description of the event.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Confidentiality: Ensure that incident reports are treated confidentially to encourage reporting and protect sensitive information.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Assessment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Triage: Evaluate the reported incident to determine its severity, impact, and priority for response.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Escalation: Escalate the incident to the appropriate level of management and the IRT based on the assessment.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Response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Activation: Activate the IRT to coordinate and manage the response to the incident.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Containment: Implement measures to contain the incident and prevent further damage or spread.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Investigation: Collect and analyze evidence to determine the cause and extent of the incident.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Eradication: Remove the cause of the incident and eliminate any remaining threats or vulnerabilities.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Recovery: Restore affected systems and processes to normal operations.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Communication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communication: Keep relevant stakeholders informed of the incident status and response actions.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communication: Coordinate communication with external parties, such as customers, vendors, regulators, or law enforcement, as required.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Closure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 review: Conduct a post-incident review to identify lessons learned and opportunities for improvement.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Corrective actions: Implement corrective actions to address the root cause of the incident and prevent recurrence.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Documentation: Update the incident record with the final status, resolution, and any follow-up actions.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Continuous Improvement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 metrics: Track and analyze incident metrics to identify trends and areas for improvement.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review: Regularly review and update the incident management procedure to ensure its effectiveness and alignment with the organization's needs.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D6719613293EE4DA9F2F1E8203A39F4" ma:contentTypeVersion="11" ma:contentTypeDescription="Kurkite naują dokumentą." ma:contentTypeScope="" ma:versionID="ed8e87dd038ffa8e29a90e1c9923ede4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6fa5f4a2b9752a104e32db148194091f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Vaizdų žymė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9499B5CB-DA6C-4CF9-A6AF-690F882A1758}"/>
</file>

<file path=customXml/itemProps2.xml><?xml version="1.0" encoding="utf-8"?>
<ds:datastoreItem xmlns:ds="http://schemas.openxmlformats.org/officeDocument/2006/customXml" ds:itemID="{FDED4D26-2A8A-45E7-8088-67F7B9BE2B84}"/>
</file>

<file path=customXml/itemProps3.xml><?xml version="1.0" encoding="utf-8"?>
<ds:datastoreItem xmlns:ds="http://schemas.openxmlformats.org/officeDocument/2006/customXml" ds:itemID="{41C6C5F3-43EE-4068-B4F4-EEBDFDD6B74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0x0101006D6719613293EE4DA9F2F1E8203A39F4</vt:lpwstr>
  </property>
</Properties>
</file>