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2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Karta oceny formalnej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Kartę wypełnia jeden ekspert. Odpowiedź NIE w którymkolwiek wierszu oznacza wezwanie do jednokrotnego uzupełnienia w terminie 3 dni roboczych albo pozostawienie wniosku bez rozpatrzenia, zgodnie z § 13 regulaminu.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Metryka oceny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wniosku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Nazwa wnioskodawcy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Subregion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Typ podmiotu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MiŚLOP, grupa nieformalna, organizacja patronacka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 eksperta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 oceny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Lista sprawdzająca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520"/>
        <w:gridCol w:w="6250"/>
        <w:gridCol w:w="750"/>
        <w:gridCol w:w="750"/>
        <w:gridCol w:w="800"/>
      </w:tblGrid>
      <w:tr>
        <w:trPr>
          <w:tblHeader/>
        </w:trPr>
        <w:tc>
          <w:tcPr>
            <w:tcW w:type="dxa" w:w="52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Lp.</w:t>
            </w:r>
          </w:p>
        </w:tc>
        <w:tc>
          <w:tcPr>
            <w:tcW w:type="dxa" w:w="625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Warunek formalny</w:t>
            </w:r>
          </w:p>
        </w:tc>
        <w:tc>
          <w:tcPr>
            <w:tcW w:type="dxa" w:w="75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TAK</w:t>
            </w:r>
          </w:p>
        </w:tc>
        <w:tc>
          <w:tcPr>
            <w:tcW w:type="dxa" w:w="75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NIE</w:t>
            </w:r>
          </w:p>
        </w:tc>
        <w:tc>
          <w:tcPr>
            <w:tcW w:type="dxa" w:w="8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NIE DOT.</w:t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Wniosek złożony w terminie naboru, zgodnie ze znacznikiem czasu systemu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2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Wnioskodawca należy do jednej z trzech uprawnionych kategorii podmiotów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3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Średni roczny przychód MiŚLOP z trzech ostatnich zamkniętych lat budżetowych nie przekracza 200 000 zł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4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Siedziba albo miejsce zamieszkania (grupa nieformalna: osoby do kontaktu) w województwie śląskim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5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Miejscowość siedziby albo zamieszkania liczy nie więcej niż 100 000 mieszkańców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6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Podmiot nie złożył w tym naborze innego wniosku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7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Wskazano co najmniej jeden obszar komponentu odporności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8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Opis komponentu odporności jest wypełniony i liczy co najmniej 300 znaków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9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Wniosek zawiera co najmniej jedno działanie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10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Wniosek zawiera co najmniej dwa wskaźniki rezultatu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11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Kwota wnioskowana mieści się w przedziale od 1 000 zł do 10 000 zł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12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Żadna pozycja majątkowa nie przekracza 10 000 zł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13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Udział rozwoju instytucjonalnego nie przekracza 50 procent, dotyczy MiŚLOP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14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Grupa nieformalna nie planuje wydatków na rozwój instytucjonalny ani środków trwałych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15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Termin realizacji mieści się w oknie realizacji zadania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16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Złożono komplet obowiązkowych oświadczeń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17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Złożono oświadczenie o standardach ochrony małoletnich, jeżeli dotyczy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18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Złożono oświadczenie organizacji patronackiej, jeżeli dotyczy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6B6152"/>
                <w:sz w:val="20"/>
                <w:szCs w:val="20"/>
              </w:rPr>
              <w:t xml:space="preserve">19</w:t>
            </w:r>
          </w:p>
        </w:tc>
        <w:tc>
          <w:tcPr>
            <w:tcW w:type="dxa" w:w="6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20"/>
                <w:szCs w:val="20"/>
              </w:rPr>
              <w:t xml:space="preserve">Wskazano numer rachunku bankowego (brak nie jest brakiem formalnym, rachunek uzupełnia się przed podpisaniem umowy, § 18 ust. 7)</w:t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Braki formalne do uzupełnienia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Wypisz konkretnie, czego brakuje. Wezwanie jest jednokrotne, więc opis musi być zrozumiały dla wnioskodawcy bez dopytywania.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Rozstrzygnięcie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Wniosek spełnia wymogi formalne i przechodzi do oceny merytorycznej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Wniosek wymaga jednokrotnego uzupełnienia, termin 3 dni robocze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Wniosek pozostawia się bez rozpatrzenia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rozstrzygnięcia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eksperta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koordynatora oceny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Karta oceny formalnej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oceny formalnej,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2026-09-06T21:19:28.657Z</dcterms:created>
  <dcterms:modified xsi:type="dcterms:W3CDTF">2026-09-06T21:19:28.657Z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