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</w:pPr>
      <w:r>
        <w:drawing>
          <wp:inline distT="0" distB="0" distL="0" distR="0">
            <wp:extent cx="22098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5C39" w:color="auto" w:val="clear"/>
        <w:spacing w:after="180"/>
        <w:ind w:left="90" w:right="90"/>
      </w:pPr>
      <w:r>
        <w:rPr>
          <w:rFonts w:ascii="Lato" w:cs="Lato" w:eastAsia="Lato" w:hAnsi="Lato"/>
          <w:b/>
          <w:bCs/>
          <w:color w:val="FFFFFF"/>
          <w:spacing w:val="50"/>
          <w:sz w:val="17"/>
          <w:szCs w:val="17"/>
        </w:rPr>
        <w:t xml:space="preserve">REGULAMIN KONKURSU</w:t>
      </w:r>
    </w:p>
    <w:p>
      <w:pPr>
        <w:spacing w:after="60" w:before="260"/>
      </w:pPr>
      <w:r>
        <w:rPr>
          <w:rFonts w:ascii="Fraunces" w:cs="Fraunces" w:eastAsia="Fraunces" w:hAnsi="Fraunces"/>
          <w:b/>
          <w:bCs/>
          <w:color w:val="1A1712"/>
          <w:sz w:val="52"/>
          <w:szCs w:val="52"/>
        </w:rPr>
        <w:t xml:space="preserve">Regulamin konkursu na mikrodotacje</w:t>
      </w:r>
    </w:p>
    <w:p>
      <w:pPr>
        <w:spacing w:after="360"/>
      </w:pPr>
      <w:r>
        <w:rPr>
          <w:rFonts w:ascii="Fraunces" w:cs="Fraunces" w:eastAsia="Fraunces" w:hAnsi="Fraunces"/>
          <w:color w:val="FF5C39"/>
          <w:sz w:val="34"/>
          <w:szCs w:val="34"/>
        </w:rPr>
        <w:t xml:space="preserve">Moc Małych Społeczności – Śląskie</w:t>
      </w:r>
    </w:p>
    <w:p>
      <w:pPr>
        <w:pBdr>
          <w:top w:val="single" w:color="1A1712" w:sz="12" w:space="10"/>
        </w:pBdr>
        <w:spacing w:after="80"/>
      </w:pP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KONKURS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Moc Małych Społeczności – Śląskie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ZADANIE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Wielka Moc Małych Społeczności – Odporne Śląskie 2026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PROGRAM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Rządowy Program wsparcia organizacji pozarządowych Moc Małych Społeczności 2026, Priorytet 2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UMOWA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nr 12/2/MMS/2026, oferta nr 97594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OPERATOR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Fundacja Klaster Innowacji Społecznych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WSPÓŁOFERENT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Instytut Roździeńskiego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WERSJA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1.6, 6 września 2026</w:t>
      </w:r>
    </w:p>
    <w:p>
      <w:pPr>
        <w:pBdr>
          <w:top w:val="single" w:color="1A1712" w:sz="12" w:space="14"/>
        </w:pBdr>
        <w:spacing w:after="120" w:before="360"/>
      </w:pPr>
      <w:r>
        <w:rPr>
          <w:rFonts w:ascii="Lato" w:cs="Lato" w:eastAsia="Lato" w:hAnsi="Lato"/>
          <w:b/>
          <w:bCs/>
          <w:color w:val="6B6152"/>
          <w:spacing w:val="40"/>
          <w:sz w:val="17"/>
          <w:szCs w:val="17"/>
        </w:rPr>
        <w:t xml:space="preserve">ZADANIE FINANSOWANE ZE ŚRODKÓW BUDŻETU PAŃSTWA</w:t>
      </w:r>
    </w:p>
    <w:p>
      <w:pPr>
        <w:spacing w:after="180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color w:val="1A1712"/>
          <w:sz w:val="21"/>
          <w:szCs w:val="21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spacing w:after="280"/>
      </w:pPr>
      <w:r>
        <w:rPr>
          <w:rFonts w:ascii="Lato" w:cs="Lato" w:eastAsia="Lato" w:hAnsi="Lato"/>
          <w:color w:val="6B6152"/>
          <w:sz w:val="21"/>
          <w:szCs w:val="21"/>
        </w:rPr>
        <w:t xml:space="preserve">Konkurs „Moc Małych Społeczności – Śląskie” prowadzony jest w ramach zadania „Wielka Moc Małych Społeczności – Odporne Śląskie 2026”, które realizują wspólnie Fundacja Klaster Innowacji Społecznych, lider oferty wspólnej, oraz Instytut Roździeńskiego, współoferent.</w:t>
      </w:r>
    </w:p>
    <w:p>
      <w:pPr>
        <w:spacing w:after="180"/>
      </w:pPr>
      <w:r>
        <w:drawing>
          <wp:inline distT="0" distB="0" distL="0" distR="0">
            <wp:extent cx="112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cs="Lato" w:eastAsia="Lato" w:hAnsi="Lato"/>
          <w:sz w:val="22"/>
          <w:szCs w:val="22"/>
        </w:rPr>
        <w:t xml:space="preserve">        </w:t>
      </w:r>
      <w:r>
        <w:drawing>
          <wp:inline distT="0" distB="0" distL="0" distR="0">
            <wp:extent cx="8096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Postanowienia ogólne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Niniejszy regulamin określa zasady przyznawania, wydatkowania i rozliczania mikrodotacji w konkursie „Moc Małych Społeczności – Śląskie”, zwanym dalej Konkursem.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Nazwa Konkursu brzmi „Moc Małych Społeczności – Śląskie” i jest stosowana jednolicie w ogłoszeniu o naborze, w regulaminie, w formularzach oraz we wszystkich materiałach informacyjnych, zgodnie z § 1 ust. 4 umowy nr 12/2/MMS/2026. Określenie „Odporne Śląskie 2026” jest skróconą nazwą zadania publicznego i hasłem kampanii informacyjnej, nie zastępuje nazwy Konkursu.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Organizatorem Konkursu, zwanym dalej Operatorem, jest Fundacja Klaster Innowacji Społecznych z siedzibą w Gliwicach przy ulicy o. Jana Siemińskiego 22, 44-100 Gliwice, wpisana do Krajowego Rejestru Sądowego pod numerem 0000577540, NIP 6312658876, działająca jako lider oferty wspólnej.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Współoferentem, będącym stroną umowy o realizację zadania publicznego, jest Instytut Roździeńskiego z siedzibą w Katowicach przy ulicy Mariackiej 6/7, 40-014 Katowice, wpisany do Krajowego Rejestru Sądowego pod numerem 0000576508, NIP 6312658793.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Konkurs jest elementem zadania publicznego „Wielka Moc Małych Społeczności – Odporne Śląskie 2026”, realizowanego na podstawie oferty wspólnej nr 97594 oraz umowy nr 12/2/MMS/2026 zawartej z Narodowym Instytutem Wolności – Centrum Rozwoju Społeczeństwa Obywatelskiego.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Zadanie jest finansowane ze środków Narodowego Instytutu Wolności, Centrum Rozwoju Społeczeństwa Obywatelskiego, w ramach Rządowego Programu wsparcia organizacji pozarządowych Moc Małych Społeczności, Priorytet 2.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Konkurs jest prowadzony w trybie art. 16a ustawy z dnia 24 kwietnia 2003 r. o działalności pożytku publicznego i o wolontariacie.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8.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Konkurs obejmuje obszar województwa śląskiego.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9.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Nabór wniosków, ocena, zawarcie umowy oraz rozliczenie mikrodotacji odbywają się w całości w postaci elektronicznej, w systemie konkursowym Operatora. Wnioskodawca nie składa dokumentów w postaci papierowej.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2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Słowniczek</w:t>
      </w:r>
    </w:p>
    <w:p>
      <w:pPr>
        <w:spacing w:after="140"/>
      </w:pPr>
      <w:r>
        <w:rPr>
          <w:rFonts w:ascii="Lato" w:cs="Lato" w:eastAsia="Lato" w:hAnsi="Lato"/>
          <w:color w:val="1A1712"/>
          <w:sz w:val="22"/>
          <w:szCs w:val="22"/>
        </w:rPr>
        <w:t xml:space="preserve">Ilekroć w regulaminie jest mowa o: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mikrodotacji, rozumie się przez to środki finansowe powierzone Grantobiorcy na realizację mikroprojektu, w kwocie od 1 000 zł do 10 000 zł;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mikroprojekcie, rozumie się przez to inicjatywę lokalną realizowaną przez Grantobiorcę, zawierającą obowiązkowy komponent odporności;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MiŚLOP, rozumie się przez to małe i średnie lokalne organizacje pozarządowe, to jest stowarzyszenia, fundacje, koła gospodyń wiejskich, ochotnicze straże pożarne posiadające osobowość prawną oraz kluby sportowe, których średni roczny przychód z trzech ostatnich zamkniętych lat budżetowych nie przekroczył 200 000 zł oraz które są zarejestrowane i prowadzą działalność na terenach wiejskich albo w miejscowościach liczących nie więcej niż 100 000 mieszkańców;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grupie nieformalnej, rozumie się przez to co najmniej trzy osoby fizyczne działające wspólnie, nieposiadające osobowości prawnej, zamieszkałe na terenie województwa śląskiego;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organizacji patronackiej, rozumie się przez to podmiot posiadający osobowość prawną, który użycza jej grupie nieformalnej i przyjmuje na siebie odpowiedzialność za rozliczenie mikrodotacji;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komponencie odporności, rozumie się przez to element mikroprojektu dotyczący odporności społecznej, bezpieczeństwa lokalnego albo reagowania na sytuacje kryzysowe;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subregionie, rozumie się przez to jeden z czterech obszarów podziału puli: zachodni, południowy, centralny albo północny, zgodnie z § 7 ustęp 4;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8.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systemie konkursowym, rozumie się przez to narzędzie elektroniczne Operatora służące do składania wniosków, oceny, zawierania umów i rozliczeń;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9.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Grantobiorcy, rozumie się przez to podmiot uprawniony wymieniony w § 4, z którym Operator zawarł umowę o powierzenie mikrodotacji.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3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Cel Konkursu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Celem Konkursu jest zwiększenie odporności małych społeczności województwa śląskiego na kryzysy przez powierzenie mikrodotacji na oddolne inicjatywy lokalne.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powierzy mikrodotacje na co najmniej 104 inicjatywy, w tym co najmniej 69 realizowanych przez MiŚLOP.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4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Podmioty uprawnione do udziału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 mikrodotację mogą ubiegać się: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MiŚLOP;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lokalne grupy nieformalne liczące co najmniej trzy osoby, działające samodzielnie albo za pośrednictwem organizacji patronackiej;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organizacje patronackie działające na rzecz grup nieformalnych.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Warunkiem udziału jest siedziba albo miejsce zamieszkania w województwie śląskim, w miejscowości liczącej nie więcej niż 100 000 mieszkańców. Przy grupie nieformalnej działającej samodzielnie liczy się miejsce zamieszkania osoby do kontaktu wskazanej we wniosku.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Liczbę mieszkańców ustala się na podstawie danych Głównego Urzędu Statystycznego według stanu na dzień 31 grudnia roku poprzedzającego ogłoszenie Konkursu.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Jeden podmiot może złożyć jeden wniosek i otrzymać jedną mikrodotację. Zasada dotyczy również podmiotu występującego jako organizacja patronacka dla więcej niż jednej grupy nieformalnej.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Grupa nieformalna działająca przez organizację patronacką wskazuje ją we wniosku. Stroną umowy o powierzenie mikrodotacji jest wówczas organizacja patronacka.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5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Wyłączenia z udziału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 udziału w Konkursie wyłączone są podmioty: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wpisane do rejestru podmiotów wykluczonych z możliwości otrzymania środków publicznych;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zalegające z należnościami publicznoprawnymi;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wobec których toczy się postępowanie egzekucyjne dotyczące zobowiązań publicznoprawnych;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niespełniające warunków formalnych Rządowego Programu wsparcia organizacji pozarządowych Moc Małych Społeczności.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Spełnienie warunków, o których mowa w ustępie 1, weryfikuje się na etapie oceny formalnej na podstawie oświadczeń wnioskodawcy złożonych pod rygorem odpowiedzialności karnej za podanie danych niezgodnych ze stanem faktycznym lub prawnym.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Członkowie komisji oceniającej, osoby zatrudnione u Operatora oraz u współoferenta, a także podmioty, w których osoby te pełnią funkcje w organach zarządzających lub kontrolnych, nie mogą ubiegać się o mikrodotację.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6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Obowiązkowy komponent odporności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Każdy mikroprojekt musi zawierać co najmniej jeden element dotyczący odporności społecznej, bezpieczeństwa lokalnego albo reagowania na sytuacje kryzysowe.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Obecność komponentu odporności jest kryterium dopuszczającym o charakterze zero-jedynkowym. Wniosek pozbawiony komponentu nie podlega ocenie merytorycznej.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Dla ujednolicenia oceny Operator odwołuje się do obszarów Poradnika Bezpieczeństwa Ministerstwa Spraw Wewnętrznych i Administracji. Mikroprojekt spełnia warunek, jeżeli dotyczy co najmniej jednego z obszarów: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pierwsza pomoc i obsługa automatycznego defibrylatora zewnętrznego;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klęski żywiołowe oraz długotrwała przerwa w dostawie prądu;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bezpieczeństwo cyfrowe, dezinformacja i oszustwa;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sieci sąsiedzkie i wolontariat spontaniczny;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e)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współpraca ze służbami oraz z jednostkami ochotniczych straży pożarnych.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 etapie oceny merytorycznej ocenie podlega jakość komponentu, to jest jego powiązanie ze zdiagnozowaną potrzebą lokalną oraz trwałość efektu. Komponent wskazany wyłącznie formalnie, bez powiązania z zaplanowanymi działaniami, skutkuje niską punktacją w kryterium pierwszym.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7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Pula środków i podział na subregiony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Pula Konkursu wynosi 854 000 zł.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zawiera 108 umów o powierzenie mikrodotacji, aby zabezpieczyć rozliczenie co najmniej 104 mikroprojektów mimo możliwych rezygnacji.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Pulę dzieli się na cztery subregiony, z odrębnym limitem środków oraz odrębną listą rankingową dla każdego z nich. Limit dla każdego subregionu wynosi 213 500 zł.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Przyporządkowanie do subregionu wynika z siedziby wnioskodawcy, a przy grupie nieformalnej działającej samodzielnie z miejsca zamieszkania osoby do kontaktu wskazanej we wniosku: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subregion zachodni obejmuje powiaty raciborski, rybnicki, wodzisławski oraz miasta Żory i Jastrzębie-Zdrój;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subregion południowy obejmuje powiaty bielski, cieszyński, żywiecki i pszczyński;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subregion centralny obejmuje powiaty będziński, gliwicki, tarnogórski, mikołowski i bieruńsko-lędziński oraz miejscowości aglomeracji poniżej progu 100 000 mieszkańców;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subregion północny obejmuje powiaty częstochowski, kłobucki, myszkowski, zawierciański i lubliniecki.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Wniosek konkuruje o środki wyłącznie z wnioskami złożonymi w tym samym subregionie.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Środki niewykorzystane w jednym subregionie Operator może przenieść do subregionu, w którym lista rezerwowa nie została wyczerpana. Przeniesienie następuje po zamknięciu kontraktacji we wszystkich subregionach i wymaga pisemnej decyzji Operatora, publikowanej na stronie Konkursu.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prowadzi w każdym subregionie wyodrębnioną pulę dla MiŚLOP, tak aby osiągnąć minimum 69 mikrodotacji dla tej kategorii podmiotów w skali Konkursu.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8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Wysokość mikrodotacji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Kwota mikrodotacji wynosi od 1 000 zł do 10 000 zł.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Wartość przeciętna zakładana przez Operatora wynosi około 7 900 zł. Wartość ta ma charakter planistyczny i nie stanowi kwoty gwarantowanej ani zalecanej.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Mikrodotacja jest powierzeniem w rozumieniu art. 16a ustawy o działalności pożytku publicznego i o wolontariacie. Grantobiorca nie wnosi wkładu własnego.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nie przyznaje mikrodotacji w kwocie wyższej niż wnioskowana.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Środki mikrodotacji Grantobiorca przeznacza wyłącznie na działalność pożytku publicznego.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nie pobiera od odbiorców mikroprojektu żadnych świadczeń pieniężnych. Udział w działaniach finansowanych z mikrodotacji jest bezpłatny.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9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Koszty kwalifikowalne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Kwalifikowalne są koszty bezpośrednio związane z realizacją mikroprojektu, poniesione w okresie realizacji wskazanym w umowie, udokumentowane, racjonalne oraz zgodne z budżetem stanowiącym załącznik do umowy.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Kwalifikowalne są w szczególności: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wynagrodzenia osób prowadzących działania, w tym trenerów, ratowników i edukatorów;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materiały, wyposażenie i sprzęt służące realizacji mikroprojektu;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wynajem sal i sprzętu;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koszty transportu i dojazdu;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e)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druk i opracowanie materiałów informacyjnych;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f)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wyżywienie uczestników w zakresie niezbędnym dla realizacji działania;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g)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koszty promocji mikroprojektu, w tym oznaczeń wymaganych regulaminem.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Wszystkie płatności są dokonywane bezgotówkowo, z rachunku bankowego Grantobiorcy albo organizacji patronackiej.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10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Koszty niekwalifikowalne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Niekwalifikowalne są w szczególności: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wydatek majątkowy o wartości jednostkowej przekraczającej 10 000 zł;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koszty poniesione przed dniem rozpoczęcia i po dniu zakończenia realizacji mikroprojektu;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kary umowne, grzywny, odsetki od zobowiązań oraz koszty postępowań sądowych;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zakup napojów alkoholowych i wyrobów tytoniowych;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e)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wydatki pokryte z innego źródła publicznego, stanowiące podwójne finansowanie;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f)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zakup nieruchomości oraz koszty prac budowlanych;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g)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wydatki niezwiązane z realizacją mikroprojektu.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Stwierdzenie poniesienia kosztu niekwalifikowalnego skutkuje żądaniem zwrotu odpowiedniej części mikrodotacji na zasadach określonych w § 25.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11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Rozwój instytucjonalny Grantobiorcy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MiŚLOP mogą przeznaczyć nie więcej niż 50 procent mikrodotacji na rozwój własnej organizacji, w szczególności na sprzęt biurowy, oprogramowanie, stronę internetową, szkolenie zarządu oraz opracowanie dokumentacji wewnętrznej.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Lokalne grupy nieformalne przeznaczają całość środków na działania merytoryczne. Nie mogą finansować rozwoju instytucjonalnego ani nabywać środków trwałych.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Wydatek na rozwój instytucjonalny wnioskodawca opisuje we wniosku i uzasadnia jego związek ze zdolnością organizacji do prowadzenia działalności po zakończeniu mikroprojektu.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12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Nabór wniosków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Nabór trwa 30 dni i jest prowadzony wyłącznie w systemie konkursowym Operatora.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Wnioskodawca zakłada konto, wypełnia formularz, sporządza budżet, składa wymagane oświadczenia i przesyła wniosek. System potwierdza złożenie automatycznie, nadając wnioskowi numer oraz znacznik czasu.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Pole wskazujące obszar komponentu odporności jest obowiązkowe i podlega weryfikacji przy zapisie wniosku.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System konkursowy spełnia wymagania dostępności cyfrowej na poziomie WCAG 2.1 AA.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Wnioskodawca może korzystać z bezpłatnego wsparcia: infolinii Operatora czynnej od poniedziałku do piątku w godzinach od 10:00 do 16:00 pod numerem 539 644 192, całodobowego asystenta AI w systemie konkursowym, szkoleń i webinariów Akademii Odporności, indywidualnego mentoringu oraz kontaktu mailowego z biurem Operatora pod adresem mms@klaster.org.pl.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Wnioski złożone po terminie nie podlegają rozpatrzeniu. O zachowaniu terminu decyduje znacznik czasu nadany przez system konkursowy.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Terminy Konkursu ogłasza Operator na stronie Konkursu. Terminy mogą ulec zmianie. O każdej zmianie Operator informuje na stronie Konkursu oraz mailem do osób zapisanych na powiadomienia.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13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Ocena formalna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Oceny formalnej dokonuje jeden ekspert wskazany przez Operatora.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Ocena formalna obejmuje sprawdzenie: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uprawnienia podmiotu do udziału w Konkursie;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kompletności wniosku;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zgodności wniosku z regulaminem, w tym z limitami kwotowymi;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obecności obowiązkowego komponentu odporności;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e)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złożenia wszystkich wymaganych oświadczeń.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Braki formalne podlegają jednokrotnemu uzupełnieniu w terminie 3 dni roboczych od dnia wysłania wezwania w systemie konkursowym.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Wniosek nieuzupełniony w terminie, wniosek złożony przez podmiot nieuprawniony oraz wniosek pozbawiony komponentu odporności pozostawia się bez rozpatrzenia.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Wynik oceny formalnej Operator udostępnia wnioskodawcy w systemie konkursowym wraz z uzasadnieniem.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14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Ocena merytoryczna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Wnioski ocenia komisja licząca 12 ekspertów, wyłonionych w zapytaniu ofertowym. Kryteriami wyboru ekspertów są doświadczenie w ocenie projektów społecznych, znajomość specyfiki regrantingu oraz znajomość tematyki bezpieczeństwa i zarządzania kryzysowego.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Każdy ekspert przed przystąpieniem do oceny składa oświadczenie o bezstronności, braku konfliktu interesów oraz o zachowaniu poufności.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Ekspert podlega wyłączeniu od oceny wniosku, jeżeli pozostaje z wnioskodawcą w stosunku, który może budzić wątpliwości co do bezstronności. Wyłączenie odnotowuje się w dokumentacji Konkursu.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Każdy wniosek oceniają dwaj niezależni eksperci, przyznając niezależnie od siebie nie więcej niż 50 punktów. Wynikiem oceny jest średnia arytmetyczna obu ocen.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Jeżeli różnica między ocenami przekracza 25 punktów, wniosek kieruje się do trzeciego eksperta, którego ocena jest rozstrzygająca.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Ekspert nie ma wglądu w oceny pozostałych ekspertów przed zakończeniem własnej oceny.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15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Kryteria oceny merytorycznej</w:t>
      </w:r>
    </w:p>
    <w:p>
      <w:pPr>
        <w:spacing w:after="140"/>
      </w:pPr>
      <w:r>
        <w:rPr>
          <w:rFonts w:ascii="Lato" w:cs="Lato" w:eastAsia="Lato" w:hAnsi="Lato"/>
          <w:color w:val="1A1712"/>
          <w:sz w:val="22"/>
          <w:szCs w:val="22"/>
        </w:rPr>
        <w:t xml:space="preserve">Ocena merytoryczna odbywa się według jawnej karty oceny, stanowiącej załącznik nr 3 do regulaminu. Karta obejmuje pięć kryteriów o łącznej maksymalnej punktacji 50 punktów, opracowanych na podstawie oferty realizacji zadania.</w:t>
      </w:r>
    </w:p>
    <w:tbl>
      <w:tblPr>
        <w:tblW w:type="dxa" w:w="870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6100"/>
        <w:gridCol w:w="1300"/>
        <w:gridCol w:w="1300"/>
      </w:tblGrid>
      <w:tr>
        <w:trPr>
          <w:tblHeader/>
        </w:trPr>
        <w:tc>
          <w:tcPr>
            <w:tcW w:type="dxa" w:w="61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2EEE4"/>
                <w:sz w:val="21"/>
                <w:szCs w:val="21"/>
              </w:rPr>
              <w:t xml:space="preserve">Kryterium</w:t>
            </w:r>
          </w:p>
        </w:tc>
        <w:tc>
          <w:tcPr>
            <w:tcW w:type="dxa" w:w="13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/>
                <w:bCs/>
                <w:color w:val="F2EEE4"/>
                <w:sz w:val="21"/>
                <w:szCs w:val="21"/>
              </w:rPr>
              <w:t xml:space="preserve">Maksimum</w:t>
            </w:r>
          </w:p>
        </w:tc>
        <w:tc>
          <w:tcPr>
            <w:tcW w:type="dxa" w:w="13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/>
                <w:bCs/>
                <w:color w:val="F2EEE4"/>
                <w:sz w:val="21"/>
                <w:szCs w:val="21"/>
              </w:rPr>
              <w:t xml:space="preserve">Minimum</w:t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1. Trafność diagnozy lokalnej potrzeby oraz jakość komponentu odporności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15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2. Spójność i racjonalność zaplanowanych działań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10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3. Mierzalność i trwałość rezultatów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10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4. Racjonalność i efektywność kosztów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10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5. Potencjał realizatora do wykonania inicjatywy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5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 w:val="false"/>
                <w:bCs w:val="false"/>
                <w:color w:val="1A1712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61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1A1712"/>
                <w:sz w:val="21"/>
                <w:szCs w:val="21"/>
              </w:rPr>
              <w:t xml:space="preserve">Razem</w:t>
            </w:r>
          </w:p>
        </w:tc>
        <w:tc>
          <w:tcPr>
            <w:tcW w:type="dxa" w:w="13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/>
                <w:bCs/>
                <w:color w:val="1A1712"/>
                <w:sz w:val="21"/>
                <w:szCs w:val="21"/>
              </w:rPr>
              <w:t xml:space="preserve">50</w:t>
            </w:r>
          </w:p>
        </w:tc>
        <w:tc>
          <w:tcPr>
            <w:tcW w:type="dxa" w:w="13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Lato" w:cs="Lato" w:eastAsia="Lato" w:hAnsi="Lato"/>
                <w:b/>
                <w:bCs/>
                <w:color w:val="1A1712"/>
                <w:sz w:val="21"/>
                <w:szCs w:val="21"/>
              </w:rPr>
              <w:t xml:space="preserve">20</w:t>
            </w:r>
          </w:p>
        </w:tc>
      </w:tr>
    </w:tbl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Do dofinansowania rekomenduje się wnioski, które uzyskały co najmniej 25 punktów, to jest 50 procent możliwej punktacji, oraz osiągnęły minimum punktowe w każdym z pięciu kryteriów.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Wniosek, który nie osiągnął minimum w choćby jednym kryterium, nie może zostać rekomendowany niezależnie od sumy punktów.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Ekspert uzasadnia ocenę w każdym kryterium. Uzasadnienie liczy nie mniej niż 500 znaków dla całej karty.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Ekspert może rekomendować wniosek warunkowo, z korektą budżetu. Korekta dotyczy wyłącznie pozycji niekwalifikowalnych z § 10 albo pozycji wskazanych przez eksperta jako nieuzasadnione. Ekspert wskazuje te pozycje i ich wartość w karcie oceny, a Operator obniża kwotę mikrodotacji o ich wartość przed zawarciem umowy. Korekta nie zmienia punktacji ani miejsca na liście rankingowej.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16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Listy rankingowe i listy rezerwowe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 ocen merytorycznych powstaje odrębna lista rankingowa w każdym z czterech subregionów, uszeregowana malejąco według liczby punktów.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Wnioski mieszczące się w limicie środków subregionu otrzymują rekomendację do dofinansowania. Pozostałe wnioski rekomendowane trafiają na listę rezerwową tego samego subregionu.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Jeżeli pozostała kwota limitu subregionu jest niższa od wnioskowanej, Operator proponuje wnioskodawcy mikrodotację w wysokości pozostałej kwoty, nie niższej niż 1 000 zł. Brak zgody w terminie 3 dni roboczych oznacza przejście do kolejnego wniosku z listy.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Przy równej liczbie punktów o kolejności decyduje wyższa punktacja w kryterium pierwszym, a w dalszej kolejności w kryterium trzecim.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Listy rankingowe i listy rezerwowe Operator publikuje na stronie Konkursu, wskazując nazwę podmiotu, subregion, tytuł mikroprojektu, wnioskowaną kwotę oraz liczbę punktów.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Rezygnacja Grantobiorcy albo rozwiązanie umowy skutkuje wyborem kolejnego podmiotu z listy rezerwowej danego subregionu, bez ponawiania naboru.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17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Procedura odwoławcza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Wnioskodawcy przysługuje prawo wglądu w kartę oceny własnego wniosku, udostępnianą przez Operatora na żądanie.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Od wyniku oceny formalnej oraz od wyniku oceny merytorycznej przysługuje odwołanie, składane w systemie konkursowym w terminie 5 dni roboczych od dnia opublikowania wyniku.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Odwołanie rozpatruje ekspert, który nie uczestniczył w pierwotnej ocenie danego wniosku, w terminie 5 dni roboczych od dnia wpływu odwołania.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Rozstrzygnięcie odwołania jest ostateczne. Uwzględnienie odwołania skutkuje korektą listy rankingowej danego subregionu, którą Operator publikuje wraz z datą zmiany.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18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Umowa o powierzenie mikrodotacji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zawiera umowy po zamknięciu oceny i opublikowaniu pełnych list rankingowych w danym subregionie, co zapewnia równe traktowanie wnioskodawców.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Umowa jest zawierana w postaci elektronicznej w systemie konkursowym.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nie wymaga weksla ani innego zabezpieczenia rzeczowego. Zabezpieczeniem są oświadczenia Grantobiorcy złożone przy zawarciu umowy.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Stroną umowy w przypadku grupy nieformalnej działającej przez organizację patronacką jest ta organizacja. Odpowiedzialność za wydatkowanie i rozliczenie mikrodotacji ponosi organizacja patronacka.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Umowa określa kwotę mikrodotacji, okres realizacji, wskaźniki rezultatu, obowiązki informacyjne, zasady rozliczenia oraz tryb zwrotu środków.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Mikrodotację Operator wypłaca jednorazowo, w całości, w terminie 3 dni roboczych od dnia zawarcia umowy, przelewem na rachunek bankowy wskazany w umowie.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Grupa nieformalna działająca samodzielnie wskazuje w umowie rachunek bankowy jednego ze swoich członków, na który Operator przekazuje mikrodotację. Osoby tworzące grupę odpowiadają za wydatkowanie i rozliczenie mikrodotacji solidarnie.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8.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Niepodpisanie umowy w terminie 5 dni roboczych od dnia jej udostępnienia w systemie konkursowym jest równoznaczne z rezygnacją z mikrodotacji.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19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Realizacja mikroprojektu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realizuje mikroprojekt zgodnie z wnioskiem, budżetem i harmonogramem stanowiącymi załączniki do umowy.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prowadzi listy obecności odbiorców bezpośrednich, odrębnie dla każdego działania.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 mikroprojektach realizowanych przez MiŚLOP Grantobiorca przeprowadza wśród uczestników działań odpornościowych ankietę na wejściu i na wyjściu, obejmującą co najmniej dwie osoby.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Przesunięcia w budżecie do 20 procent wartości pozycji nie wymagają zgody Operatora. Przesunięcia większe oraz zmiana zakresu działań wymagają zgody wyrażonej w systemie konkursowym przed dokonaniem wydatku.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niezwłocznie informuje Operatora o okolicznościach zagrażających realizacji mikroprojektu albo osiągnięciu wskaźników.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Wydarzenia organizowane w ramach mikroprojektu mają charakter apartyjny. Zabronione jest promowanie partii politycznych oraz prowadzenie agitacji wyborczej. Zakaz nie wyklucza działań zachęcających do udziału w wyborach.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w miarę możliwości zapewnia dostępność działań osobom ze szczególnymi potrzebami, w szczególności wybiera miejsca bez barier architektonicznych i przygotowuje materiały czytelne dla osób słabowidzących.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8.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przechowuje dokumentację mikroprojektu, w tym dokumentację finansowo-księgową, przez okres 5 lat, licząc od początku roku następującego po roku, w którym realizował mikroprojekt.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9.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Rzeczy zakupione ze środków mikrodotacji Grantobiorca zobowiązuje się nie zbywać przez okres 5 lat od dnia zakupu. Zgodę na wcześniejsze zbycie może wyrazić Operator, pod warunkiem przeznaczenia uzyskanych środków na cele statutowe Grantobiorcy.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20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Obowiązki informacyjne i promocyjne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oznacza wszystkie materiały informacyjne, promocyjne i szkoleniowe związane z mikroprojektem, a także dokumenty podawane do wiadomości publicznej, w tym zaproszenia, programy spotkań, listy obecności, dyplomy i zaświadczenia.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Oznaczenie obejmuje zestawienie znaków w kolejności: znak Komitetu do spraw Pożytku Publicznego, znak Narodowego Instytutu Wolności, znak Programu Moc Małych Społeczności, oraz napis informacyjny o treści:</w:t>
      </w:r>
    </w:p>
    <w:p>
      <w:pPr>
        <w:pBdr>
          <w:left w:val="single" w:color="FF5C39" w:sz="20" w:space="14"/>
        </w:pBdr>
        <w:spacing w:after="110" w:before="90"/>
        <w:ind w:left="800" w:right="300"/>
      </w:pPr>
      <w:r>
        <w:rPr>
          <w:rFonts w:ascii="Lato" w:cs="Lato" w:eastAsia="Lato" w:hAnsi="Lato"/>
          <w:i/>
          <w:iCs/>
          <w:color w:val="1A1712"/>
          <w:sz w:val="22"/>
          <w:szCs w:val="22"/>
        </w:rPr>
        <w:t xml:space="preserve">„Sfinansowano ze środków Narodowego Instytutu Wolności – Centrum Rozwoju Społeczeństwa Obywatelskiego w ramach Rządowego Programu wsparcia organizacji pozarządowych Moc Małych Społeczności”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Zestawienie znaków umieszcza się w górnej albo dolnej części materiału. Minimalna wysokość zestawienia wynosi 15 mm w druku oraz 70 pikseli na ekranie. Wszystkie znaki w zestawieniu mają tę samą wielkość.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prowadzący stronę internetową lub profil w serwisie społecznościowym umieszcza tam informację o finansowaniu mikroprojektu ze środków budżetu państwa, nazwę Programu, nazwę zadania, wartość dofinansowania oraz krótki opis mikroprojektu. Informacja pozostaje opublikowana przez 90 dni od dnia zakończenia mikroprojektu.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 początku każdego wydarzenia organizowanego w ramach mikroprojektu Grantobiorca przedstawia informację o finansowaniu zadania publicznego ze środków Narodowego Instytutu Wolności w ramach Programu Moc Małych Społeczności.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udostępnia w systemie konkursowym gotowy pakiet oznaczeń wraz z plikami znaków i instrukcją ich stosowania.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Wykonanie obowiązków informacyjnych podlega sprawdzeniu podczas monitoringu oraz przy rozliczeniu mikrodotacji.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21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Standardy ochrony małoletnich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prowadzący działania z udziałem małoletnich wdraża standardy ochrony małoletnich zgodnie z ustawą z dnia 13 maja 2016 r. o przeciwdziałaniu zagrożeniom przestępczością na tle seksualnym i ochronie małoletnich.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weryfikuje osoby pracujące z małoletnimi w Rejestrze Sprawców Przestępstw na Tle Seksualnym oraz przechowuje dokumentację tej weryfikacji.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udostępnia wzór standardów w dokumentacji konkursowej. Oświadczenie o wdrożeniu standardów podlega sprawdzeniu na etapie oceny formalnej oraz przy rozliczeniu.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22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Ochrona danych osobowych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Administratorem danych osobowych wnioskodawców i Grantobiorców jest Fundacja Klaster Innowacji Społecznych.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Dane są przetwarzane w zakresie niezbędnym do przeprowadzenia Konkursu, zawarcia i rozliczenia umów oraz ewaluacji zadania, na terytorium Rzeczypospolitej Polskiej.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jest administratorem danych osobowych uczestników swojego mikroprojektu i odpowiada za zgodne z prawem ich przetwarzanie, w tym za pozyskanie zgód na wykorzystanie wizerunku.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Szczegółowe informacje zawiera klauzula informacyjna dostępna w systemie konkursowym.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23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Monitoring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Monitoringiem obejmuje się co najmniej 20 procent mikroprojektów, to jest około 24 wizyty w terenie.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Próbę dobiera się tak, aby była reprezentatywna dla typów podmiotów oraz dla subregionów. Próba obejmuje obowiązkowo mikroprojekty realizowane przez podmioty ubiegające się o mikrodotację po raz pierwszy, mikroprojekty o najwyższej wartości oraz te, w których wystąpiły sygnały opóźnień.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Wizyta monitoringowa jest prowadzona na jednolitej karcie monitoringu i obejmuje sprawdzenie: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zgodności realizowanych działań z umową i harmonogramem;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faktycznego występowania komponentu odporności;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prawidłowości wydatkowania i dokumentowania kosztów;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prowadzenia list obecności i dokumentacji rezultatów;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e)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wykonania obowiązków informacyjnych;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f)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stosowania standardów ochrony małoletnich, jeżeli w działaniach uczestniczą małoletni.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Ustalenia z wizyty zapisuje się w karcie monitoringu. W razie potrzeby Operator formułuje zalecenia z terminem wdrożenia, a ich wykonanie weryfikuje przy rozliczeniu.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Część monitoringu na obszarze objętym własnymi działaniami prowadzi Instytut Roździeńskiego, według tej samej karty i w tym samym systemie sprawozdawczym.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poddaje się kontroli prowadzonej przez Operatora, przez Narodowy Instytut Wolności oraz przez Kancelarię Prezesa Rady Ministrów, umożliwia wizytę w miejscu realizacji mikroprojektu i udostępnia dokumentację na żądanie kontrolującego w wyznaczonym terminie. Uniemożliwienie kontroli jest równoznaczne z wykorzystaniem mikrodotacji niezgodnie z przeznaczeniem.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opisuje dowody księgowe mikroprojektu w sposób trwały, umieszczając na nich adnotację: „Sfinansowano ze środków Narodowego Instytutu Wolności – Centrum Rozwoju Społeczeństwa Obywatelskiego w ramach Programu MOC MAŁYCH SPOŁECZNOŚCI w wysokości ......... w ramach realizacji zadania określonego umową nr .........”.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24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Sprawozdanie i rozliczenie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Grantobiorca składa sprawozdanie końcowe w systemie konkursowym, w terminie wskazanym w umowie, wraz z opisanymi dokumentami finansowymi, listami obecności oraz dokumentacją potwierdzającą osiągnięcie rezultatów.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System kontroluje kompletność załączników automatycznie. W razie braków Operator wzywa do jednokrotnego uzupełnienia w wyznaczonym terminie.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Rozliczenie ocenia się dwutorowo: merytorycznie, pod kątem osiągnięcia rezultatów, oraz finansowo, pod kątem kwalifikowalności i prawidłowości wydatków.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Stosuje się jednolity próg wskaźnikowy: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rozliczenie prawidłowe, jeżeli Grantobiorca wykonał wszystkie zaplanowane działania i osiągnął co najmniej 80 procent wskaźników rezultatu;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rozliczenie proporcjonalne, jeżeli poziom osiągnięcia wskaźników wynosi od 50 do 80 procent; Grantobiorca rozlicza wówczas część mikrodotacji odpowiadającą stopniowi realizacji, a pozostałą część zwraca;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zwrot całości mikrodotacji, jeżeli poziom osiągnięcia wskaźników jest niższy niż 50 procent.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Osiągnięcie wskaźników potwierdzają: listy obecności, ankiety na wejściu i na wyjściu oraz dokumentacja działań, a w mikroprojektach objętych monitoringiem także karta obserwacji.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Zatwierdzenie sprawozdania Operator potwierdza w systemie konkursowym.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25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Zwrot środków i nieprawidłowości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 przypadku stwierdzenia wydatków niekwalifikowalnych, wykorzystania środków niezgodnie z umową albo niezrealizowania działań, Operator wzywa Grantobiorcę do zwrotu odpowiedniej części mikrodotacji wraz z odsetkami liczonymi jak od zaległości podatkowych.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Termin zwrotu wynosi 14 dni od dnia doręczenia wezwania.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Środki niewykorzystane Grantobiorca zwraca w terminie wskazanym w umowie, bez odrębnego wezwania.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Stwierdzone nieprawidłowości Operator dokumentuje i uwzględnia przy ocenie potencjału realizatora w kolejnych naborach.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26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Postanowienia końcowe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prowadzi rejestr umów, list rankingowych i rezerwowych oraz statusów rozliczeń, w podziale na cztery subregiony.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Zestawienie dofinansowanych inicjatyw, obejmujące nazwę podmiotu, subregion, kwotę, tytuł mikroprojektu oraz wskazany obszar odporności, Operator publikuje po rozstrzygnięciu naboru.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zastrzega prawo zmiany regulaminu w zakresie wynikającym z umowy o realizację zadania publicznego albo ze zmiany przepisów. Zmiany publikuje się na stronie Konkursu. Zmiana nie działa na niekorzyść wniosków już złożonych.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Operator zastrzega prawo unieważnienia Konkursu, jeżeli nie dojdzie do zawarcia umowy o realizację zadania publicznego albo jeżeli umowa ta zostanie rozwiązana.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 sprawach nieuregulowanych stosuje się przepisy ustawy z dnia 24 kwietnia 2003 r. o działalności pożytku publicznego i o wolontariacie, postanowienia Programu Moc Małych Społeczności oraz przepisy Kodeksu cywilnego.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Regulamin wchodzi w życie z dniem ogłoszenia Konkursu.</w:t>
      </w:r>
    </w:p>
    <w:p>
      <w:pPr>
        <w:keepNext/>
        <w:spacing w:after="40" w:before="32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§ </w:t>
      </w:r>
    </w:p>
    <w:p>
      <w:pPr>
        <w:keepNext/>
        <w:spacing w:after="140"/>
      </w:pPr>
      <w:r>
        <w:rPr>
          <w:rFonts w:ascii="Fraunces" w:cs="Fraunces" w:eastAsia="Fraunces" w:hAnsi="Fraunces"/>
          <w:b/>
          <w:bCs/>
          <w:color w:val="1A1712"/>
          <w:sz w:val="26"/>
          <w:szCs w:val="26"/>
        </w:rPr>
        <w:t xml:space="preserve">Załączniki do regulaminu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Lato" w:cs="Lato" w:eastAsia="Lato" w:hAnsi="Lato"/>
          <w:color w:val="6B615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Wzór wniosku o mikrodotację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Lato" w:cs="Lato" w:eastAsia="Lato" w:hAnsi="Lato"/>
          <w:color w:val="6B615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Karta oceny formalnej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Lato" w:cs="Lato" w:eastAsia="Lato" w:hAnsi="Lato"/>
          <w:color w:val="6B615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Karta oceny merytorycznej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Lato" w:cs="Lato" w:eastAsia="Lato" w:hAnsi="Lato"/>
          <w:color w:val="6B615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Wzór umowy o powierzenie mikrodotacji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Lato" w:cs="Lato" w:eastAsia="Lato" w:hAnsi="Lato"/>
          <w:color w:val="6B615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Wzór sprawozdania końcowego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Lato" w:cs="Lato" w:eastAsia="Lato" w:hAnsi="Lato"/>
          <w:color w:val="6B615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Wzór standardów ochrony małoletnich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Lato" w:cs="Lato" w:eastAsia="Lato" w:hAnsi="Lato"/>
          <w:color w:val="6B615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Klauzule informacyjne RODO i wzory zgód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Lato" w:cs="Lato" w:eastAsia="Lato" w:hAnsi="Lato"/>
          <w:color w:val="6B6152"/>
          <w:sz w:val="22"/>
          <w:szCs w:val="22"/>
        </w:rPr>
        <w:t xml:space="preserve">8.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Pakiet oznaczeń wraz z plikami znaków i instrukcją stosowania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Lato" w:cs="Lato" w:eastAsia="Lato" w:hAnsi="Lato"/>
          <w:color w:val="6B6152"/>
          <w:sz w:val="22"/>
          <w:szCs w:val="22"/>
        </w:rPr>
        <w:t xml:space="preserve">9.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Wzór ankiety na wejściu i na wyjściu dla mikroprojektów MiŚLOP</w:t>
      </w:r>
    </w:p>
    <w:sectPr>
      <w:headerReference w:type="default" r:id="rId7"/>
      <w:footerReference w:type="default" r:id="rId8"/>
      <w:pgSz w:w="11906" w:h="16838" w:orient="portrait"/>
      <w:pgMar w:top="1700" w:right="1247" w:bottom="1247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Regulamin konkursu na mikrodotacje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a76c2ebbc12325eb711d9feab4eeffcdc5005.png"/><Relationship Id="rId10" Type="http://schemas.openxmlformats.org/officeDocument/2006/relationships/image" Target="media/4ab5c8eb77993a692a5aa337db12b6414316c099.png"/><Relationship Id="rId11" Type="http://schemas.openxmlformats.org/officeDocument/2006/relationships/image" Target="media/9cdc80225c3ab2c09c5bf73597c396b9382b28ff.png"/><Relationship Id="rId12" Type="http://schemas.openxmlformats.org/officeDocument/2006/relationships/image" Target="media/d0f8682c2fe6ea7a1b52551d6f62d09661c586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Regulamin konkursu na mikrodotacje, Moc Małych Społeczności – Śląskie</dc:title>
  <dc:creator>Fundacja Klaster Innowacji Społecznych</dc:creator>
  <dc:description>Regulamin konkursu mikrodotacji, zadanie Wielka Moc Małych Społeczności – Odporne Śląskie 2026</dc:description>
  <cp:lastModifiedBy>Un-named</cp:lastModifiedBy>
  <cp:revision>1</cp:revision>
  <dcterms:created xsi:type="dcterms:W3CDTF">2026-09-06T21:19:28.348Z</dcterms:created>
  <dcterms:modified xsi:type="dcterms:W3CDTF">2026-09-06T21:19:28.349Z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