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REGULAMIN KONKURSU</w:t>
      </w:r>
    </w:p>
    <w:p>
      <w:pPr>
        <w:spacing w:after="60" w:before="260"/>
      </w:pPr>
      <w:r>
        <w:rPr>
          <w:rFonts w:ascii="Fraunces" w:cs="Fraunces" w:eastAsia="Fraunces" w:hAnsi="Fraunces"/>
          <w:b/>
          <w:bCs/>
          <w:color w:val="1A1712"/>
          <w:sz w:val="52"/>
          <w:szCs w:val="52"/>
        </w:rPr>
        <w:t xml:space="preserve">Regulamin konkursu na mikrodotacje</w:t>
      </w:r>
    </w:p>
    <w:p>
      <w:pPr>
        <w:spacing w:after="360"/>
      </w:pPr>
      <w:r>
        <w:rPr>
          <w:rFonts w:ascii="Fraunces" w:cs="Fraunces" w:eastAsia="Fraunces" w:hAnsi="Fraunces"/>
          <w:color w:val="FF5C39"/>
          <w:sz w:val="34"/>
          <w:szCs w:val="34"/>
        </w:rPr>
        <w:t xml:space="preserve">Moc Małych Społeczności – Śląskie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8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Postanowienia ogólne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Niniejszy regulamin określa zasady przyznawania, wydatkowania i rozliczania mikrodotacji w konkursie „Moc Małych Społeczności – Śląskie”, zwanym dalej Konkursem.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Nazwa Konkursu brzmi „Moc Małych Społeczności – Śląskie” i jest stosowana jednolicie w ogłoszeniu o naborze, w regulaminie, w formularzach oraz we wszystkich materiałach informacyjnych, zgodnie z § 1 ust. 4 umowy nr 12/2/MMS/2026. Określenie „Odporne Śląskie 2026” jest skróconą nazwą zadania publicznego i hasłem kampanii informacyjnej, nie zastępuje nazwy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Organizatorem Konkursu, zwanym dalej Operatorem, jest Fundacja Klaster Innowacji Społecznych z siedzibą w Gliwicach przy ulicy o. Jana Siemińskiego 22, 44-100 Gliwice, wpisana do Krajowego Rejestru Sądowego pod numerem 0000577540, NIP 6312658876, działająca jako lider oferty wspólnej.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Współoferentem, będącym stroną umowy o realizację zadania publicznego, jest Instytut Roździeńskiego z siedzibą w Katowicach przy ulicy Mariackiej 37/6, 40-014 Katowice, wpisany do Krajowego Rejestru Sądowego pod numerem 0000576508, NIP 6312658793.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Konkurs jest elementem zadania publicznego „Wielka Moc Małych Społeczności – Odporne Śląskie 2026”, realizowanego na podstawie oferty wspólnej nr 97594 oraz umowy nr 12/2/MMS/2026 zawartej z Narodowym Instytutem Wolności – Centrum Rozwoju Społeczeństwa Obywatelskiego.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Zadanie jest finansowane ze środków Narodowego Instytutu Wolności – Centrum Rozwoju Społeczeństwa Obywatelskiego w ramach Rządowego Programu wsparcia organizacji pozarządowych Moc Małych Społeczności, Priorytet 2.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Konkurs jest prowadzony w trybie art. 16a ustawy z dnia 24 kwietnia 2003 r. o działalności pożytku publicznego i o wolontariacie.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Konkurs obejmuje obszar województwa śląskiego.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Nabór wniosków, ocena, zawarcie umowy oraz rozliczenie mikrodotacji odbywają się w całości w postaci elektronicznej, w systemie konkursowym Operatora. Wnioskodawca nie składa dokumentów w postaci papierowej.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Słowniczek</w:t>
      </w:r>
    </w:p>
    <w:p>
      <w:pPr>
        <w:spacing w:after="140"/>
      </w:pPr>
      <w:r>
        <w:rPr>
          <w:rFonts w:ascii="Lato" w:cs="Lato" w:eastAsia="Lato" w:hAnsi="Lato"/>
          <w:color w:val="1A1712"/>
          <w:sz w:val="22"/>
          <w:szCs w:val="22"/>
        </w:rPr>
        <w:t xml:space="preserve">Ilekroć w regulaminie jest mowa o: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mikrodotacji, rozumie się przez to środki finansowe powierzone Grantobiorcy na realizację mikroprojektu, w kwocie od 1 000 zł do 10 000 zł;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mikroprojekcie, rozumie się przez to inicjatywę lokalną realizowaną przez Grantobiorcę, zawierającą obowiązkowy komponent odporności;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MiŚLOP, rozumie się przez to małe i średnie lokalne organizacje pozarządowe, to jest stowarzyszenia, fundacje, koła gospodyń wiejskich, ochotnicze straże pożarne posiadające osobowość prawną oraz kluby sportowe, których średni roczny przychód z trzech ostatnich zamkniętych lat budżetowych nie przekroczył 200 000 zł oraz które są zarejestrowane i prowadzą działalność na terenach wiejskich albo w miejscowościach liczących nie więcej niż 100 000 mieszkańców;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grupie nieformalnej, rozumie się przez to co najmniej trzy osoby fizyczne działające wspólnie, nieposiadające osobowości prawnej, zamieszkałe na terenie województwa śląskiego;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organizacji patronackiej, rozumie się przez to podmiot posiadający osobowość prawną, który użycza jej grupie nieformalnej i przyjmuje na siebie odpowiedzialność za rozliczenie mikrodotacji;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komponencie odporności, rozumie się przez to element mikroprojektu dotyczący odporności społecznej, bezpieczeństwa lokalnego albo reagowania na sytuacje kryzysowe;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subregionie, rozumie się przez to jeden z czterech obszarów podziału puli: zachodni, południowy, centralny albo północny, zgodnie z § 7 ustęp 4;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systemie konkursowym, rozumie się przez to narzędzie elektroniczne Operatora służące do składania wniosków, oceny, zawierania umów i rozliczeń;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Grantobiorcy, rozumie się przez to podmiot uprawniony wymieniony w § 4, z którym Operator zawarł umowę o powierzenie mikrodotacji.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3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Cel Konkursu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Celem Konkursu jest zwiększenie odporności małych społeczności województwa śląskiego na kryzysy przez powierzenie mikrodotacji na oddolne inicjatywy lokalne.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powierzy mikrodotacje na co najmniej 104 inicjatywy, w tym co najmniej 69 realizowanych przez MiŚLOP.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4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Podmioty uprawnione do udziału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 mikrodotację mogą ubiegać się: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MiŚLOP;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lokalne grupy nieformalne liczące co najmniej trzy osoby, działające samodzielnie albo za pośrednictwem organizacji patronackiej;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organizacje patronackie działające na rzecz grup nieformalnych.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Warunkiem udziału jest siedziba albo miejsce zamieszkania w województwie śląskim, w miejscowości liczącej nie więcej niż 100 000 mieszkańców. Przy grupie nieformalnej działającej samodzielnie liczy się miejsce zamieszkania osoby do kontaktu wskazanej we wniosku.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Liczbę mieszkańców ustala się na podstawie danych Głównego Urzędu Statystycznego według stanu na dzień 31 grudnia roku poprzedzającego ogłoszenie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Jeden podmiot może złożyć jeden wniosek i otrzymać jedną mikrodotację. Zasada dotyczy również podmiotu występującego jako organizacja patronacka dla więcej niż jednej grupy nieformalnej.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Grupa nieformalna działająca przez organizację patronacką wskazuje ją we wniosku. Stroną umowy o powierzenie mikrodotacji jest wówczas organizacja patronacka.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5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Wyłączenia z udziału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 udziału w Konkursie wyłączone są podmioty: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wpisane do rejestru podmiotów wykluczonych z możliwości otrzymania środków publicznych;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zalegające z należnościami publicznoprawnymi;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wobec których toczy się postępowanie egzekucyjne dotyczące zobowiązań publicznoprawnych;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niespełniające warunków formalnych Rządowego Programu wsparcia organizacji pozarządowych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Spełnienie warunków, o których mowa w ustępie 1, weryfikuje się na etapie oceny formalnej na podstawie oświadczeń wnioskodawcy złożonych pod rygorem odpowiedzialności karnej za podanie danych niezgodnych ze stanem faktycznym lub prawnym.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Członkowie komisji oceniającej, osoby zatrudnione u Operatora oraz u współoferenta, a także podmioty, w których osoby te pełnią funkcje w organach zarządzających lub kontrolnych, nie mogą ubiegać się o mikrodotację.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6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Obowiązkowy komponent odporności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Każdy mikroprojekt musi zawierać co najmniej jeden element dotyczący odporności społecznej, bezpieczeństwa lokalnego albo reagowania na sytuacje kryzysowe.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Obecność komponentu odporności jest kryterium dopuszczającym o charakterze zero-jedynkowym. Wniosek pozbawiony komponentu nie podlega ocenie merytorycznej.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Dla ujednolicenia oceny Operator odwołuje się do obszarów Poradnika Bezpieczeństwa Ministerstwa Spraw Wewnętrznych i Administracji. Mikroprojekt spełnia warunek, jeżeli dotyczy co najmniej jednego z obszarów: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pierwsza pomoc i obsługa automatycznego defibrylatora zewnętrznego;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klęski żywiołowe oraz długotrwała przerwa w dostawie prądu;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bezpieczeństwo cyfrowe, dezinformacja i oszustwa;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sieci sąsiedzkie i wolontariat spontaniczny;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współpraca ze służbami oraz z jednostkami ochotniczych straży pożarnych.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etapie oceny merytorycznej ocenie podlega jakość komponentu, to jest jego powiązanie ze zdiagnozowaną potrzebą lokalną oraz trwałość efektu. Komponent wskazany wyłącznie formalnie, bez powiązania z zaplanowanymi działaniami, skutkuje niską punktacją w kryterium pierwszym.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7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Pula środków i podział na subregiony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Pula Konkursu wynosi 854 000 zł.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zawiera 108 umów o powierzenie mikrodotacji, aby zabezpieczyć rozliczenie co najmniej 104 mikroprojektów mimo możliwych rezygnacji.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Pulę dzieli się na cztery subregiony, z odrębnym limitem środków oraz odrębną listą rankingową dla każdego z nich. Limit dla każdego subregionu wynosi 213 500 zł.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Przyporządkowanie do subregionu wynika z siedziby wnioskodawcy, a przy grupie nieformalnej działającej samodzielnie z miejsca zamieszkania osoby do kontaktu wskazanej we wniosku: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zachodni obejmuje powiaty raciborski, rybnicki, wodzisławski oraz miasta Żory i Jastrzębie-Zdrój;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południowy obejmuje powiaty bielski, cieszyński, żywiecki i pszczyński;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centralny obejmuje powiaty będziński, gliwicki, tarnogórski, mikołowski i bieruńsko-lędziński oraz miejscowości aglomeracji poniżej progu 100 000 mieszkańców;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subregion północny obejmuje powiaty częstochowski, kłobucki, myszkowski, zawierciański i lubliniecki.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 konkuruje o środki wyłącznie z wnioskami złożonymi w tym samym subregionie.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Środki niewykorzystane w jednym subregionie Operator może przenieść do subregionu, w którym lista rezerwowa nie została wyczerpana. Przeniesienie następuje po zamknięciu kontraktacji we wszystkich subregionach i wymaga pisemnej decyzji Operatora, publikowanej na stronie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prowadzi w każdym subregionie wyodrębnioną pulę dla MiŚLOP, tak aby osiągnąć minimum 69 mikrodotacji dla tej kategorii podmiotów w skali Konkursu. Jeżeli na liście rankingowej subregionu liczba wniosków MiŚLOP rekomendowanych w limicie środków jest niższa niż 18, Operator rekomenduje kolejne wnioski MiŚLOP z listy rezerwowej tego subregionu, w kolejności liczby punktów, w miejsce najniżej ocenionych wniosków innych podmiotów, aż do osiągnięcia 18 wniosków MiŚLOP.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8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Wysokość mikrodotacji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Kwota mikrodotacji wynosi od 1 000 zł do 10 000 zł.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Wartość przeciętna zakładana przez Operatora wynosi około 7 900 zł. Wartość ta ma charakter planistyczny i nie stanowi kwoty gwarantowanej ani zalecanej.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Mikrodotacja jest powierzeniem w rozumieniu art. 16a ustawy o działalności pożytku publicznego i o wolontariacie. Grantobiorca nie wnosi wkładu własnego.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nie przyznaje mikrodotacji w kwocie wyższej niż wnioskowana.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Środki mikrodotacji Grantobiorca przeznacza wyłącznie na działalność pożytku publicznego.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nie pobiera od odbiorców mikroprojektu żadnych świadczeń pieniężnych. Udział w działaniach finansowanych z mikrodotacji jest bezpłatny.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9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Koszty kwalifikowalne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Kwalifikowalne są koszty bezpośrednio związane z realizacją mikroprojektu, poniesione w okresie realizacji wskazanym w umowie, udokumentowane, racjonalne oraz zgodne z budżetem stanowiącym załącznik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Kwalifikowalne są w szczególności: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wynagrodzenia osób prowadzących działania, w tym trenerów, ratowników i edukatorów;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materiały, wyposażenie i sprzęt służące realizacji mikroprojektu;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wynajem sal i sprzętu;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transportu i dojazdu;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druk i opracowanie materiałów informacyjnych;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wyżywienie uczestników w zakresie niezbędnym dla realizacji działania;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g)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promocji mikroprojektu, w tym oznaczeń wymaganych regulaminem.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Wszystkie płatności są dokonywane bezgotówkowo, z rachunku bankowego Grantobiorcy, organizacji patronackiej albo członka grupy nieformalnej wskazanego w umowie.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10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Koszty niekwalifikowalne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Niekwalifikowalne są w szczególności: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wydatek majątkowy o wartości jednostkowej przekraczającej 10 000 zł;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koszty poniesione przed dniem rozpoczęcia i po dniu zakończenia realizacji mikroprojektu;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kary umowne, grzywny, odsetki od zobowiązań oraz koszty postępowań sądowych;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zakup napojów alkoholowych i wyrobów tytoniowych;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wydatki pokryte z innego źródła publicznego, stanowiące podwójne finansowanie;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zakup nieruchomości oraz koszty prac budowlanych;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g)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wydatki niezwiązane z realizacją mikroprojektu.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Stwierdzenie poniesienia kosztu niekwalifikowalnego skutkuje żądaniem zwrotu odpowiedniej części mikrodotacji na zasadach określonych w § 25.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11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Rozwój instytucjonalny Grantobiorcy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MiŚLOP mogą przeznaczyć nie więcej niż 50 procent mikrodotacji na rozwój własnej organizacji, w szczególności na sprzęt biurowy, oprogramowanie, stronę internetową, szkolenie zarządu oraz opracowanie dokumentacji wewnętrznej.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Lokalne grupy nieformalne przeznaczają całość środków na działania merytoryczne. Nie mogą finansować rozwoju instytucjonalnego ani nabywać środków trwałych.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Wydatek na rozwój instytucjonalny wnioskodawca opisuje we wniosku i uzasadnia jego związek ze zdolnością organizacji do prowadzenia działalności po zakończeniu mikroprojektu.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12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Nabór wniosków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Nabór trwa co najmniej 30 dni i jest prowadzony wyłącznie w systemie konkursowym Operatora.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Wnioskodawca zakłada konto, wypełnia formularz, sporządza budżet, składa wymagane oświadczenia i przesyła wniosek. System potwierdza złożenie automatycznie, nadając wnioskowi numer oraz znacznik czasu.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Pole wskazujące obszar komponentu odporności jest obowiązkowe i podlega weryfikacji przy zapisie wniosku.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System konkursowy spełnia wymagania dostępności cyfrowej na poziomie WCAG 2.1 AA.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Wnioskodawca może korzystać z bezpłatnego wsparcia: infolinii Operatora czynnej od poniedziałku do piątku w godzinach od 10:00 do 16:00 pod numerem 539 644 192, całodobowego asystenta AI w systemie konkursowym, szkoleń i webinariów Akademii Odporności, indywidualnego mentoringu oraz kontaktu mailowego z biurem Operatora pod adresem mms@klaster.org.pl.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złożone po terminie nie podlegają rozpatrzeniu. O zachowaniu terminu decyduje znacznik czasu nadany przez system konkursowy.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Terminy Konkursu ogłasza Operator na stronie Konkursu. Terminy mogą ulec zmianie. O każdej zmianie Operator informuje na stronie Konkursu oraz mailem do osób zapisanych na powiadomienia.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13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Ocena formalna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Oceny formalnej dokonuje jeden ekspert wskazany przez Operatora.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Ocena formalna obejmuje sprawdzenie: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uprawnienia podmiotu do udziału w Konkursie;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kompletności wniosku;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zgodności wniosku z regulaminem, w tym z limitami kwotowymi;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obecności obowiązkowego komponentu odporności;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złożenia wszystkich wymaganych oświadczeń.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Braki formalne podlegają jednokrotnemu uzupełnieniu w terminie 3 dni roboczych od dnia wysłania wezwania w systemie konkursowym.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 nieuzupełniony w terminie, wniosek złożony przez podmiot nieuprawniony oraz wniosek pozbawiony komponentu odporności pozostawia się bez rozpatrzenia.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Wynik oceny formalnej Operator udostępnia wnioskodawcy w systemie konkursowym wraz z uzasadnieniem.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14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Ocena merytoryczna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ocenia komisja licząca 12 ekspertów, wyłonionych w zapytaniu ofertowym. Kryteriami wyboru ekspertów są doświadczenie w ocenie projektów społecznych, znajomość specyfiki regrantingu oraz znajomość tematyki bezpieczeństwa i zarządzania kryzysowego.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Każdy ekspert przed przystąpieniem do oceny składa oświadczenie o bezstronności, braku konfliktu interesów oraz o zachowaniu poufności.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podlega wyłączeniu od oceny wniosku, jeżeli pozostaje z wnioskodawcą w stosunku, który może budzić wątpliwości co do bezstronności. Wyłączenie odnotowuje się w dokumentacji Konkursu.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Każdy wniosek oceniają dwaj niezależni eksperci, przyznając niezależnie od siebie nie więcej niż 50 punktów. Wynikiem oceny jest średnia arytmetyczna obu ocen.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Jeżeli różnica między ocenami przekracza 25 punktów, wniosek kieruje się do trzeciego eksperta, którego ocena jest rozstrzygająca.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nie ma wglądu w oceny pozostałych ekspertów przed zakończeniem własnej oceny.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15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Kryteria oceny merytorycznej</w:t>
      </w:r>
    </w:p>
    <w:p>
      <w:pPr>
        <w:spacing w:after="140"/>
      </w:pPr>
      <w:r>
        <w:rPr>
          <w:rFonts w:ascii="Lato" w:cs="Lato" w:eastAsia="Lato" w:hAnsi="Lato"/>
          <w:color w:val="1A1712"/>
          <w:sz w:val="22"/>
          <w:szCs w:val="22"/>
        </w:rPr>
        <w:t xml:space="preserve">Ocena merytoryczna odbywa się według jawnej karty oceny, stanowiącej załącznik nr 3 do regulaminu. Karta obejmuje pięć kryteriów o łącznej maksymalnej punktacji 50 punktów, opracowanych na podstawie oferty realizacji zadania.</w:t>
      </w:r>
    </w:p>
    <w:tbl>
      <w:tblPr>
        <w:tblW w:type="dxa" w:w="870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100"/>
        <w:gridCol w:w="1300"/>
        <w:gridCol w:w="1300"/>
      </w:tblGrid>
      <w:tr>
        <w:trPr>
          <w:tblHeader/>
        </w:trPr>
        <w:tc>
          <w:tcPr>
            <w:tcW w:type="dxa" w:w="61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/>
                <w:bCs/>
                <w:color w:val="F2EEE4"/>
                <w:sz w:val="21"/>
                <w:szCs w:val="21"/>
              </w:rPr>
              <w:t xml:space="preserve">Kryterium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F2EEE4"/>
                <w:sz w:val="21"/>
                <w:szCs w:val="21"/>
              </w:rPr>
              <w:t xml:space="preserve">Maksimum</w:t>
            </w:r>
          </w:p>
        </w:tc>
        <w:tc>
          <w:tcPr>
            <w:tcW w:type="dxa" w:w="13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F2EEE4"/>
                <w:sz w:val="21"/>
                <w:szCs w:val="21"/>
              </w:rPr>
              <w:t xml:space="preserve">Minimum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1. Trafność diagnozy lokalnej potrzeby oraz jakość komponentu odporności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15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6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2. Spójność i racjonalność zaplanowanych działań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10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3. Mierzalność i trwałość rezultatów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10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4. Racjonalność i efektywność kosztów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10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4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5. Potencjał realizatora do wykonania inicjatywy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5</w:t>
            </w:r>
          </w:p>
        </w:tc>
        <w:tc>
          <w:tcPr>
            <w:tcW w:type="dxa" w:w="1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 w:val="false"/>
                <w:bCs w:val="false"/>
                <w:color w:val="1A1712"/>
                <w:sz w:val="21"/>
                <w:szCs w:val="21"/>
              </w:rPr>
              <w:t xml:space="preserve">2</w:t>
            </w:r>
          </w:p>
        </w:tc>
      </w:tr>
      <w:tr>
        <w:tc>
          <w:tcPr>
            <w:tcW w:type="dxa" w:w="61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left"/>
            </w:pPr>
            <w:r>
              <w:rPr>
                <w:rFonts w:ascii="Lato" w:cs="Lato" w:eastAsia="Lato" w:hAnsi="Lato"/>
                <w:b/>
                <w:bCs/>
                <w:color w:val="1A1712"/>
                <w:sz w:val="21"/>
                <w:szCs w:val="21"/>
              </w:rPr>
              <w:t xml:space="preserve">Razem</w:t>
            </w:r>
          </w:p>
        </w:tc>
        <w:tc>
          <w:tcPr>
            <w:tcW w:type="dxa" w:w="13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1A1712"/>
                <w:sz w:val="21"/>
                <w:szCs w:val="21"/>
              </w:rPr>
              <w:t xml:space="preserve">50</w:t>
            </w:r>
          </w:p>
        </w:tc>
        <w:tc>
          <w:tcPr>
            <w:tcW w:type="dxa" w:w="13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Lato" w:cs="Lato" w:eastAsia="Lato" w:hAnsi="Lato"/>
                <w:b/>
                <w:bCs/>
                <w:color w:val="1A1712"/>
                <w:sz w:val="21"/>
                <w:szCs w:val="21"/>
              </w:rPr>
              <w:t xml:space="preserve">20</w:t>
            </w:r>
          </w:p>
        </w:tc>
      </w:tr>
    </w:tbl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Do dofinansowania rekomenduje się wnioski, które uzyskały co najmniej 25 punktów, to jest 50 procent możliwej punktacji, oraz osiągnęły minimum punktowe w każdym z pięciu kryteriów w każdej ze złożonych kart oceny.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Wniosek, który nie osiągnął minimum w choćby jednym kryterium, nie może zostać rekomendowany niezależnie od sumy punktów.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uzasadnia ocenę w każdym kryterium, nie mniej niż 100 znaków na kryterium i nie mniej niż 500 znaków dla całej karty.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Ekspert może rekomendować wniosek warunkowo, z korektą budżetu. Korekta dotyczy wyłącznie pozycji niekwalifikowalnych z § 10 albo pozycji wskazanych przez eksperta jako nieuzasadnione. Ekspert wskazuje te pozycje i ich wartość w karcie oceny, a Operator obniża kwotę mikrodotacji o ich wartość przed zawarciem umowy. Korekta nie zmienia punktacji ani miejsca na liście rankingowej.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16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Listy rankingowe i listy rezerwowe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 ocen merytorycznych powstaje odrębna lista rankingowa w każdym z czterech subregionów, uszeregowana malejąco według liczby punktów.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Wnioski mieszczące się w limicie środków subregionu otrzymują rekomendację do dofinansowania. Pozostałe wnioski rekomendowane trafiają na listę rezerwową tego samego subregionu.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Jeżeli pozostała kwota limitu subregionu jest niższa od wnioskowanej, Operator proponuje wnioskodawcy mikrodotację w wysokości pozostałej kwoty, nie niższej niż 1 000 zł. Brak zgody w terminie 3 dni roboczych oznacza przejście do kolejnego wniosku z listy.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Przy równej liczbie punktów o kolejności decyduje wyższa punktacja w kryterium pierwszym, a w dalszej kolejności w kryterium trzecim.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Listy rankingowe i listy rezerwowe Operator publikuje na stronie Konkursu, wskazując nazwę podmiotu, subregion, tytuł mikroprojektu, wnioskowaną kwotę oraz liczbę punktów.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Rezygnacja Grantobiorcy albo rozwiązanie umowy skutkuje wyborem kolejnego podmiotu z listy rezerwowej danego subregionu, bez ponawiania naboru.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17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Procedura odwoławcza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Wnioskodawcy przysługuje prawo wglądu w kartę oceny własnego wniosku, udostępnianą przez Operatora na żądanie.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Od wyniku oceny formalnej oraz od wyniku oceny merytorycznej przysługuje odwołanie, składane w systemie konkursowym w terminie 5 dni roboczych od dnia opublikowania wyniku.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Odwołanie rozpatruje ekspert, który nie uczestniczył w pierwotnej ocenie danego wniosku, w terminie 5 dni roboczych od dnia wpływu odwołania.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Rozstrzygnięcie odwołania jest ostateczne. Uwzględnienie odwołania skutkuje korektą listy rankingowej danego subregionu, którą Operator publikuje wraz z datą zmiany.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18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Umowa o powierzenie mikrodotacji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zawiera umowy po zamknięciu oceny i opublikowaniu pełnych list rankingowych w danym subregionie, co zapewnia równe traktowanie wnioskodawców.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Umowa jest zawierana w postaci elektronicznej w systemie konkursowym.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nie wymaga weksla ani innego zabezpieczenia rzeczowego. Zabezpieczeniem są oświadczenia Grantobiorcy złożone przy zawarciu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Stroną umowy w przypadku grupy nieformalnej działającej przez organizację patronacką jest ta organizacja. Odpowiedzialność za wydatkowanie i rozliczenie mikrodotacji ponosi organizacja patronacka.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Umowa określa kwotę mikrodotacji, okres realizacji, wskaźniki rezultatu, obowiązki informacyjne, zasady rozliczenia oraz tryb zwrotu środków.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Mikrodotację Operator wypłaca jednorazowo, w całości, w terminie 3 dni roboczych od dnia zawarcia umowy, przelewem na rachunek bankowy wskazany w umowie.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Grupa nieformalna działająca samodzielnie wskazuje w umowie rachunek bankowy jednego ze swoich członków, na który Operator przekazuje mikrodotację. Umowę w imieniu grupy podpisują osoby wskazane we wniosku jako uprawnione do jej reprezentacji. Osoby tworzące grupę odpowiadają za wydatkowanie i rozliczenie mikrodotacji solidarnie.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Niepodpisanie umowy w terminie 5 dni roboczych od dnia jej udostępnienia w systemie konkursowym jest równoznaczne z rezygnacją z mikrodotacji.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19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Realizacja mikroprojektu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realizuje mikroprojekt zgodnie z wnioskiem, budżetem i harmonogramem stanowiącymi załączniki do umowy.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prowadzi listy obecności odbiorców bezpośrednich, odrębnie dla każdego działania.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mikroprojektach realizowanych przez MiŚLOP Grantobiorca przeprowadza wśród uczestników działań odpornościowych ankietę na wejściu i na wyjściu, obejmującą co najmniej dwie osoby.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Przesunięcia w budżecie do 20 procent wartości pozycji nie wymagają zgody Operatora. Przesunięcia większe oraz zmiana zakresu działań wymagają zgody wyrażonej w systemie konkursowym przed dokonaniem wydatku.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niezwłocznie informuje Operatora o okolicznościach zagrażających realizacji mikroprojektu albo osiągnięciu wskaźników.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Wydarzenia organizowane w ramach mikroprojektu mają charakter apartyjny. Zabronione jest promowanie partii politycznych oraz prowadzenie agitacji wyborczej. Zakaz nie wyklucza działań zachęcających do udziału w wyborach.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w miarę możliwości zapewnia dostępność działań osobom ze szczególnymi potrzebami, w szczególności wybiera miejsca bez barier architektonicznych i przygotowuje materiały czytelne dla osób słabowidzących.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przechowuje dokumentację mikroprojektu, w tym dokumentację finansowo-księgową, przez okres 5 lat, licząc od początku roku następującego po roku, w którym realizował mikroprojekt.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Rzeczy zakupione ze środków mikrodotacji Grantobiorca zobowiązuje się nie zbywać przez okres 5 lat od dnia zakupu. Zgodę na wcześniejsze zbycie może wyrazić Operator, pod warunkiem przeznaczenia uzyskanych środków na cele statutowe Grantobiorcy.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20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Obowiązki informacyjne i promocyjne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oznacza wszystkie materiały informacyjne, promocyjne i szkoleniowe związane z mikroprojektem, a także dokumenty podawane do wiadomości publicznej, w tym zaproszenia, programy spotkań, listy obecności, dyplomy i zaświadczenia.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Oznaczenie obejmuje zestawienie znaków w kolejności: znak Komitetu do spraw Pożytku Publicznego, znak Narodowego Instytutu Wolności, znak Programu Moc Małych Społeczności, oraz napis informacyjny o treści:</w:t>
      </w:r>
    </w:p>
    <w:p>
      <w:pPr>
        <w:pBdr>
          <w:left w:val="single" w:color="FF5C39" w:sz="20" w:space="14"/>
        </w:pBdr>
        <w:spacing w:after="110" w:before="90"/>
        <w:ind w:left="800" w:right="300"/>
      </w:pPr>
      <w:r>
        <w:rPr>
          <w:rFonts w:ascii="Lato" w:cs="Lato" w:eastAsia="Lato" w:hAnsi="Lato"/>
          <w:i/>
          <w:iCs/>
          <w:color w:val="1A1712"/>
          <w:sz w:val="22"/>
          <w:szCs w:val="22"/>
        </w:rPr>
        <w:t xml:space="preserve">„Sfinansowano ze środków Narodowego Instytutu Wolności – Centrum Rozwoju Społeczeństwa Obywatelskiego w ramach Rządowego Programu wsparcia organizacji pozarządowych Moc Małych Społeczności”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Zestawienie znaków umieszcza się w górnej albo dolnej części materiału. Minimalna wysokość zestawienia wynosi 15 mm w druku oraz 70 pikseli na ekranie. Wszystkie znaki w zestawieniu mają tę samą wielkość.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prowadzący stronę internetową lub profil w serwisie społecznościowym umieszcza tam informację o finansowaniu mikroprojektu ze środków budżetu państwa, nazwę Programu, nazwę zadania, wartość dofinansowania oraz krótki opis mikroprojektu. Informacja pozostaje opublikowana przez 90 dni od dnia zakończenia mikroprojektu.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Na początku każdego wydarzenia organizowanego w ramach mikroprojektu Grantobiorca przedstawia informację o finansowaniu zadania publicznego ze środków Narodowego Instytutu Wolności w ramach Programu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udostępnia w systemie konkursowym gotowy pakiet oznaczeń wraz z plikami znaków i instrukcją ich stosowania.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Wykonanie obowiązków informacyjnych podlega sprawdzeniu podczas monitoringu oraz przy rozliczeniu mikrodotacji.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21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Standardy ochrony małoletnich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prowadzący działania z udziałem małoletnich wdraża standardy ochrony małoletnich zgodnie z ustawą z dnia 13 maja 2016 r. o przeciwdziałaniu zagrożeniom przestępczością na tle seksualnym i ochronie małoletnich.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weryfikuje osoby pracujące z małoletnimi w Rejestrze Sprawców Przestępstw na Tle Seksualnym oraz przechowuje dokumentację tej weryfikacji.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udostępnia wzór standardów w dokumentacji konkursowej. Oświadczenie o wdrożeniu standardów podlega sprawdzeniu na etapie oceny formalnej oraz przy rozliczeniu.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22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Ochrona danych osobowych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Administratorem danych osobowych wnioskodawców i Grantobiorców jest Fundacja Klaster Innowacji Społecznych.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Dane są przetwarzane w zakresie niezbędnym do przeprowadzenia Konkursu, zawarcia i rozliczenia umów oraz ewaluacji zadania, na terytorium Rzeczypospolitej Polskiej.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jest administratorem danych osobowych uczestników swojego mikroprojektu i odpowiada za zgodne z prawem ich przetwarzanie, w tym za pozyskanie zgód na wykorzystanie wizerunku.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Szczegółowe informacje zawiera klauzula informacyjna dostępna w systemie konkursowym.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23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Monitoring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Monitoringiem obejmuje się co najmniej 20 procent mikroprojektów, to jest około 24 wizyty w terenie.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Próbę dobiera się tak, aby była reprezentatywna dla typów podmiotów oraz dla subregionów. Próba obejmuje obowiązkowo mikroprojekty realizowane przez podmioty ubiegające się o mikrodotację po raz pierwszy, mikroprojekty o najwyższej wartości oraz te, w których wystąpiły sygnały opóźnień.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Wizyta monitoringowa jest prowadzona na jednolitej karcie monitoringu i obejmuje sprawdzenie: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zgodności realizowanych działań z umową i harmonogramem;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faktycznego występowania komponentu odporności;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prawidłowości wydatkowania i dokumentowania kosztów;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d)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prowadzenia list obecności i dokumentacji rezultatów;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e)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wykonania obowiązków informacyjnych;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f)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stosowania standardów ochrony małoletnich, jeżeli w działaniach uczestniczą małoletni.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Ustalenia z wizyty zapisuje się w karcie monitoringu. W razie potrzeby Operator formułuje zalecenia z terminem wdrożenia, a ich wykonanie weryfikuje przy rozliczeniu.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Część monitoringu na obszarze objętym własnymi działaniami prowadzi Instytut Roździeńskiego, według tej samej karty i w tym samym systemie sprawozdawczym.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poddaje się kontroli prowadzonej przez Operatora, przez Narodowy Instytut Wolności oraz przez Kancelarię Prezesa Rady Ministrów, umożliwia wizytę w miejscu realizacji mikroprojektu i udostępnia dokumentację na żądanie kontrolującego w wyznaczonym terminie. Uniemożliwienie kontroli jest równoznaczne z wykorzystaniem mikrodotacji niezgodnie z przeznaczeniem.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opisuje dowody księgowe mikroprojektu w sposób trwały, umieszczając na nich adnotację: „Sfinansowano ze środków Narodowego Instytutu Wolności – Centrum Rozwoju Społeczeństwa Obywatelskiego w ramach Programu MOC MAŁYCH SPOŁECZNOŚCI w wysokości ......... w ramach realizacji zadania określonego umową nr .........”.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24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Sprawozdanie i rozliczenie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Grantobiorca składa sprawozdanie końcowe w systemie konkursowym, w terminie wskazanym w umowie, wraz z opisanymi dokumentami finansowymi, listami obecności oraz dokumentacją potwierdzającą osiągnięcie rezultatów.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System kontroluje kompletność załączników automatycznie. W razie braków Operator wzywa do jednokrotnego uzupełnienia w wyznaczonym terminie.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ocenia się dwutorowo: merytorycznie, pod kątem osiągnięcia rezultatów, oraz finansowo, pod kątem kwalifikowalności i prawidłowości wydatków.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Stosuje się jednolity próg wskaźnikowy: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a)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prawidłowe, jeżeli Grantobiorca wykonał wszystkie zaplanowane działania i osiągnął co najmniej 80 procent wskaźników rezultatu;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b)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rozliczenie proporcjonalne, jeżeli poziom osiągnięcia wskaźników wynosi od 50 do 80 procent; Grantobiorca rozlicza wówczas część mikrodotacji odpowiadającą stopniowi realizacji, a pozostałą część zwraca;</w:t>
      </w:r>
    </w:p>
    <w:p>
      <w:pPr>
        <w:tabs>
          <w:tab w:val="left" w:pos="800"/>
        </w:tabs>
        <w:spacing w:after="60"/>
        <w:ind w:left="800" w:hanging="340"/>
      </w:pPr>
      <w:r>
        <w:rPr>
          <w:rFonts w:ascii="Lato" w:cs="Lato" w:eastAsia="Lato" w:hAnsi="Lato"/>
          <w:color w:val="6B6152"/>
          <w:sz w:val="22"/>
          <w:szCs w:val="22"/>
        </w:rPr>
        <w:t xml:space="preserve">c)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zwrot całości mikrodotacji, jeżeli poziom osiągnięcia wskaźników jest niższy niż 50 procent.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Osiągnięcie wskaźników potwierdzają: listy obecności, ankiety na wejściu i na wyjściu oraz dokumentacja działań, a w mikroprojektach objętych monitoringiem także karta obserwacji.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Zatwierdzenie sprawozdania Operator potwierdza w systemie konkursowym.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25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Zwrot środków i nieprawidłowości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przypadku stwierdzenia wydatków niekwalifikowalnych, wykorzystania środków niezgodnie z umową albo niezrealizowania działań, Operator wzywa Grantobiorcę do zwrotu odpowiedniej części mikrodotacji wraz z odsetkami liczonymi jak od zaległości podatkowych.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Termin zwrotu wynosi 14 dni od dnia doręczenia wezwania.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Środki niewykorzystane Grantobiorca zwraca w terminie wskazanym w umowie, bez odrębnego wezwania.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Stwierdzone nieprawidłowości Operator dokumentuje i uwzględnia przy ocenie potencjału realizatora w kolejnych naborach.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26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Postanowienia końcowe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prowadzi rejestr umów, list rankingowych i rezerwowych oraz statusów rozliczeń, w podziale na cztery subregiony.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Zestawienie dofinansowanych inicjatyw, obejmujące nazwę podmiotu, subregion, kwotę, tytuł mikroprojektu oraz wskazany obszar odporności, Operator publikuje po rozstrzygnięciu naboru.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zastrzega prawo zmiany regulaminu w zakresie wynikającym z umowy o realizację zadania publicznego albo ze zmiany przepisów. Zmiany publikuje się na stronie Konkursu. Zmiana nie działa na niekorzyść wniosków już złożonych.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Operator zastrzega prawo unieważnienia Konkursu, jeżeli nie dojdzie do zawarcia umowy o realizację zadania publicznego albo jeżeli umowa ta zostanie rozwiązana.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 sprawach nieuregulowanych stosuje się przepisy ustawy z dnia 24 kwietnia 2003 r. o działalności pożytku publicznego i o wolontariacie, postanowienia Programu Moc Małych Społeczności oraz przepisy Kodeksu cywilnego.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Regulamin wchodzi w życie z dniem publikacji na stronie Konkursu, 6 września 2026, i obowiązuje od pierwszego dnia naboru.</w:t>
      </w:r>
    </w:p>
    <w:p>
      <w:pPr>
        <w:keepNext/>
        <w:spacing w:after="40" w:before="32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§ </w:t>
      </w:r>
    </w:p>
    <w:p>
      <w:pPr>
        <w:keepNext/>
        <w:spacing w:after="140"/>
      </w:pPr>
      <w:r>
        <w:rPr>
          <w:rFonts w:ascii="Fraunces" w:cs="Fraunces" w:eastAsia="Fraunces" w:hAnsi="Fraunces"/>
          <w:b/>
          <w:bCs/>
          <w:color w:val="1A1712"/>
          <w:sz w:val="26"/>
          <w:szCs w:val="26"/>
        </w:rPr>
        <w:t xml:space="preserve">Załączniki do regulaminu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1.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wniosku o mikrodotację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2.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Karta oceny formalnej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3.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Karta oceny merytorycznej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4.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umowy o powierzenie mikrodotacji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5.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sprawozdania końcowego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6.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standardów ochrony małoletnich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7.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Klauzule informacyjne RODO i wzory zgód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8.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Pakiet oznaczeń wraz z plikami znaków i instrukcją stosowania</w:t>
      </w:r>
    </w:p>
    <w:p>
      <w:pPr>
        <w:tabs>
          <w:tab w:val="left" w:pos="400"/>
        </w:tabs>
        <w:spacing w:after="80"/>
        <w:ind w:left="400" w:hanging="400"/>
      </w:pPr>
      <w:r>
        <w:rPr>
          <w:rFonts w:ascii="Lato" w:cs="Lato" w:eastAsia="Lato" w:hAnsi="Lato"/>
          <w:color w:val="6B6152"/>
          <w:sz w:val="22"/>
          <w:szCs w:val="22"/>
        </w:rPr>
        <w:t xml:space="preserve">9.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Wzór ankiety na wejściu i na wyjściu dla mikroprojektów MiŚLOP</w:t>
      </w:r>
    </w:p>
    <w:sectPr>
      <w:headerReference w:type="default" r:id="rId7"/>
      <w:footerReference w:type="default" r:id="rId8"/>
      <w:pgSz w:w="11906" w:h="16838" w:orient="portrait"/>
      <w:pgMar w:top="1700" w:right="1247" w:bottom="1247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Regulamin konkursu na mikrodotacje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konkursu na mikrodotacje, Moc Małych Społeczności – Śląskie</dc:title>
  <dc:creator>Fundacja Klaster Innowacji Społecznych</dc:creator>
  <dc:description>Regulamin konkursu mikrodotacji, zadanie Wielka Moc Małych Społeczności – Odporne Śląskie 2026</dc:description>
  <cp:lastModifiedBy>Un-named</cp:lastModifiedBy>
  <cp:revision>1</cp:revision>
  <dcterms:created xsi:type="dcterms:W3CDTF">2026-09-08T11:37:56.899Z</dcterms:created>
  <dcterms:modified xsi:type="dcterms:W3CDTF">2026-09-08T11:37:56.900Z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