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</w:pPr>
      <w:r>
        <w:drawing>
          <wp:inline distT="0" distB="0" distL="0" distR="0">
            <wp:extent cx="2209800" cy="409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FF5C39" w:color="auto" w:val="clear"/>
        <w:spacing w:after="180"/>
        <w:ind w:left="90" w:right="90"/>
      </w:pPr>
      <w:r>
        <w:rPr>
          <w:rFonts w:ascii="Lato" w:cs="Lato" w:eastAsia="Lato" w:hAnsi="Lato"/>
          <w:b/>
          <w:bCs/>
          <w:color w:val="FFFFFF"/>
          <w:spacing w:val="50"/>
          <w:sz w:val="17"/>
          <w:szCs w:val="17"/>
        </w:rPr>
        <w:t xml:space="preserve">REGULAMIN KONKURSU</w:t>
      </w:r>
    </w:p>
    <w:p>
      <w:pPr>
        <w:spacing w:after="60" w:before="260"/>
      </w:pPr>
      <w:r>
        <w:rPr>
          <w:rFonts w:ascii="Fraunces" w:cs="Fraunces" w:eastAsia="Fraunces" w:hAnsi="Fraunces"/>
          <w:b/>
          <w:bCs/>
          <w:color w:val="1A1712"/>
          <w:sz w:val="52"/>
          <w:szCs w:val="52"/>
        </w:rPr>
        <w:t xml:space="preserve">Regulamin konkursu na mikrodotacje</w:t>
      </w:r>
    </w:p>
    <w:p>
      <w:pPr>
        <w:spacing w:after="360"/>
      </w:pPr>
      <w:r>
        <w:rPr>
          <w:rFonts w:ascii="Fraunces" w:cs="Fraunces" w:eastAsia="Fraunces" w:hAnsi="Fraunces"/>
          <w:color w:val="FF5C39"/>
          <w:sz w:val="34"/>
          <w:szCs w:val="34"/>
        </w:rPr>
        <w:t xml:space="preserve">Moc Małych Społeczności – Śląskie</w:t>
      </w:r>
    </w:p>
    <w:p>
      <w:pPr>
        <w:pBdr>
          <w:top w:val="single" w:color="1A1712" w:sz="12" w:space="10"/>
        </w:pBdr>
        <w:spacing w:after="80"/>
      </w:pP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KONKURS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Moc Małych Społeczności – Śląskie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ZADANIE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Wielka Moc Małych Społeczności – Odporne Śląskie 2026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PROGRAM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Rządowy Program wsparcia organizacji pozarządowych Moc Małych Społeczności 2026, Priorytet 2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UMOWA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nr 12/2/MMS/2026, oferta nr 97594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OPERATOR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Fundacja Klaster Innowacji Społecznych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WSPÓŁOFERENT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Instytut Roździeńskiego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WERSJA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wersja 1.6, 6 września 2026</w:t>
      </w:r>
    </w:p>
    <w:p>
      <w:pPr>
        <w:pBdr>
          <w:top w:val="single" w:color="1A1712" w:sz="12" w:space="14"/>
        </w:pBdr>
        <w:spacing w:after="120" w:before="360"/>
      </w:pPr>
      <w:r>
        <w:rPr>
          <w:rFonts w:ascii="Lato" w:cs="Lato" w:eastAsia="Lato" w:hAnsi="Lato"/>
          <w:b/>
          <w:bCs/>
          <w:color w:val="6B6152"/>
          <w:spacing w:val="40"/>
          <w:sz w:val="17"/>
          <w:szCs w:val="17"/>
        </w:rPr>
        <w:t xml:space="preserve">ZADANIE FINANSOWANE ZE ŚRODKÓW BUDŻETU PAŃSTWA</w:t>
      </w:r>
    </w:p>
    <w:p>
      <w:pPr>
        <w:spacing w:after="180"/>
      </w:pPr>
      <w:r>
        <w:drawing>
          <wp:inline distT="0" distB="0" distL="0" distR="0">
            <wp:extent cx="4000500" cy="733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Lato" w:cs="Lato" w:eastAsia="Lato" w:hAnsi="Lato"/>
          <w:color w:val="1A1712"/>
          <w:sz w:val="21"/>
          <w:szCs w:val="21"/>
        </w:rPr>
        <w:t xml:space="preserve">Sfinansowano ze środków Narodowego Instytutu Wolności – Centrum Rozwoju Społeczeństwa Obywatelskiego w ramach Rządowego Programu wsparcia organizacji pozarządowych Moc Małych Społeczności.</w:t>
      </w:r>
    </w:p>
    <w:p>
      <w:pPr>
        <w:spacing w:after="280"/>
      </w:pPr>
      <w:r>
        <w:rPr>
          <w:rFonts w:ascii="Lato" w:cs="Lato" w:eastAsia="Lato" w:hAnsi="Lato"/>
          <w:color w:val="6B6152"/>
          <w:sz w:val="21"/>
          <w:szCs w:val="21"/>
        </w:rPr>
        <w:t xml:space="preserve">Konkurs „Moc Małych Społeczności – Śląskie” prowadzony jest w ramach zadania „Wielka Moc Małych Społeczności – Odporne Śląskie 2026”, które realizują wspólnie Fundacja Klaster Innowacji Społecznych, lider oferty wspólnej, oraz Instytut Roździeńskiego, współoferent.</w:t>
      </w:r>
    </w:p>
    <w:p>
      <w:pPr>
        <w:spacing w:after="180"/>
      </w:pPr>
      <w:r>
        <w:drawing>
          <wp:inline distT="0" distB="0" distL="0" distR="0">
            <wp:extent cx="1123950" cy="676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ato" w:cs="Lato" w:eastAsia="Lato" w:hAnsi="Lato"/>
          <w:sz w:val="22"/>
          <w:szCs w:val="22"/>
        </w:rPr>
        <w:t xml:space="preserve">        </w:t>
      </w:r>
      <w:r>
        <w:drawing>
          <wp:inline distT="0" distB="0" distL="0" distR="0">
            <wp:extent cx="809625" cy="676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962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after="40" w:before="32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1</w:t>
      </w:r>
    </w:p>
    <w:p>
      <w:pPr>
        <w:keepNext/>
        <w:spacing w:after="140"/>
      </w:pPr>
      <w:r>
        <w:rPr>
          <w:rFonts w:ascii="Fraunces" w:cs="Fraunces" w:eastAsia="Fraunces" w:hAnsi="Fraunces"/>
          <w:b/>
          <w:bCs/>
          <w:color w:val="1A1712"/>
          <w:sz w:val="26"/>
          <w:szCs w:val="26"/>
        </w:rPr>
        <w:t xml:space="preserve">Postanowienia ogólne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Niniejszy regulamin określa zasady przyznawania, wydatkowania i rozliczania mikrodotacji w konkursie „Moc Małych Społeczności – Śląskie”, zwanym dalej Konkursem.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Nazwa Konkursu brzmi „Moc Małych Społeczności – Śląskie” i jest stosowana jednolicie w ogłoszeniu o naborze, w regulaminie, w formularzach oraz we wszystkich materiałach informacyjnych, zgodnie z § 1 ust. 4 umowy nr 12/2/MMS/2026. Określenie „Odporne Śląskie 2026” jest skróconą nazwą zadania publicznego i hasłem kampanii informacyjnej, nie zastępuje nazwy Konkursu.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Organizatorem Konkursu, zwanym dalej Operatorem, jest Fundacja Klaster Innowacji Społecznych z siedzibą w Gliwicach przy ulicy o. Jana Siemińskiego 22, 44-100 Gliwice, wpisana do Krajowego Rejestru Sądowego pod numerem 0000577540, NIP 6312658876, działająca jako lider oferty wspólnej.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Współoferentem, będącym stroną umowy o realizację zadania publicznego, jest Instytut Roździeńskiego z siedzibą w Katowicach przy ulicy Mariackiej 6/7, 40-014 Katowice, wpisany do Krajowego Rejestru Sądowego pod numerem 0000576508, NIP 6312658793.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5.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Konkurs jest elementem zadania publicznego „Wielka Moc Małych Społeczności – Odporne Śląskie 2026”, realizowanego na podstawie oferty wspólnej nr 97594 oraz umowy nr 12/2/MMS/2026 zawartej z Narodowym Instytutem Wolności – Centrum Rozwoju Społeczeństwa Obywatelskiego.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6.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Zadanie jest finansowane ze środków Narodowego Instytutu Wolności – Centrum Rozwoju Społeczeństwa Obywatelskiego w ramach Rządowego Programu wsparcia organizacji pozarządowych Moc Małych Społeczności, Priorytet 2.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7.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Konkurs jest prowadzony w trybie art. 16a ustawy z dnia 24 kwietnia 2003 r. o działalności pożytku publicznego i o wolontariacie.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8.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Konkurs obejmuje obszar województwa śląskiego.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9.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Nabór wniosków, ocena, zawarcie umowy oraz rozliczenie mikrodotacji odbywają się w całości w postaci elektronicznej, w systemie konkursowym Operatora. Wnioskodawca nie składa dokumentów w postaci papierowej.</w:t>
      </w:r>
    </w:p>
    <w:p>
      <w:pPr>
        <w:keepNext/>
        <w:spacing w:after="40" w:before="32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2</w:t>
      </w:r>
    </w:p>
    <w:p>
      <w:pPr>
        <w:keepNext/>
        <w:spacing w:after="140"/>
      </w:pPr>
      <w:r>
        <w:rPr>
          <w:rFonts w:ascii="Fraunces" w:cs="Fraunces" w:eastAsia="Fraunces" w:hAnsi="Fraunces"/>
          <w:b/>
          <w:bCs/>
          <w:color w:val="1A1712"/>
          <w:sz w:val="26"/>
          <w:szCs w:val="26"/>
        </w:rPr>
        <w:t xml:space="preserve">Słowniczek</w:t>
      </w:r>
    </w:p>
    <w:p>
      <w:pPr>
        <w:spacing w:after="140"/>
      </w:pPr>
      <w:r>
        <w:rPr>
          <w:rFonts w:ascii="Lato" w:cs="Lato" w:eastAsia="Lato" w:hAnsi="Lato"/>
          <w:color w:val="1A1712"/>
          <w:sz w:val="22"/>
          <w:szCs w:val="22"/>
        </w:rPr>
        <w:t xml:space="preserve">Ilekroć w regulaminie jest mowa o: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mikrodotacji, rozumie się przez to środki finansowe powierzone Grantobiorcy na realizację mikroprojektu, w kwocie od 1 000 zł do 10 000 zł;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mikroprojekcie, rozumie się przez to inicjatywę lokalną realizowaną przez Grantobiorcę, zawierającą obowiązkowy komponent odporności;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MiŚLOP, rozumie się przez to małe i średnie lokalne organizacje pozarządowe, to jest stowarzyszenia, fundacje, koła gospodyń wiejskich, ochotnicze straże pożarne posiadające osobowość prawną oraz kluby sportowe, których średni roczny przychód z trzech ostatnich zamkniętych lat budżetowych nie przekroczył 200 000 zł oraz które są zarejestrowane i prowadzą działalność na terenach wiejskich albo w miejscowościach liczących nie więcej niż 100 000 mieszkańców;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grupie nieformalnej, rozumie się przez to co najmniej trzy osoby fizyczne działające wspólnie, nieposiadające osobowości prawnej, zamieszkałe na terenie województwa śląskiego;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5.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organizacji patronackiej, rozumie się przez to podmiot posiadający osobowość prawną, który użycza jej grupie nieformalnej i przyjmuje na siebie odpowiedzialność za rozliczenie mikrodotacji;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6.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komponencie odporności, rozumie się przez to element mikroprojektu dotyczący odporności społecznej, bezpieczeństwa lokalnego albo reagowania na sytuacje kryzysowe;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7.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subregionie, rozumie się przez to jeden z czterech obszarów podziału puli: zachodni, południowy, centralny albo północny, zgodnie z § 7 ustęp 4;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8.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systemie konkursowym, rozumie się przez to narzędzie elektroniczne Operatora służące do składania wniosków, oceny, zawierania umów i rozliczeń;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9.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Grantobiorcy, rozumie się przez to podmiot uprawniony wymieniony w § 4, z którym Operator zawarł umowę o powierzenie mikrodotacji.</w:t>
      </w:r>
    </w:p>
    <w:p>
      <w:pPr>
        <w:keepNext/>
        <w:spacing w:after="40" w:before="32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3</w:t>
      </w:r>
    </w:p>
    <w:p>
      <w:pPr>
        <w:keepNext/>
        <w:spacing w:after="140"/>
      </w:pPr>
      <w:r>
        <w:rPr>
          <w:rFonts w:ascii="Fraunces" w:cs="Fraunces" w:eastAsia="Fraunces" w:hAnsi="Fraunces"/>
          <w:b/>
          <w:bCs/>
          <w:color w:val="1A1712"/>
          <w:sz w:val="26"/>
          <w:szCs w:val="26"/>
        </w:rPr>
        <w:t xml:space="preserve">Cel Konkursu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Celem Konkursu jest zwiększenie odporności małych społeczności województwa śląskiego na kryzysy przez powierzenie mikrodotacji na oddolne inicjatywy lokalne.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Operator powierzy mikrodotacje na co najmniej 104 inicjatywy, w tym co najmniej 69 realizowanych przez MiŚLOP.</w:t>
      </w:r>
    </w:p>
    <w:p>
      <w:pPr>
        <w:keepNext/>
        <w:spacing w:after="40" w:before="32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4</w:t>
      </w:r>
    </w:p>
    <w:p>
      <w:pPr>
        <w:keepNext/>
        <w:spacing w:after="140"/>
      </w:pPr>
      <w:r>
        <w:rPr>
          <w:rFonts w:ascii="Fraunces" w:cs="Fraunces" w:eastAsia="Fraunces" w:hAnsi="Fraunces"/>
          <w:b/>
          <w:bCs/>
          <w:color w:val="1A1712"/>
          <w:sz w:val="26"/>
          <w:szCs w:val="26"/>
        </w:rPr>
        <w:t xml:space="preserve">Podmioty uprawnione do udziału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 mikrodotację mogą ubiegać się: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a)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MiŚLOP;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b)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lokalne grupy nieformalne liczące co najmniej trzy osoby, działające samodzielnie albo za pośrednictwem organizacji patronackiej;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c)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organizacje patronackie działające na rzecz grup nieformalnych.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Warunkiem udziału jest siedziba albo miejsce zamieszkania w województwie śląskim, w miejscowości liczącej nie więcej niż 100 000 mieszkańców. Przy grupie nieformalnej działającej samodzielnie liczy się miejsce zamieszkania osoby do kontaktu wskazanej we wniosku.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Liczbę mieszkańców ustala się na podstawie danych Głównego Urzędu Statystycznego według stanu na dzień 31 grudnia roku poprzedzającego ogłoszenie Konkursu.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Jeden podmiot może złożyć jeden wniosek i otrzymać jedną mikrodotację. Zasada dotyczy również podmiotu występującego jako organizacja patronacka dla więcej niż jednej grupy nieformalnej.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5.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Grupa nieformalna działająca przez organizację patronacką wskazuje ją we wniosku. Stroną umowy o powierzenie mikrodotacji jest wówczas organizacja patronacka.</w:t>
      </w:r>
    </w:p>
    <w:p>
      <w:pPr>
        <w:keepNext/>
        <w:spacing w:after="40" w:before="32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5</w:t>
      </w:r>
    </w:p>
    <w:p>
      <w:pPr>
        <w:keepNext/>
        <w:spacing w:after="140"/>
      </w:pPr>
      <w:r>
        <w:rPr>
          <w:rFonts w:ascii="Fraunces" w:cs="Fraunces" w:eastAsia="Fraunces" w:hAnsi="Fraunces"/>
          <w:b/>
          <w:bCs/>
          <w:color w:val="1A1712"/>
          <w:sz w:val="26"/>
          <w:szCs w:val="26"/>
        </w:rPr>
        <w:t xml:space="preserve">Wyłączenia z udziału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Z udziału w Konkursie wyłączone są podmioty: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a)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wpisane do rejestru podmiotów wykluczonych z możliwości otrzymania środków publicznych;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b)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zalegające z należnościami publicznoprawnymi;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c)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wobec których toczy się postępowanie egzekucyjne dotyczące zobowiązań publicznoprawnych;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d)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niespełniające warunków formalnych Rządowego Programu wsparcia organizacji pozarządowych Moc Małych Społeczności.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Spełnienie warunków, o których mowa w ustępie 1, weryfikuje się na etapie oceny formalnej na podstawie oświadczeń wnioskodawcy złożonych pod rygorem odpowiedzialności karnej za podanie danych niezgodnych ze stanem faktycznym lub prawnym.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Członkowie komisji oceniającej, osoby zatrudnione u Operatora oraz u współoferenta, a także podmioty, w których osoby te pełnią funkcje w organach zarządzających lub kontrolnych, nie mogą ubiegać się o mikrodotację.</w:t>
      </w:r>
    </w:p>
    <w:p>
      <w:pPr>
        <w:keepNext/>
        <w:spacing w:after="40" w:before="32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6</w:t>
      </w:r>
    </w:p>
    <w:p>
      <w:pPr>
        <w:keepNext/>
        <w:spacing w:after="140"/>
      </w:pPr>
      <w:r>
        <w:rPr>
          <w:rFonts w:ascii="Fraunces" w:cs="Fraunces" w:eastAsia="Fraunces" w:hAnsi="Fraunces"/>
          <w:b/>
          <w:bCs/>
          <w:color w:val="1A1712"/>
          <w:sz w:val="26"/>
          <w:szCs w:val="26"/>
        </w:rPr>
        <w:t xml:space="preserve">Obowiązkowy komponent odporności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Każdy mikroprojekt musi zawierać co najmniej jeden element dotyczący odporności społecznej, bezpieczeństwa lokalnego albo reagowania na sytuacje kryzysowe.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Obecność komponentu odporności jest kryterium dopuszczającym o charakterze zero-jedynkowym. Wniosek pozbawiony komponentu nie podlega ocenie merytorycznej.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Dla ujednolicenia oceny Operator odwołuje się do obszarów Poradnika Bezpieczeństwa Ministerstwa Spraw Wewnętrznych i Administracji. Mikroprojekt spełnia warunek, jeżeli dotyczy co najmniej jednego z obszarów: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a)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pierwsza pomoc i obsługa automatycznego defibrylatora zewnętrznego;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b)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klęski żywiołowe oraz długotrwała przerwa w dostawie prądu;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c)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bezpieczeństwo cyfrowe, dezinformacja i oszustwa;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d)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sieci sąsiedzkie i wolontariat spontaniczny;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e)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współpraca ze służbami oraz z jednostkami ochotniczych straży pożarnych.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Na etapie oceny merytorycznej ocenie podlega jakość komponentu, to jest jego powiązanie ze zdiagnozowaną potrzebą lokalną oraz trwałość efektu. Komponent wskazany wyłącznie formalnie, bez powiązania z zaplanowanymi działaniami, skutkuje niską punktacją w kryterium pierwszym.</w:t>
      </w:r>
    </w:p>
    <w:p>
      <w:pPr>
        <w:keepNext/>
        <w:spacing w:after="40" w:before="32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7</w:t>
      </w:r>
    </w:p>
    <w:p>
      <w:pPr>
        <w:keepNext/>
        <w:spacing w:after="140"/>
      </w:pPr>
      <w:r>
        <w:rPr>
          <w:rFonts w:ascii="Fraunces" w:cs="Fraunces" w:eastAsia="Fraunces" w:hAnsi="Fraunces"/>
          <w:b/>
          <w:bCs/>
          <w:color w:val="1A1712"/>
          <w:sz w:val="26"/>
          <w:szCs w:val="26"/>
        </w:rPr>
        <w:t xml:space="preserve">Pula środków i podział na subregiony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Pula Konkursu wynosi 854 000 zł.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Operator zawiera 108 umów o powierzenie mikrodotacji, aby zabezpieczyć rozliczenie co najmniej 104 mikroprojektów mimo możliwych rezygnacji.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Pulę dzieli się na cztery subregiony, z odrębnym limitem środków oraz odrębną listą rankingową dla każdego z nich. Limit dla każdego subregionu wynosi 213 500 zł.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Przyporządkowanie do subregionu wynika z siedziby wnioskodawcy, a przy grupie nieformalnej działającej samodzielnie z miejsca zamieszkania osoby do kontaktu wskazanej we wniosku: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a)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subregion zachodni obejmuje powiaty raciborski, rybnicki, wodzisławski oraz miasta Żory i Jastrzębie-Zdrój;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b)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subregion południowy obejmuje powiaty bielski, cieszyński, żywiecki i pszczyński;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c)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subregion centralny obejmuje powiaty będziński, gliwicki, tarnogórski, mikołowski i bieruńsko-lędziński oraz miejscowości aglomeracji poniżej progu 100 000 mieszkańców;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d)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subregion północny obejmuje powiaty częstochowski, kłobucki, myszkowski, zawierciański i lubliniecki.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5.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Wniosek konkuruje o środki wyłącznie z wnioskami złożonymi w tym samym subregionie.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6.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Środki niewykorzystane w jednym subregionie Operator może przenieść do subregionu, w którym lista rezerwowa nie została wyczerpana. Przeniesienie następuje po zamknięciu kontraktacji we wszystkich subregionach i wymaga pisemnej decyzji Operatora, publikowanej na stronie Konkursu.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7.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Operator prowadzi w każdym subregionie wyodrębnioną pulę dla MiŚLOP, tak aby osiągnąć minimum 69 mikrodotacji dla tej kategorii podmiotów w skali Konkursu. Jeżeli na liście rankingowej subregionu liczba wniosków MiŚLOP rekomendowanych w limicie środków jest niższa niż 18, Operator rekomenduje kolejne wnioski MiŚLOP z listy rezerwowej tego subregionu, w kolejności liczby punktów, w miejsce najniżej ocenionych wniosków innych podmiotów, aż do osiągnięcia 18 wniosków MiŚLOP.</w:t>
      </w:r>
    </w:p>
    <w:p>
      <w:pPr>
        <w:keepNext/>
        <w:spacing w:after="40" w:before="32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8</w:t>
      </w:r>
    </w:p>
    <w:p>
      <w:pPr>
        <w:keepNext/>
        <w:spacing w:after="140"/>
      </w:pPr>
      <w:r>
        <w:rPr>
          <w:rFonts w:ascii="Fraunces" w:cs="Fraunces" w:eastAsia="Fraunces" w:hAnsi="Fraunces"/>
          <w:b/>
          <w:bCs/>
          <w:color w:val="1A1712"/>
          <w:sz w:val="26"/>
          <w:szCs w:val="26"/>
        </w:rPr>
        <w:t xml:space="preserve">Wysokość mikrodotacji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Kwota mikrodotacji wynosi od 1 000 zł do 10 000 zł.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Wartość przeciętna zakładana przez Operatora wynosi około 7 900 zł. Wartość ta ma charakter planistyczny i nie stanowi kwoty gwarantowanej ani zalecanej.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Mikrodotacja jest powierzeniem w rozumieniu art. 16a ustawy o działalności pożytku publicznego i o wolontariacie. Grantobiorca nie wnosi wkładu własnego.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Operator nie przyznaje mikrodotacji w kwocie wyższej niż wnioskowana.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5.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Środki mikrodotacji Grantobiorca przeznacza wyłącznie na działalność pożytku publicznego.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6.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Grantobiorca nie pobiera od odbiorców mikroprojektu żadnych świadczeń pieniężnych. Udział w działaniach finansowanych z mikrodotacji jest bezpłatny.</w:t>
      </w:r>
    </w:p>
    <w:p>
      <w:pPr>
        <w:keepNext/>
        <w:spacing w:after="40" w:before="32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9</w:t>
      </w:r>
    </w:p>
    <w:p>
      <w:pPr>
        <w:keepNext/>
        <w:spacing w:after="140"/>
      </w:pPr>
      <w:r>
        <w:rPr>
          <w:rFonts w:ascii="Fraunces" w:cs="Fraunces" w:eastAsia="Fraunces" w:hAnsi="Fraunces"/>
          <w:b/>
          <w:bCs/>
          <w:color w:val="1A1712"/>
          <w:sz w:val="26"/>
          <w:szCs w:val="26"/>
        </w:rPr>
        <w:t xml:space="preserve">Koszty kwalifikowalne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Kwalifikowalne są koszty bezpośrednio związane z realizacją mikroprojektu, poniesione w okresie realizacji wskazanym w umowie, udokumentowane, racjonalne oraz zgodne z budżetem stanowiącym załącznik do umowy.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Kwalifikowalne są w szczególności: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a)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wynagrodzenia osób prowadzących działania, w tym trenerów, ratowników i edukatorów;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b)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materiały, wyposażenie i sprzęt służące realizacji mikroprojektu;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c)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wynajem sal i sprzętu;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d)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koszty transportu i dojazdu;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e)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druk i opracowanie materiałów informacyjnych;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f)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wyżywienie uczestników w zakresie niezbędnym dla realizacji działania;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g)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koszty promocji mikroprojektu, w tym oznaczeń wymaganych regulaminem.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Wszystkie płatności są dokonywane bezgotówkowo, z rachunku bankowego Grantobiorcy, organizacji patronackiej albo członka grupy nieformalnej wskazanego w umowie.</w:t>
      </w:r>
    </w:p>
    <w:p>
      <w:pPr>
        <w:keepNext/>
        <w:spacing w:after="40" w:before="32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10</w:t>
      </w:r>
    </w:p>
    <w:p>
      <w:pPr>
        <w:keepNext/>
        <w:spacing w:after="140"/>
      </w:pPr>
      <w:r>
        <w:rPr>
          <w:rFonts w:ascii="Fraunces" w:cs="Fraunces" w:eastAsia="Fraunces" w:hAnsi="Fraunces"/>
          <w:b/>
          <w:bCs/>
          <w:color w:val="1A1712"/>
          <w:sz w:val="26"/>
          <w:szCs w:val="26"/>
        </w:rPr>
        <w:t xml:space="preserve">Koszty niekwalifikowalne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Niekwalifikowalne są w szczególności: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a)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wydatek majątkowy o wartości jednostkowej przekraczającej 10 000 zł;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b)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koszty poniesione przed dniem rozpoczęcia i po dniu zakończenia realizacji mikroprojektu;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c)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kary umowne, grzywny, odsetki od zobowiązań oraz koszty postępowań sądowych;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d)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zakup napojów alkoholowych i wyrobów tytoniowych;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e)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wydatki pokryte z innego źródła publicznego, stanowiące podwójne finansowanie;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f)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zakup nieruchomości oraz koszty prac budowlanych;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g)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wydatki niezwiązane z realizacją mikroprojektu.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Stwierdzenie poniesienia kosztu niekwalifikowalnego skutkuje żądaniem zwrotu odpowiedniej części mikrodotacji na zasadach określonych w § 25.</w:t>
      </w:r>
    </w:p>
    <w:p>
      <w:pPr>
        <w:keepNext/>
        <w:spacing w:after="40" w:before="32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11</w:t>
      </w:r>
    </w:p>
    <w:p>
      <w:pPr>
        <w:keepNext/>
        <w:spacing w:after="140"/>
      </w:pPr>
      <w:r>
        <w:rPr>
          <w:rFonts w:ascii="Fraunces" w:cs="Fraunces" w:eastAsia="Fraunces" w:hAnsi="Fraunces"/>
          <w:b/>
          <w:bCs/>
          <w:color w:val="1A1712"/>
          <w:sz w:val="26"/>
          <w:szCs w:val="26"/>
        </w:rPr>
        <w:t xml:space="preserve">Rozwój instytucjonalny Grantobiorcy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MiŚLOP mogą przeznaczyć nie więcej niż 50 procent mikrodotacji na rozwój własnej organizacji, w szczególności na sprzęt biurowy, oprogramowanie, stronę internetową, szkolenie zarządu oraz opracowanie dokumentacji wewnętrznej.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Lokalne grupy nieformalne przeznaczają całość środków na działania merytoryczne. Nie mogą finansować rozwoju instytucjonalnego ani nabywać środków trwałych.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Wydatek na rozwój instytucjonalny wnioskodawca opisuje we wniosku i uzasadnia jego związek ze zdolnością organizacji do prowadzenia działalności po zakończeniu mikroprojektu.</w:t>
      </w:r>
    </w:p>
    <w:p>
      <w:pPr>
        <w:keepNext/>
        <w:spacing w:after="40" w:before="32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12</w:t>
      </w:r>
    </w:p>
    <w:p>
      <w:pPr>
        <w:keepNext/>
        <w:spacing w:after="140"/>
      </w:pPr>
      <w:r>
        <w:rPr>
          <w:rFonts w:ascii="Fraunces" w:cs="Fraunces" w:eastAsia="Fraunces" w:hAnsi="Fraunces"/>
          <w:b/>
          <w:bCs/>
          <w:color w:val="1A1712"/>
          <w:sz w:val="26"/>
          <w:szCs w:val="26"/>
        </w:rPr>
        <w:t xml:space="preserve">Nabór wniosków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Nabór trwa co najmniej 30 dni i jest prowadzony wyłącznie w systemie konkursowym Operatora.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Wnioskodawca zakłada konto, wypełnia formularz, sporządza budżet, składa wymagane oświadczenia i przesyła wniosek. System potwierdza złożenie automatycznie, nadając wnioskowi numer oraz znacznik czasu.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Pole wskazujące obszar komponentu odporności jest obowiązkowe i podlega weryfikacji przy zapisie wniosku.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System konkursowy spełnia wymagania dostępności cyfrowej na poziomie WCAG 2.1 AA.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5.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Wnioskodawca może korzystać z bezpłatnego wsparcia: infolinii Operatora czynnej od poniedziałku do piątku w godzinach od 10:00 do 16:00 pod numerem 539 644 192, całodobowego asystenta AI w systemie konkursowym, szkoleń i webinariów Akademii Odporności, indywidualnego mentoringu oraz kontaktu mailowego z biurem Operatora pod adresem mms@klaster.org.pl.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6.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Wnioski złożone po terminie nie podlegają rozpatrzeniu. O zachowaniu terminu decyduje znacznik czasu nadany przez system konkursowy.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7.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Terminy Konkursu ogłasza Operator na stronie Konkursu. Terminy mogą ulec zmianie. O każdej zmianie Operator informuje na stronie Konkursu oraz mailem do osób zapisanych na powiadomienia.</w:t>
      </w:r>
    </w:p>
    <w:p>
      <w:pPr>
        <w:keepNext/>
        <w:spacing w:after="40" w:before="32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13</w:t>
      </w:r>
    </w:p>
    <w:p>
      <w:pPr>
        <w:keepNext/>
        <w:spacing w:after="140"/>
      </w:pPr>
      <w:r>
        <w:rPr>
          <w:rFonts w:ascii="Fraunces" w:cs="Fraunces" w:eastAsia="Fraunces" w:hAnsi="Fraunces"/>
          <w:b/>
          <w:bCs/>
          <w:color w:val="1A1712"/>
          <w:sz w:val="26"/>
          <w:szCs w:val="26"/>
        </w:rPr>
        <w:t xml:space="preserve">Ocena formalna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Oceny formalnej dokonuje jeden ekspert wskazany przez Operatora.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Ocena formalna obejmuje sprawdzenie: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a)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uprawnienia podmiotu do udziału w Konkursie;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b)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kompletności wniosku;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c)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zgodności wniosku z regulaminem, w tym z limitami kwotowymi;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d)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obecności obowiązkowego komponentu odporności;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e)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złożenia wszystkich wymaganych oświadczeń.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Braki formalne podlegają jednokrotnemu uzupełnieniu w terminie 3 dni roboczych od dnia wysłania wezwania w systemie konkursowym.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Wniosek nieuzupełniony w terminie, wniosek złożony przez podmiot nieuprawniony oraz wniosek pozbawiony komponentu odporności pozostawia się bez rozpatrzenia.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5.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Wynik oceny formalnej Operator udostępnia wnioskodawcy w systemie konkursowym wraz z uzasadnieniem.</w:t>
      </w:r>
    </w:p>
    <w:p>
      <w:pPr>
        <w:keepNext/>
        <w:spacing w:after="40" w:before="32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14</w:t>
      </w:r>
    </w:p>
    <w:p>
      <w:pPr>
        <w:keepNext/>
        <w:spacing w:after="140"/>
      </w:pPr>
      <w:r>
        <w:rPr>
          <w:rFonts w:ascii="Fraunces" w:cs="Fraunces" w:eastAsia="Fraunces" w:hAnsi="Fraunces"/>
          <w:b/>
          <w:bCs/>
          <w:color w:val="1A1712"/>
          <w:sz w:val="26"/>
          <w:szCs w:val="26"/>
        </w:rPr>
        <w:t xml:space="preserve">Ocena merytoryczna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Wnioski ocenia komisja licząca 12 ekspertów, wyłonionych w zapytaniu ofertowym. Kryteriami wyboru ekspertów są doświadczenie w ocenie projektów społecznych, znajomość specyfiki regrantingu oraz znajomość tematyki bezpieczeństwa i zarządzania kryzysowego.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Każdy ekspert przed przystąpieniem do oceny składa oświadczenie o bezstronności, braku konfliktu interesów oraz o zachowaniu poufności.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Ekspert podlega wyłączeniu od oceny wniosku, jeżeli pozostaje z wnioskodawcą w stosunku, który może budzić wątpliwości co do bezstronności. Wyłączenie odnotowuje się w dokumentacji Konkursu.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Każdy wniosek oceniają dwaj niezależni eksperci, przyznając niezależnie od siebie nie więcej niż 50 punktów. Wynikiem oceny jest średnia arytmetyczna obu ocen.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5.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Jeżeli różnica między ocenami przekracza 25 punktów, wniosek kieruje się do trzeciego eksperta, którego ocena jest rozstrzygająca.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6.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Ekspert nie ma wglądu w oceny pozostałych ekspertów przed zakończeniem własnej oceny.</w:t>
      </w:r>
    </w:p>
    <w:p>
      <w:pPr>
        <w:keepNext/>
        <w:spacing w:after="40" w:before="32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15</w:t>
      </w:r>
    </w:p>
    <w:p>
      <w:pPr>
        <w:keepNext/>
        <w:spacing w:after="140"/>
      </w:pPr>
      <w:r>
        <w:rPr>
          <w:rFonts w:ascii="Fraunces" w:cs="Fraunces" w:eastAsia="Fraunces" w:hAnsi="Fraunces"/>
          <w:b/>
          <w:bCs/>
          <w:color w:val="1A1712"/>
          <w:sz w:val="26"/>
          <w:szCs w:val="26"/>
        </w:rPr>
        <w:t xml:space="preserve">Kryteria oceny merytorycznej</w:t>
      </w:r>
    </w:p>
    <w:p>
      <w:pPr>
        <w:spacing w:after="140"/>
      </w:pPr>
      <w:r>
        <w:rPr>
          <w:rFonts w:ascii="Lato" w:cs="Lato" w:eastAsia="Lato" w:hAnsi="Lato"/>
          <w:color w:val="1A1712"/>
          <w:sz w:val="22"/>
          <w:szCs w:val="22"/>
        </w:rPr>
        <w:t xml:space="preserve">Ocena merytoryczna odbywa się według jawnej karty oceny, stanowiącej załącznik nr 3 do regulaminu. Karta obejmuje pięć kryteriów o łącznej maksymalnej punktacji 50 punktów, opracowanych na podstawie oferty realizacji zadania.</w:t>
      </w:r>
    </w:p>
    <w:tbl>
      <w:tblPr>
        <w:tblW w:type="dxa" w:w="870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6100"/>
        <w:gridCol w:w="1300"/>
        <w:gridCol w:w="1300"/>
      </w:tblGrid>
      <w:tr>
        <w:trPr>
          <w:tblHeader/>
        </w:trPr>
        <w:tc>
          <w:tcPr>
            <w:tcW w:type="dxa" w:w="61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Lato" w:cs="Lato" w:eastAsia="Lato" w:hAnsi="Lato"/>
                <w:b/>
                <w:bCs/>
                <w:color w:val="F2EEE4"/>
                <w:sz w:val="21"/>
                <w:szCs w:val="21"/>
              </w:rPr>
              <w:t xml:space="preserve">Kryterium</w:t>
            </w:r>
          </w:p>
        </w:tc>
        <w:tc>
          <w:tcPr>
            <w:tcW w:type="dxa" w:w="13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Lato" w:cs="Lato" w:eastAsia="Lato" w:hAnsi="Lato"/>
                <w:b/>
                <w:bCs/>
                <w:color w:val="F2EEE4"/>
                <w:sz w:val="21"/>
                <w:szCs w:val="21"/>
              </w:rPr>
              <w:t xml:space="preserve">Maksimum</w:t>
            </w:r>
          </w:p>
        </w:tc>
        <w:tc>
          <w:tcPr>
            <w:tcW w:type="dxa" w:w="13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Lato" w:cs="Lato" w:eastAsia="Lato" w:hAnsi="Lato"/>
                <w:b/>
                <w:bCs/>
                <w:color w:val="F2EEE4"/>
                <w:sz w:val="21"/>
                <w:szCs w:val="21"/>
              </w:rPr>
              <w:t xml:space="preserve">Minimum</w:t>
            </w:r>
          </w:p>
        </w:tc>
      </w:tr>
      <w:tr>
        <w:tc>
          <w:tcPr>
            <w:tcW w:type="dxa" w:w="6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color w:val="1A1712"/>
                <w:sz w:val="21"/>
                <w:szCs w:val="21"/>
              </w:rPr>
              <w:t xml:space="preserve">1. Trafność diagnozy lokalnej potrzeby oraz jakość komponentu odporności</w:t>
            </w:r>
          </w:p>
        </w:tc>
        <w:tc>
          <w:tcPr>
            <w:tcW w:type="dxa" w:w="1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Lato" w:cs="Lato" w:eastAsia="Lato" w:hAnsi="Lato"/>
                <w:b w:val="false"/>
                <w:bCs w:val="false"/>
                <w:color w:val="1A1712"/>
                <w:sz w:val="21"/>
                <w:szCs w:val="21"/>
              </w:rPr>
              <w:t xml:space="preserve">15</w:t>
            </w:r>
          </w:p>
        </w:tc>
        <w:tc>
          <w:tcPr>
            <w:tcW w:type="dxa" w:w="1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Lato" w:cs="Lato" w:eastAsia="Lato" w:hAnsi="Lato"/>
                <w:b w:val="false"/>
                <w:bCs w:val="false"/>
                <w:color w:val="1A1712"/>
                <w:sz w:val="21"/>
                <w:szCs w:val="21"/>
              </w:rPr>
              <w:t xml:space="preserve">6</w:t>
            </w:r>
          </w:p>
        </w:tc>
      </w:tr>
      <w:tr>
        <w:tc>
          <w:tcPr>
            <w:tcW w:type="dxa" w:w="6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color w:val="1A1712"/>
                <w:sz w:val="21"/>
                <w:szCs w:val="21"/>
              </w:rPr>
              <w:t xml:space="preserve">2. Spójność i racjonalność zaplanowanych działań</w:t>
            </w:r>
          </w:p>
        </w:tc>
        <w:tc>
          <w:tcPr>
            <w:tcW w:type="dxa" w:w="1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Lato" w:cs="Lato" w:eastAsia="Lato" w:hAnsi="Lato"/>
                <w:b w:val="false"/>
                <w:bCs w:val="false"/>
                <w:color w:val="1A1712"/>
                <w:sz w:val="21"/>
                <w:szCs w:val="21"/>
              </w:rPr>
              <w:t xml:space="preserve">10</w:t>
            </w:r>
          </w:p>
        </w:tc>
        <w:tc>
          <w:tcPr>
            <w:tcW w:type="dxa" w:w="1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Lato" w:cs="Lato" w:eastAsia="Lato" w:hAnsi="Lato"/>
                <w:b w:val="false"/>
                <w:bCs w:val="false"/>
                <w:color w:val="1A1712"/>
                <w:sz w:val="21"/>
                <w:szCs w:val="21"/>
              </w:rPr>
              <w:t xml:space="preserve">4</w:t>
            </w:r>
          </w:p>
        </w:tc>
      </w:tr>
      <w:tr>
        <w:tc>
          <w:tcPr>
            <w:tcW w:type="dxa" w:w="6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color w:val="1A1712"/>
                <w:sz w:val="21"/>
                <w:szCs w:val="21"/>
              </w:rPr>
              <w:t xml:space="preserve">3. Mierzalność i trwałość rezultatów</w:t>
            </w:r>
          </w:p>
        </w:tc>
        <w:tc>
          <w:tcPr>
            <w:tcW w:type="dxa" w:w="1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Lato" w:cs="Lato" w:eastAsia="Lato" w:hAnsi="Lato"/>
                <w:b w:val="false"/>
                <w:bCs w:val="false"/>
                <w:color w:val="1A1712"/>
                <w:sz w:val="21"/>
                <w:szCs w:val="21"/>
              </w:rPr>
              <w:t xml:space="preserve">10</w:t>
            </w:r>
          </w:p>
        </w:tc>
        <w:tc>
          <w:tcPr>
            <w:tcW w:type="dxa" w:w="1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Lato" w:cs="Lato" w:eastAsia="Lato" w:hAnsi="Lato"/>
                <w:b w:val="false"/>
                <w:bCs w:val="false"/>
                <w:color w:val="1A1712"/>
                <w:sz w:val="21"/>
                <w:szCs w:val="21"/>
              </w:rPr>
              <w:t xml:space="preserve">4</w:t>
            </w:r>
          </w:p>
        </w:tc>
      </w:tr>
      <w:tr>
        <w:tc>
          <w:tcPr>
            <w:tcW w:type="dxa" w:w="6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color w:val="1A1712"/>
                <w:sz w:val="21"/>
                <w:szCs w:val="21"/>
              </w:rPr>
              <w:t xml:space="preserve">4. Racjonalność i efektywność kosztów</w:t>
            </w:r>
          </w:p>
        </w:tc>
        <w:tc>
          <w:tcPr>
            <w:tcW w:type="dxa" w:w="1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Lato" w:cs="Lato" w:eastAsia="Lato" w:hAnsi="Lato"/>
                <w:b w:val="false"/>
                <w:bCs w:val="false"/>
                <w:color w:val="1A1712"/>
                <w:sz w:val="21"/>
                <w:szCs w:val="21"/>
              </w:rPr>
              <w:t xml:space="preserve">10</w:t>
            </w:r>
          </w:p>
        </w:tc>
        <w:tc>
          <w:tcPr>
            <w:tcW w:type="dxa" w:w="1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Lato" w:cs="Lato" w:eastAsia="Lato" w:hAnsi="Lato"/>
                <w:b w:val="false"/>
                <w:bCs w:val="false"/>
                <w:color w:val="1A1712"/>
                <w:sz w:val="21"/>
                <w:szCs w:val="21"/>
              </w:rPr>
              <w:t xml:space="preserve">4</w:t>
            </w:r>
          </w:p>
        </w:tc>
      </w:tr>
      <w:tr>
        <w:tc>
          <w:tcPr>
            <w:tcW w:type="dxa" w:w="6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color w:val="1A1712"/>
                <w:sz w:val="21"/>
                <w:szCs w:val="21"/>
              </w:rPr>
              <w:t xml:space="preserve">5. Potencjał realizatora do wykonania inicjatywy</w:t>
            </w:r>
          </w:p>
        </w:tc>
        <w:tc>
          <w:tcPr>
            <w:tcW w:type="dxa" w:w="1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Lato" w:cs="Lato" w:eastAsia="Lato" w:hAnsi="Lato"/>
                <w:b w:val="false"/>
                <w:bCs w:val="false"/>
                <w:color w:val="1A1712"/>
                <w:sz w:val="21"/>
                <w:szCs w:val="21"/>
              </w:rPr>
              <w:t xml:space="preserve">5</w:t>
            </w:r>
          </w:p>
        </w:tc>
        <w:tc>
          <w:tcPr>
            <w:tcW w:type="dxa" w:w="1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Lato" w:cs="Lato" w:eastAsia="Lato" w:hAnsi="Lato"/>
                <w:b w:val="false"/>
                <w:bCs w:val="false"/>
                <w:color w:val="1A1712"/>
                <w:sz w:val="21"/>
                <w:szCs w:val="21"/>
              </w:rPr>
              <w:t xml:space="preserve">2</w:t>
            </w:r>
          </w:p>
        </w:tc>
      </w:tr>
      <w:tr>
        <w:tc>
          <w:tcPr>
            <w:tcW w:type="dxa" w:w="61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Lato" w:cs="Lato" w:eastAsia="Lato" w:hAnsi="Lato"/>
                <w:b/>
                <w:bCs/>
                <w:color w:val="1A1712"/>
                <w:sz w:val="21"/>
                <w:szCs w:val="21"/>
              </w:rPr>
              <w:t xml:space="preserve">Razem</w:t>
            </w:r>
          </w:p>
        </w:tc>
        <w:tc>
          <w:tcPr>
            <w:tcW w:type="dxa" w:w="13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Lato" w:cs="Lato" w:eastAsia="Lato" w:hAnsi="Lato"/>
                <w:b/>
                <w:bCs/>
                <w:color w:val="1A1712"/>
                <w:sz w:val="21"/>
                <w:szCs w:val="21"/>
              </w:rPr>
              <w:t xml:space="preserve">50</w:t>
            </w:r>
          </w:p>
        </w:tc>
        <w:tc>
          <w:tcPr>
            <w:tcW w:type="dxa" w:w="13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Lato" w:cs="Lato" w:eastAsia="Lato" w:hAnsi="Lato"/>
                <w:b/>
                <w:bCs/>
                <w:color w:val="1A1712"/>
                <w:sz w:val="21"/>
                <w:szCs w:val="21"/>
              </w:rPr>
              <w:t xml:space="preserve">20</w:t>
            </w:r>
          </w:p>
        </w:tc>
      </w:tr>
    </w:tbl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Do dofinansowania rekomenduje się wnioski, które uzyskały co najmniej 25 punktów, to jest 50 procent możliwej punktacji, oraz osiągnęły minimum punktowe w każdym z pięciu kryteriów w każdej ze złożonych kart oceny.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Wniosek, który nie osiągnął minimum w choćby jednym kryterium, nie może zostać rekomendowany niezależnie od sumy punktów.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Ekspert uzasadnia ocenę w każdym kryterium, nie mniej niż 100 znaków na kryterium i nie mniej niż 500 znaków dla całej karty.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Ekspert może rekomendować wniosek warunkowo, z korektą budżetu. Korekta dotyczy wyłącznie pozycji niekwalifikowalnych z § 10 albo pozycji wskazanych przez eksperta jako nieuzasadnione. Ekspert wskazuje te pozycje i ich wartość w karcie oceny, a Operator obniża kwotę mikrodotacji o ich wartość przed zawarciem umowy. Korekta nie zmienia punktacji ani miejsca na liście rankingowej.</w:t>
      </w:r>
    </w:p>
    <w:p>
      <w:pPr>
        <w:keepNext/>
        <w:spacing w:after="40" w:before="32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16</w:t>
      </w:r>
    </w:p>
    <w:p>
      <w:pPr>
        <w:keepNext/>
        <w:spacing w:after="140"/>
      </w:pPr>
      <w:r>
        <w:rPr>
          <w:rFonts w:ascii="Fraunces" w:cs="Fraunces" w:eastAsia="Fraunces" w:hAnsi="Fraunces"/>
          <w:b/>
          <w:bCs/>
          <w:color w:val="1A1712"/>
          <w:sz w:val="26"/>
          <w:szCs w:val="26"/>
        </w:rPr>
        <w:t xml:space="preserve">Listy rankingowe i listy rezerwowe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Z ocen merytorycznych powstaje odrębna lista rankingowa w każdym z czterech subregionów, uszeregowana malejąco według liczby punktów.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Wnioski mieszczące się w limicie środków subregionu otrzymują rekomendację do dofinansowania. Pozostałe wnioski rekomendowane trafiają na listę rezerwową tego samego subregionu.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Jeżeli pozostała kwota limitu subregionu jest niższa od wnioskowanej, Operator proponuje wnioskodawcy mikrodotację w wysokości pozostałej kwoty, nie niższej niż 1 000 zł. Brak zgody w terminie 3 dni roboczych oznacza przejście do kolejnego wniosku z listy.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Przy równej liczbie punktów o kolejności decyduje wyższa punktacja w kryterium pierwszym, a w dalszej kolejności w kryterium trzecim.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5.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Listy rankingowe i listy rezerwowe Operator publikuje na stronie Konkursu, wskazując nazwę podmiotu, subregion, tytuł mikroprojektu, wnioskowaną kwotę oraz liczbę punktów.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6.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Rezygnacja Grantobiorcy albo rozwiązanie umowy skutkuje wyborem kolejnego podmiotu z listy rezerwowej danego subregionu, bez ponawiania naboru.</w:t>
      </w:r>
    </w:p>
    <w:p>
      <w:pPr>
        <w:keepNext/>
        <w:spacing w:after="40" w:before="32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17</w:t>
      </w:r>
    </w:p>
    <w:p>
      <w:pPr>
        <w:keepNext/>
        <w:spacing w:after="140"/>
      </w:pPr>
      <w:r>
        <w:rPr>
          <w:rFonts w:ascii="Fraunces" w:cs="Fraunces" w:eastAsia="Fraunces" w:hAnsi="Fraunces"/>
          <w:b/>
          <w:bCs/>
          <w:color w:val="1A1712"/>
          <w:sz w:val="26"/>
          <w:szCs w:val="26"/>
        </w:rPr>
        <w:t xml:space="preserve">Procedura odwoławcza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Wnioskodawcy przysługuje prawo wglądu w kartę oceny własnego wniosku, udostępnianą przez Operatora na żądanie.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Od wyniku oceny formalnej oraz od wyniku oceny merytorycznej przysługuje odwołanie, składane w systemie konkursowym w terminie 5 dni roboczych od dnia opublikowania wyniku.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Odwołanie rozpatruje ekspert, który nie uczestniczył w pierwotnej ocenie danego wniosku, w terminie 5 dni roboczych od dnia wpływu odwołania.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Rozstrzygnięcie odwołania jest ostateczne. Uwzględnienie odwołania skutkuje korektą listy rankingowej danego subregionu, którą Operator publikuje wraz z datą zmiany.</w:t>
      </w:r>
    </w:p>
    <w:p>
      <w:pPr>
        <w:keepNext/>
        <w:spacing w:after="40" w:before="32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18</w:t>
      </w:r>
    </w:p>
    <w:p>
      <w:pPr>
        <w:keepNext/>
        <w:spacing w:after="140"/>
      </w:pPr>
      <w:r>
        <w:rPr>
          <w:rFonts w:ascii="Fraunces" w:cs="Fraunces" w:eastAsia="Fraunces" w:hAnsi="Fraunces"/>
          <w:b/>
          <w:bCs/>
          <w:color w:val="1A1712"/>
          <w:sz w:val="26"/>
          <w:szCs w:val="26"/>
        </w:rPr>
        <w:t xml:space="preserve">Umowa o powierzenie mikrodotacji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Operator zawiera umowy po zamknięciu oceny i opublikowaniu pełnych list rankingowych w danym subregionie, co zapewnia równe traktowanie wnioskodawców.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Umowa jest zawierana w postaci elektronicznej w systemie konkursowym.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Operator nie wymaga weksla ani innego zabezpieczenia rzeczowego. Zabezpieczeniem są oświadczenia Grantobiorcy złożone przy zawarciu umowy.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Stroną umowy w przypadku grupy nieformalnej działającej przez organizację patronacką jest ta organizacja. Odpowiedzialność za wydatkowanie i rozliczenie mikrodotacji ponosi organizacja patronacka.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5.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Umowa określa kwotę mikrodotacji, okres realizacji, wskaźniki rezultatu, obowiązki informacyjne, zasady rozliczenia oraz tryb zwrotu środków.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6.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Mikrodotację Operator wypłaca jednorazowo, w całości, w terminie 3 dni roboczych od dnia zawarcia umowy, przelewem na rachunek bankowy wskazany w umowie.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7.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Grupa nieformalna działająca samodzielnie wskazuje w umowie rachunek bankowy jednego ze swoich członków, na który Operator przekazuje mikrodotację. Umowę w imieniu grupy podpisują osoby wskazane we wniosku jako uprawnione do jej reprezentacji. Osoby tworzące grupę odpowiadają za wydatkowanie i rozliczenie mikrodotacji solidarnie.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8.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Niepodpisanie umowy w terminie 5 dni roboczych od dnia jej udostępnienia w systemie konkursowym jest równoznaczne z rezygnacją z mikrodotacji.</w:t>
      </w:r>
    </w:p>
    <w:p>
      <w:pPr>
        <w:keepNext/>
        <w:spacing w:after="40" w:before="32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19</w:t>
      </w:r>
    </w:p>
    <w:p>
      <w:pPr>
        <w:keepNext/>
        <w:spacing w:after="140"/>
      </w:pPr>
      <w:r>
        <w:rPr>
          <w:rFonts w:ascii="Fraunces" w:cs="Fraunces" w:eastAsia="Fraunces" w:hAnsi="Fraunces"/>
          <w:b/>
          <w:bCs/>
          <w:color w:val="1A1712"/>
          <w:sz w:val="26"/>
          <w:szCs w:val="26"/>
        </w:rPr>
        <w:t xml:space="preserve">Realizacja mikroprojektu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Grantobiorca realizuje mikroprojekt zgodnie z wnioskiem, budżetem i harmonogramem stanowiącymi załączniki do umowy.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Grantobiorca prowadzi listy obecności odbiorców bezpośrednich, odrębnie dla każdego działania.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 mikroprojektach realizowanych przez MiŚLOP Grantobiorca przeprowadza wśród uczestników działań odpornościowych ankietę na wejściu i na wyjściu, obejmującą co najmniej dwie osoby.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Przesunięcia w budżecie do 20 procent wartości pozycji nie wymagają zgody Operatora. Przesunięcia większe oraz zmiana zakresu działań wymagają zgody wyrażonej w systemie konkursowym przed dokonaniem wydatku.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5.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Grantobiorca niezwłocznie informuje Operatora o okolicznościach zagrażających realizacji mikroprojektu albo osiągnięciu wskaźników.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6.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Wydarzenia organizowane w ramach mikroprojektu mają charakter apartyjny. Zabronione jest promowanie partii politycznych oraz prowadzenie agitacji wyborczej. Zakaz nie wyklucza działań zachęcających do udziału w wyborach.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7.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Grantobiorca w miarę możliwości zapewnia dostępność działań osobom ze szczególnymi potrzebami, w szczególności wybiera miejsca bez barier architektonicznych i przygotowuje materiały czytelne dla osób słabowidzących.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8.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Grantobiorca przechowuje dokumentację mikroprojektu, w tym dokumentację finansowo-księgową, przez okres 5 lat, licząc od początku roku następującego po roku, w którym realizował mikroprojekt.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9.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Rzeczy zakupione ze środków mikrodotacji Grantobiorca zobowiązuje się nie zbywać przez okres 5 lat od dnia zakupu. Zgodę na wcześniejsze zbycie może wyrazić Operator, pod warunkiem przeznaczenia uzyskanych środków na cele statutowe Grantobiorcy.</w:t>
      </w:r>
    </w:p>
    <w:p>
      <w:pPr>
        <w:keepNext/>
        <w:spacing w:after="40" w:before="32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20</w:t>
      </w:r>
    </w:p>
    <w:p>
      <w:pPr>
        <w:keepNext/>
        <w:spacing w:after="140"/>
      </w:pPr>
      <w:r>
        <w:rPr>
          <w:rFonts w:ascii="Fraunces" w:cs="Fraunces" w:eastAsia="Fraunces" w:hAnsi="Fraunces"/>
          <w:b/>
          <w:bCs/>
          <w:color w:val="1A1712"/>
          <w:sz w:val="26"/>
          <w:szCs w:val="26"/>
        </w:rPr>
        <w:t xml:space="preserve">Obowiązki informacyjne i promocyjne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Grantobiorca oznacza wszystkie materiały informacyjne, promocyjne i szkoleniowe związane z mikroprojektem, a także dokumenty podawane do wiadomości publicznej, w tym zaproszenia, programy spotkań, listy obecności, dyplomy i zaświadczenia.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Oznaczenie obejmuje zestawienie znaków w kolejności: znak Komitetu do spraw Pożytku Publicznego, znak Narodowego Instytutu Wolności, znak Programu Moc Małych Społeczności, oraz napis informacyjny o treści:</w:t>
      </w:r>
    </w:p>
    <w:p>
      <w:pPr>
        <w:pBdr>
          <w:left w:val="single" w:color="FF5C39" w:sz="20" w:space="14"/>
        </w:pBdr>
        <w:spacing w:after="110" w:before="90"/>
        <w:ind w:left="800" w:right="300"/>
      </w:pPr>
      <w:r>
        <w:rPr>
          <w:rFonts w:ascii="Lato" w:cs="Lato" w:eastAsia="Lato" w:hAnsi="Lato"/>
          <w:i/>
          <w:iCs/>
          <w:color w:val="1A1712"/>
          <w:sz w:val="22"/>
          <w:szCs w:val="22"/>
        </w:rPr>
        <w:t xml:space="preserve">„Sfinansowano ze środków Narodowego Instytutu Wolności – Centrum Rozwoju Społeczeństwa Obywatelskiego w ramach Rządowego Programu wsparcia organizacji pozarządowych Moc Małych Społeczności”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Zestawienie znaków umieszcza się w górnej albo dolnej części materiału. Minimalna wysokość zestawienia wynosi 15 mm w druku oraz 70 pikseli na ekranie. Wszystkie znaki w zestawieniu mają tę samą wielkość.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Grantobiorca prowadzący stronę internetową lub profil w serwisie społecznościowym umieszcza tam informację o finansowaniu mikroprojektu ze środków budżetu państwa, nazwę Programu, nazwę zadania, wartość dofinansowania oraz krótki opis mikroprojektu. Informacja pozostaje opublikowana przez 90 dni od dnia zakończenia mikroprojektu.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5.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Na początku każdego wydarzenia organizowanego w ramach mikroprojektu Grantobiorca przedstawia informację o finansowaniu zadania publicznego ze środków Narodowego Instytutu Wolności w ramach Programu Moc Małych Społeczności.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6.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Operator udostępnia w systemie konkursowym gotowy pakiet oznaczeń wraz z plikami znaków i instrukcją ich stosowania.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7.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Wykonanie obowiązków informacyjnych podlega sprawdzeniu podczas monitoringu oraz przy rozliczeniu mikrodotacji.</w:t>
      </w:r>
    </w:p>
    <w:p>
      <w:pPr>
        <w:keepNext/>
        <w:spacing w:after="40" w:before="32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21</w:t>
      </w:r>
    </w:p>
    <w:p>
      <w:pPr>
        <w:keepNext/>
        <w:spacing w:after="140"/>
      </w:pPr>
      <w:r>
        <w:rPr>
          <w:rFonts w:ascii="Fraunces" w:cs="Fraunces" w:eastAsia="Fraunces" w:hAnsi="Fraunces"/>
          <w:b/>
          <w:bCs/>
          <w:color w:val="1A1712"/>
          <w:sz w:val="26"/>
          <w:szCs w:val="26"/>
        </w:rPr>
        <w:t xml:space="preserve">Standardy ochrony małoletnich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Grantobiorca prowadzący działania z udziałem małoletnich wdraża standardy ochrony małoletnich zgodnie z ustawą z dnia 13 maja 2016 r. o przeciwdziałaniu zagrożeniom przestępczością na tle seksualnym i ochronie małoletnich.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Grantobiorca weryfikuje osoby pracujące z małoletnimi w Rejestrze Sprawców Przestępstw na Tle Seksualnym oraz przechowuje dokumentację tej weryfikacji.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Operator udostępnia wzór standardów w dokumentacji konkursowej. Oświadczenie o wdrożeniu standardów podlega sprawdzeniu na etapie oceny formalnej oraz przy rozliczeniu.</w:t>
      </w:r>
    </w:p>
    <w:p>
      <w:pPr>
        <w:keepNext/>
        <w:spacing w:after="40" w:before="32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22</w:t>
      </w:r>
    </w:p>
    <w:p>
      <w:pPr>
        <w:keepNext/>
        <w:spacing w:after="140"/>
      </w:pPr>
      <w:r>
        <w:rPr>
          <w:rFonts w:ascii="Fraunces" w:cs="Fraunces" w:eastAsia="Fraunces" w:hAnsi="Fraunces"/>
          <w:b/>
          <w:bCs/>
          <w:color w:val="1A1712"/>
          <w:sz w:val="26"/>
          <w:szCs w:val="26"/>
        </w:rPr>
        <w:t xml:space="preserve">Ochrona danych osobowych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Administratorem danych osobowych wnioskodawców i Grantobiorców jest Fundacja Klaster Innowacji Społecznych.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Dane są przetwarzane w zakresie niezbędnym do przeprowadzenia Konkursu, zawarcia i rozliczenia umów oraz ewaluacji zadania, na terytorium Rzeczypospolitej Polskiej.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Grantobiorca jest administratorem danych osobowych uczestników swojego mikroprojektu i odpowiada za zgodne z prawem ich przetwarzanie, w tym za pozyskanie zgód na wykorzystanie wizerunku.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Szczegółowe informacje zawiera klauzula informacyjna dostępna w systemie konkursowym.</w:t>
      </w:r>
    </w:p>
    <w:p>
      <w:pPr>
        <w:keepNext/>
        <w:spacing w:after="40" w:before="32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23</w:t>
      </w:r>
    </w:p>
    <w:p>
      <w:pPr>
        <w:keepNext/>
        <w:spacing w:after="140"/>
      </w:pPr>
      <w:r>
        <w:rPr>
          <w:rFonts w:ascii="Fraunces" w:cs="Fraunces" w:eastAsia="Fraunces" w:hAnsi="Fraunces"/>
          <w:b/>
          <w:bCs/>
          <w:color w:val="1A1712"/>
          <w:sz w:val="26"/>
          <w:szCs w:val="26"/>
        </w:rPr>
        <w:t xml:space="preserve">Monitoring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Monitoringiem obejmuje się co najmniej 20 procent mikroprojektów, to jest około 24 wizyty w terenie.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Próbę dobiera się tak, aby była reprezentatywna dla typów podmiotów oraz dla subregionów. Próba obejmuje obowiązkowo mikroprojekty realizowane przez podmioty ubiegające się o mikrodotację po raz pierwszy, mikroprojekty o najwyższej wartości oraz te, w których wystąpiły sygnały opóźnień.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Wizyta monitoringowa jest prowadzona na jednolitej karcie monitoringu i obejmuje sprawdzenie: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a)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zgodności realizowanych działań z umową i harmonogramem;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b)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faktycznego występowania komponentu odporności;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c)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prawidłowości wydatkowania i dokumentowania kosztów;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d)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prowadzenia list obecności i dokumentacji rezultatów;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e)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wykonania obowiązków informacyjnych;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f)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stosowania standardów ochrony małoletnich, jeżeli w działaniach uczestniczą małoletni.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Ustalenia z wizyty zapisuje się w karcie monitoringu. W razie potrzeby Operator formułuje zalecenia z terminem wdrożenia, a ich wykonanie weryfikuje przy rozliczeniu.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5.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Część monitoringu na obszarze objętym własnymi działaniami prowadzi Instytut Roździeńskiego, według tej samej karty i w tym samym systemie sprawozdawczym.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6.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Grantobiorca poddaje się kontroli prowadzonej przez Operatora, przez Narodowy Instytut Wolności oraz przez Kancelarię Prezesa Rady Ministrów, umożliwia wizytę w miejscu realizacji mikroprojektu i udostępnia dokumentację na żądanie kontrolującego w wyznaczonym terminie. Uniemożliwienie kontroli jest równoznaczne z wykorzystaniem mikrodotacji niezgodnie z przeznaczeniem.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7.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Grantobiorca opisuje dowody księgowe mikroprojektu w sposób trwały, umieszczając na nich adnotację: „Sfinansowano ze środków Narodowego Instytutu Wolności – Centrum Rozwoju Społeczeństwa Obywatelskiego w ramach Programu MOC MAŁYCH SPOŁECZNOŚCI w wysokości ......... w ramach realizacji zadania określonego umową nr .........”.</w:t>
      </w:r>
    </w:p>
    <w:p>
      <w:pPr>
        <w:keepNext/>
        <w:spacing w:after="40" w:before="32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24</w:t>
      </w:r>
    </w:p>
    <w:p>
      <w:pPr>
        <w:keepNext/>
        <w:spacing w:after="140"/>
      </w:pPr>
      <w:r>
        <w:rPr>
          <w:rFonts w:ascii="Fraunces" w:cs="Fraunces" w:eastAsia="Fraunces" w:hAnsi="Fraunces"/>
          <w:b/>
          <w:bCs/>
          <w:color w:val="1A1712"/>
          <w:sz w:val="26"/>
          <w:szCs w:val="26"/>
        </w:rPr>
        <w:t xml:space="preserve">Sprawozdanie i rozliczenie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Grantobiorca składa sprawozdanie końcowe w systemie konkursowym, w terminie wskazanym w umowie, wraz z opisanymi dokumentami finansowymi, listami obecności oraz dokumentacją potwierdzającą osiągnięcie rezultatów.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System kontroluje kompletność załączników automatycznie. W razie braków Operator wzywa do jednokrotnego uzupełnienia w wyznaczonym terminie.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Rozliczenie ocenia się dwutorowo: merytorycznie, pod kątem osiągnięcia rezultatów, oraz finansowo, pod kątem kwalifikowalności i prawidłowości wydatków.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Stosuje się jednolity próg wskaźnikowy: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a)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rozliczenie prawidłowe, jeżeli Grantobiorca wykonał wszystkie zaplanowane działania i osiągnął co najmniej 80 procent wskaźników rezultatu;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b)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rozliczenie proporcjonalne, jeżeli poziom osiągnięcia wskaźników wynosi od 50 do 80 procent; Grantobiorca rozlicza wówczas część mikrodotacji odpowiadającą stopniowi realizacji, a pozostałą część zwraca;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c)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zwrot całości mikrodotacji, jeżeli poziom osiągnięcia wskaźników jest niższy niż 50 procent.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5.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Osiągnięcie wskaźników potwierdzają: listy obecności, ankiety na wejściu i na wyjściu oraz dokumentacja działań, a w mikroprojektach objętych monitoringiem także karta obserwacji.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6.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Zatwierdzenie sprawozdania Operator potwierdza w systemie konkursowym.</w:t>
      </w:r>
    </w:p>
    <w:p>
      <w:pPr>
        <w:keepNext/>
        <w:spacing w:after="40" w:before="32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25</w:t>
      </w:r>
    </w:p>
    <w:p>
      <w:pPr>
        <w:keepNext/>
        <w:spacing w:after="140"/>
      </w:pPr>
      <w:r>
        <w:rPr>
          <w:rFonts w:ascii="Fraunces" w:cs="Fraunces" w:eastAsia="Fraunces" w:hAnsi="Fraunces"/>
          <w:b/>
          <w:bCs/>
          <w:color w:val="1A1712"/>
          <w:sz w:val="26"/>
          <w:szCs w:val="26"/>
        </w:rPr>
        <w:t xml:space="preserve">Zwrot środków i nieprawidłowości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 przypadku stwierdzenia wydatków niekwalifikowalnych, wykorzystania środków niezgodnie z umową albo niezrealizowania działań, Operator wzywa Grantobiorcę do zwrotu odpowiedniej części mikrodotacji wraz z odsetkami liczonymi jak od zaległości podatkowych.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Termin zwrotu wynosi 14 dni od dnia doręczenia wezwania.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Środki niewykorzystane Grantobiorca zwraca w terminie wskazanym w umowie, bez odrębnego wezwania.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Stwierdzone nieprawidłowości Operator dokumentuje i uwzględnia przy ocenie potencjału realizatora w kolejnych naborach.</w:t>
      </w:r>
    </w:p>
    <w:p>
      <w:pPr>
        <w:keepNext/>
        <w:spacing w:after="40" w:before="32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26</w:t>
      </w:r>
    </w:p>
    <w:p>
      <w:pPr>
        <w:keepNext/>
        <w:spacing w:after="140"/>
      </w:pPr>
      <w:r>
        <w:rPr>
          <w:rFonts w:ascii="Fraunces" w:cs="Fraunces" w:eastAsia="Fraunces" w:hAnsi="Fraunces"/>
          <w:b/>
          <w:bCs/>
          <w:color w:val="1A1712"/>
          <w:sz w:val="26"/>
          <w:szCs w:val="26"/>
        </w:rPr>
        <w:t xml:space="preserve">Postanowienia końcowe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Operator prowadzi rejestr umów, list rankingowych i rezerwowych oraz statusów rozliczeń, w podziale na cztery subregiony.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Zestawienie dofinansowanych inicjatyw, obejmujące nazwę podmiotu, subregion, kwotę, tytuł mikroprojektu oraz wskazany obszar odporności, Operator publikuje po rozstrzygnięciu naboru.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Operator zastrzega prawo zmiany regulaminu w zakresie wynikającym z umowy o realizację zadania publicznego albo ze zmiany przepisów. Zmiany publikuje się na stronie Konkursu. Zmiana nie działa na niekorzyść wniosków już złożonych.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Operator zastrzega prawo unieważnienia Konkursu, jeżeli nie dojdzie do zawarcia umowy o realizację zadania publicznego albo jeżeli umowa ta zostanie rozwiązana.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5.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 sprawach nieuregulowanych stosuje się przepisy ustawy z dnia 24 kwietnia 2003 r. o działalności pożytku publicznego i o wolontariacie, postanowienia Programu Moc Małych Społeczności oraz przepisy Kodeksu cywilnego.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6.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Regulamin wchodzi w życie z dniem publikacji na stronie Konkursu, 6 września 2026, i obowiązuje od pierwszego dnia naboru.</w:t>
      </w:r>
    </w:p>
    <w:p>
      <w:pPr>
        <w:keepNext/>
        <w:spacing w:after="40" w:before="32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</w:t>
      </w:r>
    </w:p>
    <w:p>
      <w:pPr>
        <w:keepNext/>
        <w:spacing w:after="140"/>
      </w:pPr>
      <w:r>
        <w:rPr>
          <w:rFonts w:ascii="Fraunces" w:cs="Fraunces" w:eastAsia="Fraunces" w:hAnsi="Fraunces"/>
          <w:b/>
          <w:bCs/>
          <w:color w:val="1A1712"/>
          <w:sz w:val="26"/>
          <w:szCs w:val="26"/>
        </w:rPr>
        <w:t xml:space="preserve">Załączniki do regulaminu</w:t>
      </w:r>
    </w:p>
    <w:p>
      <w:pPr>
        <w:tabs>
          <w:tab w:val="left" w:pos="400"/>
        </w:tabs>
        <w:spacing w:after="80"/>
        <w:ind w:left="400" w:hanging="400"/>
      </w:pPr>
      <w:r>
        <w:rPr>
          <w:rFonts w:ascii="Lato" w:cs="Lato" w:eastAsia="Lato" w:hAnsi="Lato"/>
          <w:color w:val="6B615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Wzór wniosku o mikrodotację</w:t>
      </w:r>
    </w:p>
    <w:p>
      <w:pPr>
        <w:tabs>
          <w:tab w:val="left" w:pos="400"/>
        </w:tabs>
        <w:spacing w:after="80"/>
        <w:ind w:left="400" w:hanging="400"/>
      </w:pPr>
      <w:r>
        <w:rPr>
          <w:rFonts w:ascii="Lato" w:cs="Lato" w:eastAsia="Lato" w:hAnsi="Lato"/>
          <w:color w:val="6B615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Karta oceny formalnej</w:t>
      </w:r>
    </w:p>
    <w:p>
      <w:pPr>
        <w:tabs>
          <w:tab w:val="left" w:pos="400"/>
        </w:tabs>
        <w:spacing w:after="80"/>
        <w:ind w:left="400" w:hanging="400"/>
      </w:pPr>
      <w:r>
        <w:rPr>
          <w:rFonts w:ascii="Lato" w:cs="Lato" w:eastAsia="Lato" w:hAnsi="Lato"/>
          <w:color w:val="6B615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Karta oceny merytorycznej</w:t>
      </w:r>
    </w:p>
    <w:p>
      <w:pPr>
        <w:tabs>
          <w:tab w:val="left" w:pos="400"/>
        </w:tabs>
        <w:spacing w:after="80"/>
        <w:ind w:left="400" w:hanging="400"/>
      </w:pPr>
      <w:r>
        <w:rPr>
          <w:rFonts w:ascii="Lato" w:cs="Lato" w:eastAsia="Lato" w:hAnsi="Lato"/>
          <w:color w:val="6B615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Wzór umowy o powierzenie mikrodotacji</w:t>
      </w:r>
    </w:p>
    <w:p>
      <w:pPr>
        <w:tabs>
          <w:tab w:val="left" w:pos="400"/>
        </w:tabs>
        <w:spacing w:after="80"/>
        <w:ind w:left="400" w:hanging="400"/>
      </w:pPr>
      <w:r>
        <w:rPr>
          <w:rFonts w:ascii="Lato" w:cs="Lato" w:eastAsia="Lato" w:hAnsi="Lato"/>
          <w:color w:val="6B6152"/>
          <w:sz w:val="22"/>
          <w:szCs w:val="22"/>
        </w:rPr>
        <w:t xml:space="preserve">5.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Wzór sprawozdania końcowego</w:t>
      </w:r>
    </w:p>
    <w:p>
      <w:pPr>
        <w:tabs>
          <w:tab w:val="left" w:pos="400"/>
        </w:tabs>
        <w:spacing w:after="80"/>
        <w:ind w:left="400" w:hanging="400"/>
      </w:pPr>
      <w:r>
        <w:rPr>
          <w:rFonts w:ascii="Lato" w:cs="Lato" w:eastAsia="Lato" w:hAnsi="Lato"/>
          <w:color w:val="6B6152"/>
          <w:sz w:val="22"/>
          <w:szCs w:val="22"/>
        </w:rPr>
        <w:t xml:space="preserve">6.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Wzór standardów ochrony małoletnich</w:t>
      </w:r>
    </w:p>
    <w:p>
      <w:pPr>
        <w:tabs>
          <w:tab w:val="left" w:pos="400"/>
        </w:tabs>
        <w:spacing w:after="80"/>
        <w:ind w:left="400" w:hanging="400"/>
      </w:pPr>
      <w:r>
        <w:rPr>
          <w:rFonts w:ascii="Lato" w:cs="Lato" w:eastAsia="Lato" w:hAnsi="Lato"/>
          <w:color w:val="6B6152"/>
          <w:sz w:val="22"/>
          <w:szCs w:val="22"/>
        </w:rPr>
        <w:t xml:space="preserve">7.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Klauzule informacyjne RODO i wzory zgód</w:t>
      </w:r>
    </w:p>
    <w:p>
      <w:pPr>
        <w:tabs>
          <w:tab w:val="left" w:pos="400"/>
        </w:tabs>
        <w:spacing w:after="80"/>
        <w:ind w:left="400" w:hanging="400"/>
      </w:pPr>
      <w:r>
        <w:rPr>
          <w:rFonts w:ascii="Lato" w:cs="Lato" w:eastAsia="Lato" w:hAnsi="Lato"/>
          <w:color w:val="6B6152"/>
          <w:sz w:val="22"/>
          <w:szCs w:val="22"/>
        </w:rPr>
        <w:t xml:space="preserve">8.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Pakiet oznaczeń wraz z plikami znaków i instrukcją stosowania</w:t>
      </w:r>
    </w:p>
    <w:p>
      <w:pPr>
        <w:tabs>
          <w:tab w:val="left" w:pos="400"/>
        </w:tabs>
        <w:spacing w:after="80"/>
        <w:ind w:left="400" w:hanging="400"/>
      </w:pPr>
      <w:r>
        <w:rPr>
          <w:rFonts w:ascii="Lato" w:cs="Lato" w:eastAsia="Lato" w:hAnsi="Lato"/>
          <w:color w:val="6B6152"/>
          <w:sz w:val="22"/>
          <w:szCs w:val="22"/>
        </w:rPr>
        <w:t xml:space="preserve">9.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Wzór ankiety na wejściu i na wyjściu dla mikroprojektów MiŚLOP</w:t>
      </w:r>
    </w:p>
    <w:sectPr>
      <w:headerReference w:type="default" r:id="rId7"/>
      <w:footerReference w:type="default" r:id="rId8"/>
      <w:pgSz w:w="11906" w:h="16838" w:orient="portrait"/>
      <w:pgMar w:top="1700" w:right="1247" w:bottom="1247" w:left="13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1B2" w:sz="6" w:space="8"/>
      </w:pBdr>
      <w:tabs>
        <w:tab w:val="right" w:pos="9070"/>
      </w:tabs>
      <w:spacing w:before="60"/>
    </w:pPr>
    <w:r>
      <w:rPr>
        <w:rFonts w:ascii="Lato" w:cs="Lato" w:eastAsia="Lato" w:hAnsi="Lato"/>
        <w:color w:val="6B6152"/>
        <w:sz w:val="15"/>
        <w:szCs w:val="15"/>
      </w:rPr>
      <w:t xml:space="preserve">Sfinansowano ze środków Narodowego Instytutu Wolności – Centrum Rozwoju Społeczeństwa Obywatelskiego w ramach Rządowego Programu wsparcia organizacji pozarządowych Moc Małych Społeczności.</w:t>
    </w:r>
    <w:r>
      <w:rPr>
        <w:rFonts w:ascii="Lato" w:cs="Lato" w:eastAsia="Lato" w:hAnsi="Lato"/>
        <w:sz w:val="16"/>
        <w:szCs w:val="16"/>
      </w:rPr>
      <w:t xml:space="preserve">	</w:t>
    </w:r>
    <w:r>
      <w:rPr>
        <w:rFonts w:ascii="Lato" w:cs="Lato" w:eastAsia="Lato" w:hAnsi="Lato"/>
        <w:color w:val="6B6152"/>
        <w:sz w:val="16"/>
        <w:szCs w:val="16"/>
      </w:rPr>
      <w:t xml:space="preserve">s. </w:t>
    </w:r>
    <w:r>
      <w:rPr>
        <w:rFonts w:ascii="Lato" w:cs="Lato" w:eastAsia="Lato" w:hAnsi="Lato"/>
        <w:color w:val="6B615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Lato" w:cs="Lato" w:eastAsia="Lato" w:hAnsi="Lato"/>
        <w:color w:val="6B6152"/>
        <w:sz w:val="16"/>
        <w:szCs w:val="16"/>
      </w:rPr>
      <w:t xml:space="preserve"> z </w:t>
    </w:r>
    <w:r>
      <w:rPr>
        <w:rFonts w:ascii="Lato" w:cs="Lato" w:eastAsia="Lato" w:hAnsi="Lato"/>
        <w:color w:val="6B6152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070"/>
      </w:tabs>
      <w:spacing w:after="40"/>
    </w:pPr>
    <w:r>
      <w:drawing>
        <wp:inline distT="0" distB="0" distL="0" distR="0">
          <wp:extent cx="1981200" cy="3619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81200" cy="3619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Lato" w:cs="Lato" w:eastAsia="Lato" w:hAnsi="Lato"/>
        <w:sz w:val="19"/>
        <w:szCs w:val="19"/>
      </w:rPr>
      <w:t xml:space="preserve">	</w:t>
    </w:r>
    <w:r>
      <w:rPr>
        <w:rFonts w:ascii="Fraunces" w:cs="Fraunces" w:eastAsia="Fraunces" w:hAnsi="Fraunces"/>
        <w:b/>
        <w:bCs/>
        <w:color w:val="1A1712"/>
        <w:sz w:val="19"/>
        <w:szCs w:val="19"/>
      </w:rPr>
      <w:t xml:space="preserve">Odporne Śląskie 2026</w:t>
    </w:r>
  </w:p>
  <w:p>
    <w:pPr>
      <w:pBdr>
        <w:bottom w:val="single" w:color="C9C1B2" w:sz="6" w:space="6"/>
      </w:pBdr>
      <w:spacing w:after="60"/>
      <w:jc w:val="right"/>
    </w:pPr>
    <w:r>
      <w:rPr>
        <w:rFonts w:ascii="Lato" w:cs="Lato" w:eastAsia="Lato" w:hAnsi="Lato"/>
        <w:color w:val="6B6152"/>
        <w:sz w:val="18"/>
        <w:szCs w:val="18"/>
      </w:rPr>
      <w:t xml:space="preserve">Regulamin konkursu na mikrodotacje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ato" w:cs="Lato" w:eastAsia="Lato" w:hAnsi="Lato"/>
        <w:color w:val="1A171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f1a76c2ebbc12325eb711d9feab4eeffcdc5005.png"/><Relationship Id="rId10" Type="http://schemas.openxmlformats.org/officeDocument/2006/relationships/image" Target="media/4ab5c8eb77993a692a5aa337db12b6414316c099.png"/><Relationship Id="rId11" Type="http://schemas.openxmlformats.org/officeDocument/2006/relationships/image" Target="media/9cdc80225c3ab2c09c5bf73597c396b9382b28ff.png"/><Relationship Id="rId12" Type="http://schemas.openxmlformats.org/officeDocument/2006/relationships/image" Target="media/d0f8682c2fe6ea7a1b52551d6f62d09661c586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e42a1e3c0d4d658cc04a10871388436317de343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Regulamin konkursu na mikrodotacje, Moc Małych Społeczności – Śląskie</dc:title>
  <dc:creator>Fundacja Klaster Innowacji Społecznych</dc:creator>
  <dc:description>Regulamin konkursu mikrodotacji, zadanie Wielka Moc Małych Społeczności – Odporne Śląskie 2026</dc:description>
  <cp:lastModifiedBy>Un-named</cp:lastModifiedBy>
  <cp:revision>1</cp:revision>
  <dcterms:created xsi:type="dcterms:W3CDTF">2026-09-06T21:50:11.458Z</dcterms:created>
  <dcterms:modified xsi:type="dcterms:W3CDTF">2026-09-06T21:50:11.459Z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