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C8B2" w14:textId="19F567C8" w:rsidR="000A20E0" w:rsidRPr="00E0069A" w:rsidRDefault="002B0D93" w:rsidP="00E0069A">
      <w:pPr>
        <w:pStyle w:val="meinTitel"/>
        <w:rPr>
          <w:color w:val="333333"/>
          <w:shd w:val="clear" w:color="auto" w:fill="FFFFFF"/>
        </w:rPr>
      </w:pPr>
      <w:r w:rsidRPr="00E0069A">
        <w:t>Überlegungen zum Thema:</w:t>
      </w:r>
      <w:r w:rsidRPr="00E0069A">
        <w:br/>
        <w:t xml:space="preserve">„Warenursprung und </w:t>
      </w:r>
      <w:r w:rsidRPr="00E0069A">
        <w:rPr>
          <w:color w:val="333333"/>
          <w:shd w:val="clear" w:color="auto" w:fill="FFFFFF"/>
        </w:rPr>
        <w:t>Präferenzen</w:t>
      </w:r>
      <w:r w:rsidRPr="00E0069A">
        <w:rPr>
          <w:color w:val="333333"/>
          <w:shd w:val="clear" w:color="auto" w:fill="FFFFFF"/>
        </w:rPr>
        <w:t>“</w:t>
      </w:r>
    </w:p>
    <w:p w14:paraId="769B20DF" w14:textId="20B4060F" w:rsidR="002B0D93" w:rsidRPr="00E0069A" w:rsidRDefault="002B0D93" w:rsidP="00E0069A">
      <w:pPr>
        <w:pStyle w:val="Sperrvermerk"/>
      </w:pPr>
      <w:r w:rsidRPr="00E0069A">
        <w:t>Nur zum internen Gebrauch</w:t>
      </w:r>
    </w:p>
    <w:p w14:paraId="35593E5F" w14:textId="206A7710" w:rsidR="002B0D93" w:rsidRDefault="002B0D93" w:rsidP="00E0069A">
      <w:pPr>
        <w:rPr>
          <w:shd w:val="clear" w:color="auto" w:fill="FFFFFF"/>
        </w:rPr>
      </w:pPr>
    </w:p>
    <w:p w14:paraId="256CF3D6" w14:textId="6E57F885" w:rsidR="002B0D93" w:rsidRPr="00E0069A" w:rsidRDefault="002B0D93" w:rsidP="00E0069A">
      <w:pPr>
        <w:rPr>
          <w:shd w:val="clear" w:color="auto" w:fill="FFFFFF"/>
        </w:rPr>
      </w:pPr>
      <w:r w:rsidRPr="00E0069A">
        <w:rPr>
          <w:shd w:val="clear" w:color="auto" w:fill="FFFFFF"/>
        </w:rPr>
        <w:t>Die folgenden Überlegungen beruhen auf den Erläuterungen des Zolls auf:</w:t>
      </w:r>
      <w:r w:rsidRPr="00E0069A">
        <w:rPr>
          <w:shd w:val="clear" w:color="auto" w:fill="FFFFFF"/>
        </w:rPr>
        <w:br/>
      </w:r>
      <w:hyperlink r:id="rId5" w:history="1">
        <w:r w:rsidRPr="00E0069A">
          <w:rPr>
            <w:rStyle w:val="Hyperlink"/>
            <w:shd w:val="clear" w:color="auto" w:fill="FFFFFF"/>
          </w:rPr>
          <w:t>https://www.zoll.de/DE/Fachthemen/Warenursprung-Praeferenzen/warenursprung-praeferenzen_node.html</w:t>
        </w:r>
      </w:hyperlink>
      <w:r w:rsidR="00B44001" w:rsidRPr="00E0069A">
        <w:rPr>
          <w:shd w:val="clear" w:color="auto" w:fill="FFFFFF"/>
        </w:rPr>
        <w:t xml:space="preserve"> und der dort verlinkten Unter-Seiten.</w:t>
      </w:r>
    </w:p>
    <w:p w14:paraId="4218F431" w14:textId="1F51B4D6" w:rsidR="002B0D93" w:rsidRPr="00E0069A" w:rsidRDefault="002B0D93" w:rsidP="00E0069A">
      <w:pPr>
        <w:rPr>
          <w:shd w:val="clear" w:color="auto" w:fill="FFFFFF"/>
        </w:rPr>
      </w:pPr>
      <w:r w:rsidRPr="00E0069A">
        <w:rPr>
          <w:shd w:val="clear" w:color="auto" w:fill="FFFFFF"/>
        </w:rPr>
        <w:t>Sie sollen als Diskussionsgrundlage zu der Aktualisierung und Verschlankung unserer Arbeitsanweisung</w:t>
      </w:r>
      <w:r w:rsidR="009C49BD" w:rsidRPr="00E0069A">
        <w:rPr>
          <w:shd w:val="clear" w:color="auto" w:fill="FFFFFF"/>
        </w:rPr>
        <w:t xml:space="preserve"> AA-QM02</w:t>
      </w:r>
      <w:r w:rsidR="00E0069A">
        <w:rPr>
          <w:shd w:val="clear" w:color="auto" w:fill="FFFFFF"/>
        </w:rPr>
        <w:t xml:space="preserve"> dienen.</w:t>
      </w:r>
    </w:p>
    <w:p w14:paraId="52ED157C" w14:textId="742893BD" w:rsidR="00B44001" w:rsidRPr="0001250E" w:rsidRDefault="00B44001" w:rsidP="0001250E">
      <w:pPr>
        <w:pStyle w:val="berschrift2"/>
      </w:pPr>
      <w:r w:rsidRPr="0001250E">
        <w:t>Grundsätzliches</w:t>
      </w:r>
    </w:p>
    <w:p w14:paraId="0F12F685" w14:textId="63D41E0E" w:rsidR="0063697E" w:rsidRDefault="00B44001" w:rsidP="00E0069A">
      <w:r w:rsidRPr="00E0069A">
        <w:t xml:space="preserve">Ziel des Verfahrens ist es nachzuweisen, das von uns exportierte Waren zollrechtlich, als in der EU hergestellt betrachtet werden, auch wenn sie aus </w:t>
      </w:r>
      <w:r w:rsidR="002B5CBC" w:rsidRPr="00E0069A">
        <w:t xml:space="preserve">Kaufteilen entstanden sind, die nicht aus der EU stammen. Hierdurch erhalten die Waren </w:t>
      </w:r>
      <w:r w:rsidR="002B5CBC" w:rsidRPr="00E0069A">
        <w:rPr>
          <w:b/>
          <w:bCs/>
        </w:rPr>
        <w:t xml:space="preserve">„Präferenzen“, </w:t>
      </w:r>
      <w:r w:rsidR="002B5CBC" w:rsidRPr="00E0069A">
        <w:t>die z.B. zu verringerten Zöllen führen</w:t>
      </w:r>
      <w:r w:rsidR="00A43FB9">
        <w:t>.</w:t>
      </w:r>
    </w:p>
    <w:p w14:paraId="2BDA7286" w14:textId="4A826FE6" w:rsidR="0063697E" w:rsidRPr="0001250E" w:rsidRDefault="0063697E" w:rsidP="0001250E">
      <w:pPr>
        <w:pStyle w:val="berschrift3"/>
      </w:pPr>
      <w:r w:rsidRPr="0001250E">
        <w:t>Präferenzabkommen</w:t>
      </w:r>
    </w:p>
    <w:p w14:paraId="0668D35C" w14:textId="1A00AE9A" w:rsidR="00E0069A" w:rsidRPr="00E0069A" w:rsidRDefault="00B44001" w:rsidP="00E0069A">
      <w:r w:rsidRPr="00E0069A">
        <w:t>Die Regelungen</w:t>
      </w:r>
      <w:r w:rsidR="002B5CBC" w:rsidRPr="00E0069A">
        <w:t xml:space="preserve"> zum Erlangen dieser Ursprungspräferenzen sind für alle Export</w:t>
      </w:r>
      <w:r w:rsidR="0063697E">
        <w:t>länder</w:t>
      </w:r>
      <w:r w:rsidR="002B5CBC" w:rsidRPr="00E0069A">
        <w:t xml:space="preserve"> </w:t>
      </w:r>
      <w:r w:rsidR="002B5CBC" w:rsidRPr="00E0069A">
        <w:rPr>
          <w:b/>
          <w:bCs/>
        </w:rPr>
        <w:t>ähnlich</w:t>
      </w:r>
      <w:r w:rsidR="002B5CBC" w:rsidRPr="00E0069A">
        <w:t xml:space="preserve"> aber nicht </w:t>
      </w:r>
      <w:r w:rsidR="002B5CBC" w:rsidRPr="00E0069A">
        <w:rPr>
          <w:b/>
          <w:bCs/>
        </w:rPr>
        <w:t>gleich</w:t>
      </w:r>
      <w:r w:rsidR="002B5CBC" w:rsidRPr="00E0069A">
        <w:t>.</w:t>
      </w:r>
    </w:p>
    <w:p w14:paraId="64118F50" w14:textId="3051428D" w:rsidR="003F6610" w:rsidRDefault="00E0069A" w:rsidP="00E0069A">
      <w:r w:rsidRPr="00E0069A">
        <w:t>Zitat Zoll: „</w:t>
      </w:r>
      <w:r w:rsidR="003F6610" w:rsidRPr="003F6610">
        <w:t>Für den Erwerb des präferenziellen Ursprungs von Erzeugnissen bei deren Herstellung sind die Regeln der jeweiligen Präferenzabkommen zu beachten.</w:t>
      </w:r>
    </w:p>
    <w:p w14:paraId="53B8BE0F" w14:textId="02EED67F" w:rsidR="00B44001" w:rsidRPr="00E0069A" w:rsidRDefault="002B5CBC" w:rsidP="00E0069A">
      <w:r w:rsidRPr="00E0069A">
        <w:t>Es muss also für jeden Exportvorgang, das entsprechende</w:t>
      </w:r>
      <w:r w:rsidR="003F6610">
        <w:t xml:space="preserve"> A</w:t>
      </w:r>
      <w:r w:rsidR="003F6610" w:rsidRPr="003F6610">
        <w:t>bkommen</w:t>
      </w:r>
      <w:r w:rsidRPr="00E0069A">
        <w:t xml:space="preserve"> </w:t>
      </w:r>
      <w:r w:rsidR="003F6610">
        <w:t xml:space="preserve">des Ziellandes verwendet </w:t>
      </w:r>
      <w:r w:rsidR="00D6221B">
        <w:t xml:space="preserve">und analysiert </w:t>
      </w:r>
      <w:r w:rsidR="003F6610">
        <w:t>werden.</w:t>
      </w:r>
      <w:r w:rsidR="00D6221B">
        <w:t xml:space="preserve"> </w:t>
      </w:r>
      <w:r w:rsidR="00D6221B" w:rsidRPr="00D6221B">
        <w:rPr>
          <w:i/>
          <w:iCs/>
          <w:color w:val="FF0000"/>
        </w:rPr>
        <w:t>(Wer machts?)</w:t>
      </w:r>
    </w:p>
    <w:p w14:paraId="742E8100" w14:textId="58EBFB2D" w:rsidR="002B5CBC" w:rsidRDefault="003029F7" w:rsidP="0001250E">
      <w:pPr>
        <w:pStyle w:val="berschrift3"/>
      </w:pPr>
      <w:r>
        <w:t>"ausreichende" Be- oder Verarbeitung</w:t>
      </w:r>
    </w:p>
    <w:p w14:paraId="05067A01" w14:textId="0E7032B7" w:rsidR="0063697E" w:rsidRDefault="003029F7" w:rsidP="00E0069A">
      <w:pPr>
        <w:rPr>
          <w:shd w:val="clear" w:color="auto" w:fill="FFFFFF"/>
        </w:rPr>
      </w:pPr>
      <w:r>
        <w:t xml:space="preserve">Die meisten Abkommen kennen die sogenannte </w:t>
      </w:r>
      <w:r>
        <w:rPr>
          <w:shd w:val="clear" w:color="auto" w:fill="FFFFFF"/>
        </w:rPr>
        <w:t>"ausreichende" Be- oder Verarbeitung</w:t>
      </w:r>
      <w:r>
        <w:rPr>
          <w:shd w:val="clear" w:color="auto" w:fill="FFFFFF"/>
        </w:rPr>
        <w:t xml:space="preserve"> in der EU, die aus einem Nicht-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-Teil ein EU-Teil macht. Diese Bedingung hat große Relevanz für </w:t>
      </w:r>
      <w:proofErr w:type="spellStart"/>
      <w:r>
        <w:rPr>
          <w:shd w:val="clear" w:color="auto" w:fill="FFFFFF"/>
        </w:rPr>
        <w:t>Wernert</w:t>
      </w:r>
      <w:proofErr w:type="spellEnd"/>
      <w:r>
        <w:rPr>
          <w:shd w:val="clear" w:color="auto" w:fill="FFFFFF"/>
        </w:rPr>
        <w:t>.</w:t>
      </w:r>
    </w:p>
    <w:p w14:paraId="7A73B9F6" w14:textId="43646120" w:rsidR="00932B14" w:rsidRDefault="003029F7" w:rsidP="00E0069A">
      <w:pPr>
        <w:rPr>
          <w:shd w:val="clear" w:color="auto" w:fill="FFFFFF"/>
        </w:rPr>
      </w:pPr>
      <w:r>
        <w:rPr>
          <w:shd w:val="clear" w:color="auto" w:fill="FFFFFF"/>
        </w:rPr>
        <w:t>Die Abkommen enthalten hierzu Verarbeitungslisten (kurz Listen)</w:t>
      </w:r>
      <w:r w:rsidR="00932B14">
        <w:rPr>
          <w:shd w:val="clear" w:color="auto" w:fill="FFFFFF"/>
        </w:rPr>
        <w:t>. Der Aufbau wird in</w:t>
      </w:r>
      <w:r w:rsidR="008A1B34">
        <w:rPr>
          <w:shd w:val="clear" w:color="auto" w:fill="FFFFFF"/>
        </w:rPr>
        <w:t xml:space="preserve"> Anhang </w:t>
      </w:r>
      <w:hyperlink w:anchor="A1" w:history="1">
        <w:r w:rsidR="008A1B34" w:rsidRPr="008A1B34">
          <w:rPr>
            <w:rStyle w:val="Hyperlink"/>
            <w:shd w:val="clear" w:color="auto" w:fill="FFFFFF"/>
          </w:rPr>
          <w:t>A</w:t>
        </w:r>
        <w:r w:rsidR="008A1B34" w:rsidRPr="008A1B34">
          <w:rPr>
            <w:rStyle w:val="Hyperlink"/>
            <w:shd w:val="clear" w:color="auto" w:fill="FFFFFF"/>
          </w:rPr>
          <w:t>1</w:t>
        </w:r>
      </w:hyperlink>
      <w:r w:rsidR="009836FB">
        <w:rPr>
          <w:shd w:val="clear" w:color="auto" w:fill="FFFFFF"/>
        </w:rPr>
        <w:t>,</w:t>
      </w:r>
      <w:r w:rsidR="001D0A31">
        <w:rPr>
          <w:shd w:val="clear" w:color="auto" w:fill="FFFFFF"/>
        </w:rPr>
        <w:t xml:space="preserve"> Fundstelle 1 (gelb markiert) erklärt. Entscheidend ist die Einordnung unserer Produkte anhand der Benennung in Spalte 2 und der Zollnummer in Spalte 1</w:t>
      </w:r>
    </w:p>
    <w:p w14:paraId="7CEEED07" w14:textId="0642EE6D" w:rsidR="004114AC" w:rsidRDefault="004114AC" w:rsidP="00E0069A">
      <w:pPr>
        <w:rPr>
          <w:shd w:val="clear" w:color="auto" w:fill="FFFFFF"/>
        </w:rPr>
      </w:pPr>
      <w:r>
        <w:rPr>
          <w:shd w:val="clear" w:color="auto" w:fill="FFFFFF"/>
        </w:rPr>
        <w:t>Die Benennung hat Vorrang vor der Nummer, wenn vor dieser ein ex steht.</w:t>
      </w:r>
    </w:p>
    <w:p w14:paraId="64292CDC" w14:textId="3322C02E" w:rsidR="001D0A31" w:rsidRDefault="001D0A31" w:rsidP="00E0069A">
      <w:pPr>
        <w:rPr>
          <w:shd w:val="clear" w:color="auto" w:fill="FFFFFF"/>
        </w:rPr>
      </w:pPr>
      <w:r>
        <w:rPr>
          <w:shd w:val="clear" w:color="auto" w:fill="FFFFFF"/>
        </w:rPr>
        <w:t>In Spalte 3 und 4 stehen dann die Bedingungen, die zu erfüllen sind</w:t>
      </w:r>
      <w:r w:rsidR="009836FB">
        <w:rPr>
          <w:shd w:val="clear" w:color="auto" w:fill="FFFFFF"/>
        </w:rPr>
        <w:t>, damit das Produkt als EU-Teil gewertet wird.</w:t>
      </w:r>
      <w:r w:rsidR="00A7716C">
        <w:rPr>
          <w:shd w:val="clear" w:color="auto" w:fill="FFFFFF"/>
        </w:rPr>
        <w:t xml:space="preserve"> Es kann eine Spalte (3 oder 4) gewählt werden, die Bedingungen in einer Spalte müssen dann alle erfüllt werden.</w:t>
      </w:r>
    </w:p>
    <w:p w14:paraId="37257EE7" w14:textId="57337748" w:rsidR="00A7716C" w:rsidRDefault="00A7716C" w:rsidP="0001250E">
      <w:pPr>
        <w:pStyle w:val="berschrift3"/>
      </w:pPr>
      <w:r w:rsidRPr="003829F3">
        <w:t>Bedingungen</w:t>
      </w:r>
      <w:r>
        <w:t xml:space="preserve"> in der Liste</w:t>
      </w:r>
    </w:p>
    <w:p w14:paraId="6C73E570" w14:textId="52ECBB33" w:rsidR="00A7716C" w:rsidRPr="0001250E" w:rsidRDefault="003829F3" w:rsidP="0001250E">
      <w:pPr>
        <w:pStyle w:val="berschrift4"/>
      </w:pPr>
      <w:r w:rsidRPr="0001250E">
        <w:t>Positionswechsel</w:t>
      </w:r>
    </w:p>
    <w:p w14:paraId="5ED67DB3" w14:textId="2943AD3E" w:rsidR="003829F3" w:rsidRDefault="00656889" w:rsidP="003829F3">
      <w:r>
        <w:t xml:space="preserve">Durch die Bearbeitung oder den Einbau eines Teiles in eine Baugruppe kann das Fertigprodukt einer anderen Position im </w:t>
      </w:r>
      <w:r w:rsidR="00501EA2">
        <w:t xml:space="preserve">„Harmonisierten System“ (weltweit </w:t>
      </w:r>
      <w:r w:rsidR="00501EA2">
        <w:lastRenderedPageBreak/>
        <w:t>vereinheitlichte Systematik für Waren) zugeordnet werden</w:t>
      </w:r>
      <w:r w:rsidR="00A43FB9">
        <w:t xml:space="preserve"> (s</w:t>
      </w:r>
      <w:r w:rsidR="00501EA2">
        <w:t>.</w:t>
      </w:r>
      <w:r w:rsidR="00A43FB9">
        <w:t xml:space="preserve"> </w:t>
      </w:r>
      <w:r w:rsidR="00A43FB9">
        <w:fldChar w:fldCharType="begin"/>
      </w:r>
      <w:r w:rsidR="00A43FB9">
        <w:instrText xml:space="preserve"> REF A1 \h </w:instrText>
      </w:r>
      <w:r w:rsidR="00A43FB9">
        <w:fldChar w:fldCharType="separate"/>
      </w:r>
      <w:r w:rsidR="00A43FB9">
        <w:rPr>
          <w:shd w:val="clear" w:color="auto" w:fill="FFFFFF"/>
        </w:rPr>
        <w:t>Anhang 1</w:t>
      </w:r>
      <w:r w:rsidR="00A43FB9">
        <w:fldChar w:fldCharType="end"/>
      </w:r>
      <w:r w:rsidR="00A43FB9">
        <w:t>, Fundstelle 2)</w:t>
      </w:r>
    </w:p>
    <w:p w14:paraId="69749670" w14:textId="08D61D2F" w:rsidR="00501EA2" w:rsidRDefault="00501EA2" w:rsidP="003829F3">
      <w:r>
        <w:t>ACHTUNG: Alle in eine</w:t>
      </w:r>
      <w:r w:rsidR="0001250E">
        <w:t>r</w:t>
      </w:r>
      <w:r>
        <w:t xml:space="preserve"> Pumpe verbauten Teile müssen diesen Wechsel machen!</w:t>
      </w:r>
    </w:p>
    <w:p w14:paraId="75638DA2" w14:textId="6BB5B7A3" w:rsidR="00501EA2" w:rsidRDefault="00501EA2" w:rsidP="003829F3">
      <w:r>
        <w:t>Ordnet man die Pumpe dem Kapitel 84 (Maschinen und deren Teile) zu, macht ein Kugellager keinen Pos</w:t>
      </w:r>
      <w:r w:rsidR="002F2AF2">
        <w:t>i</w:t>
      </w:r>
      <w:r>
        <w:t>tionswechsel</w:t>
      </w:r>
      <w:r w:rsidR="002F2AF2">
        <w:t xml:space="preserve"> (s. Beispiel </w:t>
      </w:r>
      <w:r w:rsidR="002F2AF2">
        <w:fldChar w:fldCharType="begin"/>
      </w:r>
      <w:r w:rsidR="002F2AF2">
        <w:instrText xml:space="preserve"> REF A2 \h </w:instrText>
      </w:r>
      <w:r w:rsidR="002F2AF2">
        <w:fldChar w:fldCharType="separate"/>
      </w:r>
      <w:r w:rsidR="002F2AF2">
        <w:rPr>
          <w:shd w:val="clear" w:color="auto" w:fill="FFFFFF"/>
        </w:rPr>
        <w:t xml:space="preserve">Anhang </w:t>
      </w:r>
      <w:r w:rsidR="002F2AF2">
        <w:fldChar w:fldCharType="end"/>
      </w:r>
      <w:r w:rsidR="002F2AF2">
        <w:t>A2).</w:t>
      </w:r>
    </w:p>
    <w:p w14:paraId="3552CE31" w14:textId="61A8C4D2" w:rsidR="002F2AF2" w:rsidRDefault="002F2AF2" w:rsidP="003829F3">
      <w:r>
        <w:t>AUSNAHME: Viele Abkommen erlauben</w:t>
      </w:r>
      <w:r w:rsidR="000E3B98">
        <w:t>,</w:t>
      </w:r>
      <w:r>
        <w:t xml:space="preserve"> das eine gewisse Anzahl Teile keinen Positionswechsel machen, wenn ihr Wert </w:t>
      </w:r>
      <w:r w:rsidR="004D25EC">
        <w:t xml:space="preserve">eine bestimmte Prozentzahl (oft </w:t>
      </w:r>
      <w:r>
        <w:t>10%</w:t>
      </w:r>
      <w:r w:rsidR="004D25EC">
        <w:t>)</w:t>
      </w:r>
      <w:r>
        <w:t xml:space="preserve"> des </w:t>
      </w:r>
      <w:r w:rsidR="000E3B98">
        <w:t>Verkauf</w:t>
      </w:r>
      <w:r w:rsidR="004D25EC">
        <w:t>s</w:t>
      </w:r>
      <w:r w:rsidR="000E3B98">
        <w:t>preises AWP nicht übersteigt.</w:t>
      </w:r>
    </w:p>
    <w:p w14:paraId="736FDC87" w14:textId="784E827A" w:rsidR="00A43FB9" w:rsidRDefault="00A43FB9" w:rsidP="0001250E">
      <w:pPr>
        <w:pStyle w:val="berschrift4"/>
      </w:pPr>
      <w:r>
        <w:t>Wert</w:t>
      </w:r>
      <w:r w:rsidR="00FA7619">
        <w:t>klauseln</w:t>
      </w:r>
    </w:p>
    <w:p w14:paraId="2907F65D" w14:textId="5F345210" w:rsidR="00A43FB9" w:rsidRDefault="00FA7619" w:rsidP="00197DC0">
      <w:r>
        <w:t xml:space="preserve">Bei den </w:t>
      </w:r>
      <w:r>
        <w:t>Wertklauseln</w:t>
      </w:r>
      <w:r>
        <w:t xml:space="preserve"> </w:t>
      </w:r>
      <w:r w:rsidR="00A43FB9">
        <w:t xml:space="preserve">(s. </w:t>
      </w:r>
      <w:r w:rsidR="00A43FB9">
        <w:fldChar w:fldCharType="begin"/>
      </w:r>
      <w:r w:rsidR="00A43FB9">
        <w:instrText xml:space="preserve"> REF A1 \h </w:instrText>
      </w:r>
      <w:r w:rsidR="00A43FB9">
        <w:fldChar w:fldCharType="separate"/>
      </w:r>
      <w:r w:rsidR="00A43FB9" w:rsidRPr="00FA7619">
        <w:rPr>
          <w:shd w:val="clear" w:color="auto" w:fill="FFFFFF"/>
        </w:rPr>
        <w:t>Anhang 1</w:t>
      </w:r>
      <w:r w:rsidR="00A43FB9">
        <w:fldChar w:fldCharType="end"/>
      </w:r>
      <w:r w:rsidR="00A43FB9">
        <w:t xml:space="preserve">, Fundstelle </w:t>
      </w:r>
      <w:r w:rsidR="000A064E">
        <w:t>3</w:t>
      </w:r>
      <w:r w:rsidR="00A43FB9">
        <w:t>)</w:t>
      </w:r>
      <w:r>
        <w:t xml:space="preserve"> wird der Wert aller in einer Pumpe oder einem Ersatzteil verbauten Vormaterialien ohne EU-Ursprung (</w:t>
      </w:r>
      <w:proofErr w:type="spellStart"/>
      <w:r>
        <w:t>VoU</w:t>
      </w:r>
      <w:proofErr w:type="spellEnd"/>
      <w:r>
        <w:t xml:space="preserve">) in Bezug zum Verkaufspreis (Ab-Werk-Preis AWP) gesetzt. Dabei darf ein gewisser Prozentsatz nicht überschritten werden. </w:t>
      </w:r>
    </w:p>
    <w:p w14:paraId="4029077C" w14:textId="33D58A73" w:rsidR="00FA7619" w:rsidRDefault="00FA7619" w:rsidP="00FA7619">
      <w:r>
        <w:t xml:space="preserve">Ordnet man unsere Pumpen im </w:t>
      </w:r>
      <w:r w:rsidR="004D25EC">
        <w:t xml:space="preserve">Beispiel </w:t>
      </w:r>
      <w:r w:rsidR="004D25EC">
        <w:t>(</w:t>
      </w:r>
      <w:r w:rsidR="004D25EC">
        <w:fldChar w:fldCharType="begin"/>
      </w:r>
      <w:r w:rsidR="004D25EC">
        <w:instrText xml:space="preserve"> REF A2 \h </w:instrText>
      </w:r>
      <w:r w:rsidR="004D25EC">
        <w:fldChar w:fldCharType="separate"/>
      </w:r>
      <w:r w:rsidR="004D25EC">
        <w:rPr>
          <w:shd w:val="clear" w:color="auto" w:fill="FFFFFF"/>
        </w:rPr>
        <w:t xml:space="preserve">Anhang </w:t>
      </w:r>
      <w:r w:rsidR="004D25EC">
        <w:fldChar w:fldCharType="end"/>
      </w:r>
      <w:r w:rsidR="004D25EC">
        <w:t>A2)</w:t>
      </w:r>
      <w:r w:rsidR="004D25EC">
        <w:t xml:space="preserve"> dem Kapitel 84 zu und wählt die Bedingung der Spalte 4, so darf der Wert aller in der Pumpe verbauten Kauf- oder Fremdfertigungsteile, die nicht aus der EU stammen maximal 30%</w:t>
      </w:r>
      <w:r w:rsidR="000A064E">
        <w:t xml:space="preserve"> des AWP betragen</w:t>
      </w:r>
      <w:r w:rsidR="004D25EC">
        <w:t>.</w:t>
      </w:r>
    </w:p>
    <w:p w14:paraId="104874C4" w14:textId="289BDB42" w:rsidR="004D25EC" w:rsidRDefault="004D25EC" w:rsidP="00FA7619">
      <w:r>
        <w:t xml:space="preserve">Die Spalte 3 ist hier sicher nicht zielführend, da </w:t>
      </w:r>
      <w:r w:rsidR="000A064E">
        <w:t xml:space="preserve">fast </w:t>
      </w:r>
      <w:r w:rsidR="00197DC0">
        <w:t>alle verbauten Teile auch zum Kapitel 84 gehören und somit keinen Positionswechsel erlauben.</w:t>
      </w:r>
    </w:p>
    <w:p w14:paraId="06C5755D" w14:textId="07A82E6C" w:rsidR="0001250E" w:rsidRDefault="0001250E" w:rsidP="0001250E">
      <w:pPr>
        <w:pStyle w:val="berschrift3"/>
      </w:pPr>
      <w:r>
        <w:t>Kalkulationsgrundsätze</w:t>
      </w:r>
    </w:p>
    <w:p w14:paraId="1FC63E3A" w14:textId="07B07B88" w:rsidR="009939E6" w:rsidRDefault="0001250E" w:rsidP="0001250E">
      <w:r>
        <w:t>Es sind die für ein konkretes Geschäft gültigen Preise zu verwenden</w:t>
      </w:r>
      <w:r w:rsidR="00FF007C">
        <w:t xml:space="preserve"> (s. </w:t>
      </w:r>
      <w:r w:rsidR="00FF007C">
        <w:fldChar w:fldCharType="begin"/>
      </w:r>
      <w:r w:rsidR="00FF007C">
        <w:instrText xml:space="preserve"> REF A3 \h </w:instrText>
      </w:r>
      <w:r w:rsidR="00FF007C">
        <w:fldChar w:fldCharType="separate"/>
      </w:r>
      <w:r w:rsidR="00FF007C">
        <w:rPr>
          <w:shd w:val="clear" w:color="auto" w:fill="FFFFFF"/>
        </w:rPr>
        <w:t>Anh</w:t>
      </w:r>
      <w:r w:rsidR="00FF007C">
        <w:rPr>
          <w:shd w:val="clear" w:color="auto" w:fill="FFFFFF"/>
        </w:rPr>
        <w:t>a</w:t>
      </w:r>
      <w:r w:rsidR="00FF007C">
        <w:rPr>
          <w:shd w:val="clear" w:color="auto" w:fill="FFFFFF"/>
        </w:rPr>
        <w:t xml:space="preserve">ng </w:t>
      </w:r>
      <w:r w:rsidR="00FF007C">
        <w:rPr>
          <w:shd w:val="clear" w:color="auto" w:fill="FFFFFF"/>
        </w:rPr>
        <w:t>3</w:t>
      </w:r>
      <w:r w:rsidR="00FF007C">
        <w:fldChar w:fldCharType="end"/>
      </w:r>
      <w:r w:rsidR="00FF007C">
        <w:t>, Fundstellen 2 u. 3). Es muss also für jede verkaufte Pumpe der mit diesem Kunden vereinbarte Ab-Werk-Preis ins Verhältnis zum Wert der Nicht-EU-Zukaufteile (</w:t>
      </w:r>
      <w:proofErr w:type="spellStart"/>
      <w:r w:rsidR="00FF007C">
        <w:t>VoU</w:t>
      </w:r>
      <w:proofErr w:type="spellEnd"/>
      <w:r w:rsidR="00FF007C">
        <w:t>) gesetzt werden.</w:t>
      </w:r>
    </w:p>
    <w:p w14:paraId="5A09A7FF" w14:textId="6DC26AC4" w:rsidR="0001250E" w:rsidRDefault="00FF007C" w:rsidP="0001250E">
      <w:r>
        <w:t>Die Kaufteile sind mit dem zuletzt gezahlten Preis zu kalkulieren</w:t>
      </w:r>
      <w:r w:rsidR="006724B5">
        <w:t xml:space="preserve">. Obwohl das in den Listenbedingungen nicht immer erkenntlich ist, werden nur die </w:t>
      </w:r>
      <w:proofErr w:type="spellStart"/>
      <w:r w:rsidR="006724B5">
        <w:t>VoU</w:t>
      </w:r>
      <w:proofErr w:type="spellEnd"/>
      <w:r w:rsidR="006724B5">
        <w:t xml:space="preserve"> berücksichtigt</w:t>
      </w:r>
      <w:r w:rsidR="00D22101">
        <w:t xml:space="preserve"> </w:t>
      </w:r>
      <w:r w:rsidR="00D22101">
        <w:t xml:space="preserve">(s. </w:t>
      </w:r>
      <w:r w:rsidR="00D22101">
        <w:fldChar w:fldCharType="begin"/>
      </w:r>
      <w:r w:rsidR="00D22101">
        <w:instrText xml:space="preserve"> REF A3 \h </w:instrText>
      </w:r>
      <w:r w:rsidR="00D22101">
        <w:fldChar w:fldCharType="separate"/>
      </w:r>
      <w:r w:rsidR="00D22101">
        <w:rPr>
          <w:shd w:val="clear" w:color="auto" w:fill="FFFFFF"/>
        </w:rPr>
        <w:t>Anhang 3</w:t>
      </w:r>
      <w:r w:rsidR="00D22101">
        <w:fldChar w:fldCharType="end"/>
      </w:r>
      <w:r w:rsidR="00D22101">
        <w:t>, Fundstellen 2 u. 3)</w:t>
      </w:r>
      <w:r w:rsidR="006724B5">
        <w:t xml:space="preserve">. Teile, für die wir den EU-Ursprung nachweisen können (z.B. durch Lieferantenerklärungen), gehen nicht in die Kalkulation </w:t>
      </w:r>
      <w:r w:rsidR="00D22101">
        <w:t xml:space="preserve">der Wertklauseln </w:t>
      </w:r>
      <w:r w:rsidR="006724B5">
        <w:t>ein.</w:t>
      </w:r>
    </w:p>
    <w:p w14:paraId="5686DE68" w14:textId="00C18A5A" w:rsidR="00D22101" w:rsidRDefault="00D22101" w:rsidP="00D22101">
      <w:pPr>
        <w:pStyle w:val="berschrift3"/>
      </w:pPr>
      <w:r>
        <w:t>Handelsware</w:t>
      </w:r>
    </w:p>
    <w:p w14:paraId="1BE542E3" w14:textId="2CCB5596" w:rsidR="00D22101" w:rsidRDefault="00350AA2" w:rsidP="00D22101">
      <w:r>
        <w:t xml:space="preserve">Da </w:t>
      </w:r>
      <w:proofErr w:type="spellStart"/>
      <w:r>
        <w:t>hier durch</w:t>
      </w:r>
      <w:proofErr w:type="spellEnd"/>
      <w:r>
        <w:t xml:space="preserve"> uns keine Bearbeitung </w:t>
      </w:r>
      <w:r w:rsidR="00F210E1">
        <w:t>vorgenommen wird, kann ein Nicht-EU-Kaufteil nie zu einem EU-Teil werden. Es gilt also der Nachweis des Lieferanten.</w:t>
      </w:r>
    </w:p>
    <w:p w14:paraId="0F9F333D" w14:textId="5F8416ED" w:rsidR="00F210E1" w:rsidRDefault="00F210E1" w:rsidP="00D22101">
      <w:r>
        <w:t xml:space="preserve">Im </w:t>
      </w:r>
      <w:proofErr w:type="gramStart"/>
      <w:r>
        <w:t>weiteren</w:t>
      </w:r>
      <w:proofErr w:type="gramEnd"/>
      <w:r>
        <w:t xml:space="preserve"> gibt es in vielen (oder allen) Abkommen eine Liste von Minimalbearbeitungen, die nicht gerechnet werden dürfen (s. </w:t>
      </w:r>
      <w:r>
        <w:fldChar w:fldCharType="begin"/>
      </w:r>
      <w:r>
        <w:instrText xml:space="preserve"> REF A4 \h </w:instrText>
      </w:r>
      <w:r>
        <w:fldChar w:fldCharType="separate"/>
      </w:r>
      <w:r>
        <w:rPr>
          <w:shd w:val="clear" w:color="auto" w:fill="FFFFFF"/>
        </w:rPr>
        <w:t xml:space="preserve">Anhang </w:t>
      </w:r>
      <w:r>
        <w:rPr>
          <w:shd w:val="clear" w:color="auto" w:fill="FFFFFF"/>
        </w:rPr>
        <w:t>4</w:t>
      </w:r>
      <w:r>
        <w:fldChar w:fldCharType="end"/>
      </w:r>
      <w:r>
        <w:t>).</w:t>
      </w:r>
    </w:p>
    <w:p w14:paraId="697072A3" w14:textId="3708494C" w:rsidR="00F210E1" w:rsidRDefault="00F210E1" w:rsidP="00D22101">
      <w:r>
        <w:t xml:space="preserve">Es ist also keine Lösung ein </w:t>
      </w:r>
      <w:proofErr w:type="spellStart"/>
      <w:r>
        <w:t>Wernert</w:t>
      </w:r>
      <w:proofErr w:type="spellEnd"/>
      <w:r>
        <w:t>-Etikett auf ein Kaufteil zu kleben und den Preis drastisch zu erhöhen.</w:t>
      </w:r>
    </w:p>
    <w:p w14:paraId="51562399" w14:textId="7E374B8A" w:rsidR="00634E2D" w:rsidRDefault="000A064E" w:rsidP="00325ABE">
      <w:pPr>
        <w:pStyle w:val="berschrift2"/>
      </w:pPr>
      <w:r>
        <w:br w:type="column"/>
      </w:r>
      <w:r w:rsidR="00634E2D">
        <w:lastRenderedPageBreak/>
        <w:t xml:space="preserve">Umsetzung bei </w:t>
      </w:r>
      <w:proofErr w:type="spellStart"/>
      <w:r w:rsidR="00634E2D">
        <w:t>Wernert</w:t>
      </w:r>
      <w:proofErr w:type="spellEnd"/>
    </w:p>
    <w:p w14:paraId="42575D41" w14:textId="4559A103" w:rsidR="001B2944" w:rsidRDefault="001B2944" w:rsidP="001B2944">
      <w:pPr>
        <w:pStyle w:val="berschrift3"/>
      </w:pPr>
      <w:r>
        <w:t>Ursprung von Kaufteilen</w:t>
      </w:r>
    </w:p>
    <w:p w14:paraId="1A82CC08" w14:textId="7233EDDB" w:rsidR="001B2944" w:rsidRDefault="001B2944" w:rsidP="001B2944">
      <w:r>
        <w:t>Für alle Kaufteile wird im UNIPPS der Ursprung (EU/Nicht-EU) hinterlegt.</w:t>
      </w:r>
    </w:p>
    <w:p w14:paraId="4D38D52E" w14:textId="4D8BCFCB" w:rsidR="001B2944" w:rsidRPr="001B2944" w:rsidRDefault="001B2944" w:rsidP="001B2944">
      <w:r>
        <w:t>Als Teile mit Ursprung in der EU (</w:t>
      </w:r>
      <w:proofErr w:type="spellStart"/>
      <w:r>
        <w:t>VmU</w:t>
      </w:r>
      <w:proofErr w:type="spellEnd"/>
      <w:r>
        <w:t xml:space="preserve">) werden nur Teile </w:t>
      </w:r>
      <w:r w:rsidR="00EE4AED">
        <w:t xml:space="preserve">gekennzeichnet, für die eine entsprechende Lieferantenerklärung vorliegt. </w:t>
      </w:r>
      <w:proofErr w:type="gramStart"/>
      <w:r w:rsidR="00EE4AED">
        <w:t>Allen anderen Teile</w:t>
      </w:r>
      <w:proofErr w:type="gramEnd"/>
      <w:r w:rsidR="00EE4AED">
        <w:t xml:space="preserve"> sind </w:t>
      </w:r>
      <w:proofErr w:type="spellStart"/>
      <w:r w:rsidR="00EE4AED">
        <w:t>VoU</w:t>
      </w:r>
      <w:proofErr w:type="spellEnd"/>
      <w:r w:rsidR="00EE4AED">
        <w:t xml:space="preserve"> (ohne Ursprung) Die exakte Benennung in UNIPPS wird noch geklärt.</w:t>
      </w:r>
    </w:p>
    <w:p w14:paraId="6CE63EB7" w14:textId="7AD83ACB" w:rsidR="001B2944" w:rsidRDefault="001B2944" w:rsidP="001B2944">
      <w:pPr>
        <w:pStyle w:val="berschrift3"/>
      </w:pPr>
      <w:r>
        <w:t>Pumpen</w:t>
      </w:r>
    </w:p>
    <w:p w14:paraId="54547242" w14:textId="68CB7530" w:rsidR="003C5BAC" w:rsidRDefault="003C5BAC" w:rsidP="003C5BAC">
      <w:r>
        <w:t xml:space="preserve">Für jede Pumpe kann mit einem noch zu erstellenden Software-Tool die Summe der Einkaufspreise aller verbauten </w:t>
      </w:r>
      <w:proofErr w:type="spellStart"/>
      <w:r>
        <w:t>VoU</w:t>
      </w:r>
      <w:proofErr w:type="spellEnd"/>
      <w:r>
        <w:t xml:space="preserve"> berechnet werden.</w:t>
      </w:r>
      <w:r w:rsidR="00E44522">
        <w:t xml:space="preserve"> Das Tool löst hierzu einen Fertigungsauftrag</w:t>
      </w:r>
      <w:r w:rsidR="0038447F">
        <w:t xml:space="preserve"> über alle Strukturebenen auf so, </w:t>
      </w:r>
      <w:proofErr w:type="spellStart"/>
      <w:r w:rsidR="0038447F">
        <w:t>daß</w:t>
      </w:r>
      <w:proofErr w:type="spellEnd"/>
      <w:r w:rsidR="0038447F">
        <w:t xml:space="preserve"> die zugekauften Teile ermittelt werden.</w:t>
      </w:r>
    </w:p>
    <w:p w14:paraId="38E793BB" w14:textId="7BF8D233" w:rsidR="003C5BAC" w:rsidRDefault="003C5BAC" w:rsidP="003C5BAC">
      <w:r>
        <w:t xml:space="preserve">Bei einem Exportauftrag ist aus dem Präferenzabkommen des Ziellandes die für uns gültige Listenbedingung zu ermitteln. </w:t>
      </w:r>
    </w:p>
    <w:p w14:paraId="13A4DB07" w14:textId="37F5874D" w:rsidR="003C5BAC" w:rsidRDefault="003C5BAC" w:rsidP="003C5BAC">
      <w:r>
        <w:t xml:space="preserve">Das Verhältnis der Kosten aller </w:t>
      </w:r>
      <w:proofErr w:type="spellStart"/>
      <w:r>
        <w:t>VoU</w:t>
      </w:r>
      <w:proofErr w:type="spellEnd"/>
      <w:r>
        <w:t xml:space="preserve">-Teile </w:t>
      </w:r>
      <w:r w:rsidR="00E44522">
        <w:t xml:space="preserve">zum konkreten Ab-Werk-Preis ist zu ermitteln und zu dokumentieren. </w:t>
      </w:r>
    </w:p>
    <w:p w14:paraId="6154788D" w14:textId="27F59CBF" w:rsidR="00E44522" w:rsidRPr="003C5BAC" w:rsidRDefault="00E44522" w:rsidP="003C5BAC">
      <w:r>
        <w:t>Es muss der Listenbedingung entsprechen.</w:t>
      </w:r>
    </w:p>
    <w:p w14:paraId="4FF72315" w14:textId="77777777" w:rsidR="001B2944" w:rsidRDefault="001B2944" w:rsidP="001B2944">
      <w:pPr>
        <w:pStyle w:val="berschrift3"/>
      </w:pPr>
      <w:r>
        <w:t>Ersatz</w:t>
      </w:r>
    </w:p>
    <w:p w14:paraId="70F61ED7" w14:textId="6C309E54" w:rsidR="001E0BEB" w:rsidRDefault="001E0BEB" w:rsidP="001E0BEB">
      <w:r>
        <w:t xml:space="preserve">Wir gehen zunächst davon aus, </w:t>
      </w:r>
      <w:proofErr w:type="gramStart"/>
      <w:r>
        <w:t>das</w:t>
      </w:r>
      <w:proofErr w:type="gramEnd"/>
      <w:r>
        <w:t xml:space="preserve"> alle von uns bearbeiteten Teile, durch diese</w:t>
      </w:r>
      <w:r w:rsidR="005437BD">
        <w:t xml:space="preserve"> Bearbeitung zum EU-Teil werden.</w:t>
      </w:r>
    </w:p>
    <w:p w14:paraId="2036DB01" w14:textId="63F8A808" w:rsidR="005437BD" w:rsidRDefault="005437BD" w:rsidP="001E0BEB">
      <w:r>
        <w:t>Die Rechnung enthält daher einen entsprechenden Text (näheres Hr. Klaus), das alle Teile EU-Ursprung haben, es sei denn, es ist an der Rechnungsposition anders gekennzeichnet.</w:t>
      </w:r>
    </w:p>
    <w:p w14:paraId="690265F3" w14:textId="099EB888" w:rsidR="001E0BEB" w:rsidRPr="00E44522" w:rsidRDefault="001E0BEB" w:rsidP="001E0BEB">
      <w:r>
        <w:t>Das o.g. Software-Tool ermittelt für alle Positionen des Kundenauftrages, ob es zu der Position im System einen Fertigungsauftrag</w:t>
      </w:r>
      <w:r w:rsidR="000A064E">
        <w:t xml:space="preserve"> FA</w:t>
      </w:r>
      <w:r>
        <w:t xml:space="preserve"> gibt. Es werden dann die folgenden Fälle unterschieden</w:t>
      </w:r>
      <w:r w:rsidR="000A064E">
        <w:t>:</w:t>
      </w:r>
    </w:p>
    <w:p w14:paraId="30101D20" w14:textId="148B1B6A" w:rsidR="001B2944" w:rsidRDefault="001B2944" w:rsidP="001B2944">
      <w:pPr>
        <w:pStyle w:val="berschrift4"/>
      </w:pPr>
      <w:r>
        <w:t>Ersatz mit Fertigung</w:t>
      </w:r>
    </w:p>
    <w:p w14:paraId="6FFBAED3" w14:textId="3548E273" w:rsidR="001E0BEB" w:rsidRPr="00E44522" w:rsidRDefault="001E0BEB" w:rsidP="001E0BEB">
      <w:r>
        <w:t xml:space="preserve">Gibt es einen FA wird dieser wie bei der Pumpe behandelt. Es wird die Summe der Kosten aller verbauten </w:t>
      </w:r>
      <w:proofErr w:type="spellStart"/>
      <w:r>
        <w:t>VoU</w:t>
      </w:r>
      <w:proofErr w:type="spellEnd"/>
      <w:r>
        <w:t xml:space="preserve"> ermittelt. Diese ist wie bei der Pumpe der AWP </w:t>
      </w:r>
      <w:proofErr w:type="gramStart"/>
      <w:r>
        <w:t>gegenüber zu stellen</w:t>
      </w:r>
      <w:proofErr w:type="gramEnd"/>
      <w:r>
        <w:t>.</w:t>
      </w:r>
      <w:r w:rsidR="005437BD">
        <w:t xml:space="preserve"> Im äußerst unwahrscheinlichen Fall, das die Listenbedingung nicht erfüllt werden kann, muss das Teil auf der Rechnung (</w:t>
      </w:r>
      <w:proofErr w:type="gramStart"/>
      <w:r w:rsidR="005437BD">
        <w:t>manuell ?</w:t>
      </w:r>
      <w:proofErr w:type="gramEnd"/>
      <w:r w:rsidR="005437BD">
        <w:t>) als Nicht-EU gekennzeichnet werden.</w:t>
      </w:r>
    </w:p>
    <w:p w14:paraId="0C2FFF73" w14:textId="1C0E1C28" w:rsidR="001B2944" w:rsidRDefault="001B2944" w:rsidP="001B2944">
      <w:pPr>
        <w:pStyle w:val="berschrift4"/>
      </w:pPr>
      <w:r>
        <w:t xml:space="preserve">Ersatz </w:t>
      </w:r>
      <w:r>
        <w:t xml:space="preserve">ohne </w:t>
      </w:r>
      <w:r>
        <w:t>Fertigung</w:t>
      </w:r>
      <w:r>
        <w:t xml:space="preserve"> (Handelsware)</w:t>
      </w:r>
    </w:p>
    <w:p w14:paraId="645AEE31" w14:textId="48241444" w:rsidR="001E0BEB" w:rsidRDefault="001E0BEB" w:rsidP="001E0BEB">
      <w:r>
        <w:t>Da hier keine Veredelung stattfindet, gilt der im System hinterlegte Status.</w:t>
      </w:r>
    </w:p>
    <w:p w14:paraId="2B2A6147" w14:textId="19318551" w:rsidR="005437BD" w:rsidRPr="001E0BEB" w:rsidRDefault="005437BD" w:rsidP="001E0BEB">
      <w:r>
        <w:t xml:space="preserve">Die Kennzeichnung im UNIPPS soll so stattfinden, </w:t>
      </w:r>
      <w:proofErr w:type="gramStart"/>
      <w:r>
        <w:t>das</w:t>
      </w:r>
      <w:proofErr w:type="gramEnd"/>
      <w:r>
        <w:t xml:space="preserve"> die Nicht-EU-Herkunft automatisch auf der Rechnung erscheint</w:t>
      </w:r>
      <w:r w:rsidR="00825445">
        <w:t>.</w:t>
      </w:r>
    </w:p>
    <w:p w14:paraId="40FB92B6" w14:textId="4382066C" w:rsidR="003029F7" w:rsidRDefault="009836FB" w:rsidP="00F25FBC">
      <w:pPr>
        <w:pStyle w:val="Anhang"/>
      </w:pPr>
      <w:r>
        <w:br w:type="column"/>
      </w:r>
      <w:bookmarkStart w:id="0" w:name="A1"/>
      <w:r w:rsidR="008A1B34">
        <w:lastRenderedPageBreak/>
        <w:t>Anhang 1</w:t>
      </w:r>
      <w:bookmarkEnd w:id="0"/>
      <w:r w:rsidR="008A1B34">
        <w:t xml:space="preserve">: </w:t>
      </w:r>
      <w:r w:rsidR="008A1B34" w:rsidRPr="008A1B34">
        <w:t>A1 Zoll online - Aufbau und Anwendung der Liste.pdf</w:t>
      </w:r>
      <w:r w:rsidR="00F25FBC">
        <w:br/>
      </w:r>
      <w:r w:rsidR="00F25FBC" w:rsidRPr="00F25FBC">
        <w:t>https://www.zoll.de/DE/Fachthemen/Warenursprung-Praeferenzen/Praeferenzen/Ursprungspraeferenzen-und-Ursprungssystematik/Erwerb-des-Ursprungs-nach-den-Ursprungsregeln/Ausreichende-Be-oder-Verarbeitung/Listenbedingungen-Toleranzen/Aufbau-und-Anwendung-der-Liste/aufbau-und-anwendung-der-liste_node.html</w:t>
      </w:r>
    </w:p>
    <w:p w14:paraId="0DBFB72E" w14:textId="4532894B" w:rsidR="008A1B34" w:rsidRDefault="008A1B34" w:rsidP="00F25FBC">
      <w:pPr>
        <w:pStyle w:val="Anhang"/>
      </w:pPr>
      <w:bookmarkStart w:id="1" w:name="A2"/>
      <w:r>
        <w:t xml:space="preserve">Anhang </w:t>
      </w:r>
      <w:bookmarkEnd w:id="1"/>
      <w:r>
        <w:t>2</w:t>
      </w:r>
      <w:r>
        <w:t>:</w:t>
      </w:r>
      <w:r w:rsidR="002F2AF2">
        <w:t xml:space="preserve"> </w:t>
      </w:r>
      <w:r w:rsidR="002F2AF2" w:rsidRPr="002F2AF2">
        <w:t>A2 Bei</w:t>
      </w:r>
      <w:r w:rsidR="002F2AF2">
        <w:t>s</w:t>
      </w:r>
      <w:r w:rsidR="002F2AF2" w:rsidRPr="002F2AF2">
        <w:t>piel Verarbeitungsliste CH.pdf</w:t>
      </w:r>
      <w:r w:rsidR="00F25FBC">
        <w:br/>
      </w:r>
      <w:r w:rsidR="00F25FBC" w:rsidRPr="00F25FBC">
        <w:t>https://wup.zoll.de/wup_online/liste_synopse.php?synopse_position=8413&amp;gruppen%5B%5D=10&amp;gegenueberst_suchen=&amp;stichtag=04.05.2022</w:t>
      </w:r>
    </w:p>
    <w:p w14:paraId="4836B15A" w14:textId="7FB7DF20" w:rsidR="009939E6" w:rsidRDefault="009939E6" w:rsidP="00F25FBC">
      <w:pPr>
        <w:pStyle w:val="Anhang"/>
      </w:pPr>
      <w:bookmarkStart w:id="2" w:name="A3"/>
      <w:r>
        <w:t xml:space="preserve">Anhang </w:t>
      </w:r>
      <w:r>
        <w:t>3</w:t>
      </w:r>
      <w:bookmarkEnd w:id="2"/>
      <w:r>
        <w:t xml:space="preserve">: </w:t>
      </w:r>
      <w:r w:rsidRPr="009939E6">
        <w:t>A3 Zoll online - Werte und Kalkulation.pdf</w:t>
      </w:r>
      <w:r w:rsidR="00F25FBC">
        <w:br/>
      </w:r>
      <w:r w:rsidR="00F25FBC" w:rsidRPr="00F25FBC">
        <w:t>https://www.zoll.de/DE/Fachthemen/Warenursprung-Praeferenzen/Praeferenzen/Ursprungspraeferenzen-und-Ursprungssystematik/Erwerb-des-Ursprungs-nach-den-Ursprungsregeln/Ausreichende-Be-oder-Verarbeitung/Listenbedingungen-Toleranzen/Werte-und-Kalkulation/werte-und-kalkulation_node.html</w:t>
      </w:r>
    </w:p>
    <w:p w14:paraId="3F3139A5" w14:textId="4FC96DEC" w:rsidR="00B43ECC" w:rsidRPr="00E0069A" w:rsidRDefault="00B43ECC" w:rsidP="00F25FBC">
      <w:pPr>
        <w:pStyle w:val="Anhang"/>
      </w:pPr>
      <w:bookmarkStart w:id="3" w:name="A4"/>
      <w:r>
        <w:t xml:space="preserve">Anhang </w:t>
      </w:r>
      <w:r>
        <w:t>4</w:t>
      </w:r>
      <w:bookmarkEnd w:id="3"/>
      <w:r>
        <w:t xml:space="preserve">: </w:t>
      </w:r>
      <w:r w:rsidRPr="00B43ECC">
        <w:t>A4 Zoll online - Minimalbehandlungen.pdf</w:t>
      </w:r>
      <w:r>
        <w:br/>
      </w:r>
      <w:r w:rsidRPr="00B43ECC">
        <w:t>https://www.zoll.de/DE/Fachthemen/Warenursprung-Praeferenzen/Praeferenzen/Ursprungspraeferenzen-und-Ursprungssystematik/Erwerb-des-Ursprungs-nach-den-Ursprungsregeln/Ausreichende-Be-oder-Verarbeitung/Minimalbehandlungen/minimalbehandlungen_node.html</w:t>
      </w:r>
    </w:p>
    <w:p w14:paraId="3A9347AB" w14:textId="77777777" w:rsidR="00B43ECC" w:rsidRPr="00E0069A" w:rsidRDefault="00B43ECC" w:rsidP="00E0069A"/>
    <w:sectPr w:rsidR="00B43ECC" w:rsidRPr="00E0069A" w:rsidSect="003F6610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A6D"/>
    <w:multiLevelType w:val="hybridMultilevel"/>
    <w:tmpl w:val="B6D0DF02"/>
    <w:lvl w:ilvl="0" w:tplc="1FE6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91F24"/>
    <w:multiLevelType w:val="hybridMultilevel"/>
    <w:tmpl w:val="E1DC67A0"/>
    <w:lvl w:ilvl="0" w:tplc="D97AB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1F58"/>
    <w:multiLevelType w:val="multilevel"/>
    <w:tmpl w:val="C8CE04FE"/>
    <w:lvl w:ilvl="0">
      <w:start w:val="1"/>
      <w:numFmt w:val="decimal"/>
      <w:pStyle w:val="berschrift2"/>
      <w:lvlText w:val="%1."/>
      <w:lvlJc w:val="left"/>
      <w:pPr>
        <w:ind w:left="720" w:hanging="360"/>
      </w:pPr>
    </w:lvl>
    <w:lvl w:ilvl="1">
      <w:start w:val="1"/>
      <w:numFmt w:val="decimal"/>
      <w:pStyle w:val="berschrift3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berschrift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10184455">
    <w:abstractNumId w:val="1"/>
  </w:num>
  <w:num w:numId="2" w16cid:durableId="341392748">
    <w:abstractNumId w:val="0"/>
  </w:num>
  <w:num w:numId="3" w16cid:durableId="1043408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93"/>
    <w:rsid w:val="0001250E"/>
    <w:rsid w:val="000A064E"/>
    <w:rsid w:val="000A20E0"/>
    <w:rsid w:val="000E3B98"/>
    <w:rsid w:val="00197DC0"/>
    <w:rsid w:val="001B2944"/>
    <w:rsid w:val="001D0A31"/>
    <w:rsid w:val="001E0BEB"/>
    <w:rsid w:val="002B0D93"/>
    <w:rsid w:val="002B5CBC"/>
    <w:rsid w:val="002F2AF2"/>
    <w:rsid w:val="003029F7"/>
    <w:rsid w:val="00325ABE"/>
    <w:rsid w:val="00350AA2"/>
    <w:rsid w:val="003829F3"/>
    <w:rsid w:val="0038447F"/>
    <w:rsid w:val="003C5BAC"/>
    <w:rsid w:val="003F6610"/>
    <w:rsid w:val="004114AC"/>
    <w:rsid w:val="004D25EC"/>
    <w:rsid w:val="00501EA2"/>
    <w:rsid w:val="005437BD"/>
    <w:rsid w:val="00634E2D"/>
    <w:rsid w:val="0063697E"/>
    <w:rsid w:val="00656889"/>
    <w:rsid w:val="006724B5"/>
    <w:rsid w:val="00825445"/>
    <w:rsid w:val="008A1B34"/>
    <w:rsid w:val="00932B14"/>
    <w:rsid w:val="009836FB"/>
    <w:rsid w:val="009939E6"/>
    <w:rsid w:val="009C49BD"/>
    <w:rsid w:val="00A43FB9"/>
    <w:rsid w:val="00A7716C"/>
    <w:rsid w:val="00B43ECC"/>
    <w:rsid w:val="00B44001"/>
    <w:rsid w:val="00C02E16"/>
    <w:rsid w:val="00CA1982"/>
    <w:rsid w:val="00D22101"/>
    <w:rsid w:val="00D6221B"/>
    <w:rsid w:val="00DA4EE1"/>
    <w:rsid w:val="00E0069A"/>
    <w:rsid w:val="00E44522"/>
    <w:rsid w:val="00EE4AED"/>
    <w:rsid w:val="00F210E1"/>
    <w:rsid w:val="00F25FBC"/>
    <w:rsid w:val="00FA7619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BA56"/>
  <w15:chartTrackingRefBased/>
  <w15:docId w15:val="{4DE830F8-8748-427D-9190-8D507167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4AED"/>
    <w:pPr>
      <w:spacing w:before="120" w:after="120"/>
    </w:pPr>
    <w:rPr>
      <w:rFonts w:ascii="Arial" w:hAnsi="Arial" w:cs="Arial"/>
      <w:color w:val="000000" w:themeColor="text1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4AED"/>
    <w:pPr>
      <w:keepNext/>
      <w:keepLines/>
      <w:numPr>
        <w:numId w:val="3"/>
      </w:numPr>
      <w:tabs>
        <w:tab w:val="left" w:pos="426"/>
      </w:tabs>
      <w:spacing w:before="360" w:after="0"/>
      <w:ind w:left="0" w:hanging="11"/>
      <w:outlineLvl w:val="1"/>
    </w:pPr>
    <w:rPr>
      <w:rFonts w:eastAsiaTheme="majorEastAsia"/>
      <w:b/>
      <w:bCs/>
      <w:sz w:val="28"/>
      <w:szCs w:val="28"/>
      <w:shd w:val="clear" w:color="auto" w:fill="FFFFFF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01250E"/>
    <w:pPr>
      <w:numPr>
        <w:ilvl w:val="1"/>
      </w:numPr>
      <w:tabs>
        <w:tab w:val="clear" w:pos="426"/>
        <w:tab w:val="left" w:pos="709"/>
      </w:tabs>
      <w:spacing w:before="240"/>
      <w:ind w:left="0" w:firstLine="0"/>
      <w:outlineLvl w:val="2"/>
    </w:pPr>
    <w:rPr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01250E"/>
    <w:pPr>
      <w:numPr>
        <w:ilvl w:val="2"/>
      </w:numPr>
      <w:spacing w:before="120"/>
      <w:ind w:left="0" w:firstLine="0"/>
      <w:outlineLvl w:val="3"/>
    </w:pPr>
    <w:rPr>
      <w:rFonts w:cstheme="majorBidi"/>
      <w:b w:val="0"/>
      <w:bCs w:val="0"/>
      <w:i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B0D9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0D9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4400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E4AED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customStyle="1" w:styleId="c-topiclistp">
    <w:name w:val="c-topiclist__p"/>
    <w:basedOn w:val="Standard"/>
    <w:rsid w:val="00E0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DE"/>
    </w:rPr>
  </w:style>
  <w:style w:type="paragraph" w:customStyle="1" w:styleId="meinTitel">
    <w:name w:val="meinTitel"/>
    <w:basedOn w:val="Standard"/>
    <w:qFormat/>
    <w:rsid w:val="00E0069A"/>
    <w:pPr>
      <w:jc w:val="center"/>
    </w:pPr>
    <w:rPr>
      <w:sz w:val="32"/>
      <w:szCs w:val="32"/>
    </w:rPr>
  </w:style>
  <w:style w:type="paragraph" w:customStyle="1" w:styleId="Sperrvermerk">
    <w:name w:val="Sperrvermerk"/>
    <w:basedOn w:val="Standard"/>
    <w:qFormat/>
    <w:rsid w:val="00E0069A"/>
    <w:pPr>
      <w:jc w:val="center"/>
    </w:pPr>
    <w:rPr>
      <w:i/>
      <w:iCs/>
      <w:shd w:val="clear" w:color="auto" w:fill="FFFFF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250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8A1B34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250E"/>
    <w:rPr>
      <w:rFonts w:ascii="Arial" w:eastAsiaTheme="majorEastAsia" w:hAnsi="Arial" w:cstheme="majorBidi"/>
      <w:iCs/>
      <w:color w:val="000000" w:themeColor="text1"/>
      <w:sz w:val="24"/>
      <w:szCs w:val="24"/>
      <w:u w:val="single"/>
    </w:rPr>
  </w:style>
  <w:style w:type="paragraph" w:customStyle="1" w:styleId="Anhang">
    <w:name w:val="Anhang"/>
    <w:basedOn w:val="Standard"/>
    <w:qFormat/>
    <w:rsid w:val="00F25FBC"/>
    <w:pPr>
      <w:ind w:left="1134" w:hanging="1134"/>
    </w:pPr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oll.de/DE/Fachthemen/Warenursprung-Praeferenzen/warenursprung-praeferenzen_n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Etscheidt, Dr. Klaus - WERNERT-PUMPEN GMBH</dc:creator>
  <cp:keywords/>
  <dc:description/>
  <cp:lastModifiedBy>Etscheidt, Dr. Klaus - WERNERT-PUMPEN GMBH</cp:lastModifiedBy>
  <cp:revision>5</cp:revision>
  <dcterms:created xsi:type="dcterms:W3CDTF">2022-05-04T09:38:00Z</dcterms:created>
  <dcterms:modified xsi:type="dcterms:W3CDTF">2022-05-04T14:46:00Z</dcterms:modified>
</cp:coreProperties>
</file>