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14"/>
        <w:jc w:val="center"/>
      </w:pPr>
      <w:r>
        <w:t>EDQSG-U1.2 模型方案</w:t>
      </w:r>
    </w:p>
    <w:p>
      <w:pPr>
        <w:jc w:val="center"/>
      </w:pPr>
      <w:r>
        <w:rPr>
          <w:b/>
          <w:color w:val="365A7A"/>
          <w:sz w:val="36"/>
        </w:rPr>
        <w:t>建设性修订与 AeroMRO 双域验证设计</w:t>
      </w:r>
    </w:p>
    <w:p>
      <w:pPr>
        <w:spacing w:before="454"/>
        <w:jc w:val="center"/>
      </w:pPr>
      <w:r>
        <w:rPr>
          <w:sz w:val="26"/>
        </w:rPr>
        <w:t>证据驱动的数据质量—结构治理评价、根因诊断与治理决策模型</w:t>
      </w:r>
    </w:p>
    <w:p>
      <w:pPr>
        <w:jc w:val="center"/>
      </w:pPr>
      <w:r>
        <w:drawing>
          <wp:inline xmlns:a="http://schemas.openxmlformats.org/drawingml/2006/main" xmlns:pic="http://schemas.openxmlformats.org/drawingml/2006/picture">
            <wp:extent cx="5688000" cy="2814063"/>
            <wp:docPr id="1" name="Picture 1"/>
            <wp:cNvGraphicFramePr>
              <a:graphicFrameLocks noChangeAspect="1"/>
            </wp:cNvGraphicFramePr>
            <a:graphic>
              <a:graphicData uri="http://schemas.openxmlformats.org/drawingml/2006/picture">
                <pic:pic>
                  <pic:nvPicPr>
                    <pic:cNvPr id="0" name="edqsg_u11_architecture.png"/>
                    <pic:cNvPicPr/>
                  </pic:nvPicPr>
                  <pic:blipFill>
                    <a:blip r:embed="rId10"/>
                    <a:stretch>
                      <a:fillRect/>
                    </a:stretch>
                  </pic:blipFill>
                  <pic:spPr>
                    <a:xfrm>
                      <a:off x="0" y="0"/>
                      <a:ext cx="5688000" cy="2814063"/>
                    </a:xfrm>
                    <a:prstGeom prst="rect"/>
                  </pic:spPr>
                </pic:pic>
              </a:graphicData>
            </a:graphic>
          </wp:inline>
        </w:drawing>
      </w:r>
    </w:p>
    <w:p>
      <w:pPr>
        <w:spacing w:before="340"/>
        <w:jc w:val="center"/>
      </w:pPr>
      <w:r>
        <w:t>模型版本：U1.2</w:t>
        <w:br/>
        <w:t>适用对象：器材管理信息系统 / 航空器材管理数据库</w:t>
        <w:br/>
        <w:t>文档用途：论文方法设计、代码实现与验证数据集实施</w:t>
        <w:br/>
        <w:t>修订日期：2026年7月25日</w:t>
        <w:br/>
      </w:r>
    </w:p>
    <w:p>
      <w:r>
        <w:br w:type="page"/>
      </w:r>
    </w:p>
    <w:p>
      <w:pPr>
        <w:pStyle w:val="Title"/>
        <w:jc w:val="center"/>
      </w:pPr>
      <w:r>
        <w:t>修订说明</w:t>
      </w:r>
    </w:p>
    <w:p>
      <w:pPr/>
      <w:r>
        <w:t>本文件是在EDQSG-U1.1基础上的建设性修订。U1.1已经解决“删除物理外键后仍需保留DQ6检测入口”等问题，但SG3仍可能把物理外键缺失直接解释为结构质量下降。U1.2进一步引入预期业务关系、替代完整性控制、受控例外与运行有效性评价，避免误罚因高并发、批量加载、分布式边界或历史系统原因未建立物理外键、但治理控制成熟的生产数据库。</w:t>
      </w:r>
    </w:p>
    <w:tbl>
      <w:tblPr>
        <w:tblStyle w:val="TableGrid"/>
        <w:tblW w:type="auto" w:w="0"/>
        <w:jc w:val="center"/>
        <w:tblLook w:firstColumn="1" w:firstRow="1" w:lastColumn="0" w:lastRow="0" w:noHBand="0" w:noVBand="1" w:val="04A0"/>
      </w:tblPr>
      <w:tblGrid>
        <w:gridCol w:w="9632"/>
      </w:tblGrid>
      <w:tr>
        <w:trPr>
          <w:cantSplit/>
        </w:trPr>
        <w:tc>
          <w:tcPr>
            <w:tcW w:type="dxa" w:w="9632"/>
            <w:shd w:fill="EAF3FB"/>
          </w:tcPr>
          <w:p>
            <w:pPr>
              <w:spacing w:after="40"/>
            </w:pPr>
            <w:r/>
            <w:r>
              <w:rPr>
                <w:b/>
                <w:color w:val="274D6B"/>
              </w:rPr>
              <w:t>核心修订原则：</w:t>
            </w:r>
            <w:r>
              <w:t>理论定义必须能够映射到可执行规则；检测入口不能随着物理约束删除而消失；质量状态与证据充分性必须分别解释；结构缺陷必须能够通过业务负载形成可验证的数据质量传播；每项新增机制都必须同时给出代码接口、数据真值和验证方案。</w:t>
            </w:r>
          </w:p>
        </w:tc>
      </w:tr>
    </w:tbl>
    <w:p>
      <w:pPr>
        <w:spacing w:after="20"/>
      </w:pP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247"/>
            <w:vAlign w:val="center"/>
            <w:shd w:fill="365A7A"/>
          </w:tcPr>
          <w:p>
            <w:pPr>
              <w:spacing w:after="0"/>
            </w:pPr>
            <w:r/>
            <w:r>
              <w:rPr>
                <w:rFonts w:ascii="Noto Serif CJK SC" w:hAnsi="Noto Serif CJK SC" w:eastAsia="Noto Serif CJK SC"/>
                <w:b/>
                <w:color w:val="FFFFFF"/>
                <w:sz w:val="18"/>
              </w:rPr>
              <w:t>版本</w:t>
            </w:r>
          </w:p>
        </w:tc>
        <w:tc>
          <w:tcPr>
            <w:tcW w:type="dxa" w:w="5669"/>
            <w:vAlign w:val="center"/>
            <w:shd w:fill="365A7A"/>
          </w:tcPr>
          <w:p>
            <w:pPr>
              <w:spacing w:after="0"/>
            </w:pPr>
            <w:r/>
            <w:r>
              <w:rPr>
                <w:rFonts w:ascii="Noto Serif CJK SC" w:hAnsi="Noto Serif CJK SC" w:eastAsia="Noto Serif CJK SC"/>
                <w:b/>
                <w:color w:val="FFFFFF"/>
                <w:sz w:val="18"/>
              </w:rPr>
              <w:t>主要变化</w:t>
            </w:r>
          </w:p>
        </w:tc>
        <w:tc>
          <w:tcPr>
            <w:tcW w:type="dxa" w:w="2381"/>
            <w:vAlign w:val="center"/>
            <w:shd w:fill="365A7A"/>
          </w:tcPr>
          <w:p>
            <w:pPr>
              <w:spacing w:after="0"/>
            </w:pPr>
            <w:r/>
            <w:r>
              <w:rPr>
                <w:rFonts w:ascii="Noto Serif CJK SC" w:hAnsi="Noto Serif CJK SC" w:eastAsia="Noto Serif CJK SC"/>
                <w:b/>
                <w:color w:val="FFFFFF"/>
                <w:sz w:val="18"/>
              </w:rPr>
              <w:t>验证状态</w:t>
            </w:r>
          </w:p>
        </w:tc>
      </w:tr>
      <w:tr>
        <w:trPr>
          <w:cantSplit/>
        </w:trPr>
        <w:tc>
          <w:tcPr>
            <w:tcW w:type="dxa" w:w="1247"/>
            <w:vAlign w:val="center"/>
          </w:tcPr>
          <w:p>
            <w:pPr>
              <w:spacing w:after="0"/>
            </w:pPr>
            <w:r/>
            <w:r>
              <w:rPr>
                <w:rFonts w:ascii="Noto Serif CJK SC" w:hAnsi="Noto Serif CJK SC" w:eastAsia="Noto Serif CJK SC"/>
                <w:b w:val="0"/>
                <w:color w:val="222222"/>
                <w:sz w:val="18"/>
              </w:rPr>
              <w:t>U1.0</w:t>
            </w:r>
          </w:p>
        </w:tc>
        <w:tc>
          <w:tcPr>
            <w:tcW w:type="dxa" w:w="5669"/>
            <w:vAlign w:val="center"/>
          </w:tcPr>
          <w:p>
            <w:pPr>
              <w:spacing w:after="0"/>
            </w:pPr>
            <w:r/>
            <w:r>
              <w:rPr>
                <w:rFonts w:ascii="Noto Serif CJK SC" w:hAnsi="Noto Serif CJK SC" w:eastAsia="Noto Serif CJK SC"/>
                <w:b w:val="0"/>
                <w:color w:val="222222"/>
                <w:sz w:val="18"/>
              </w:rPr>
              <w:t>五证、ER融合、双域非补偿评价、Q-S三源校准、治理闭环</w:t>
            </w:r>
          </w:p>
        </w:tc>
        <w:tc>
          <w:tcPr>
            <w:tcW w:type="dxa" w:w="2381"/>
            <w:vAlign w:val="center"/>
          </w:tcPr>
          <w:p>
            <w:pPr>
              <w:spacing w:after="0"/>
            </w:pPr>
            <w:r/>
            <w:r>
              <w:rPr>
                <w:rFonts w:ascii="Noto Serif CJK SC" w:hAnsi="Noto Serif CJK SC" w:eastAsia="Noto Serif CJK SC"/>
                <w:b w:val="0"/>
                <w:color w:val="222222"/>
                <w:sz w:val="18"/>
              </w:rPr>
              <w:t>原模型文档基线</w:t>
            </w:r>
          </w:p>
        </w:tc>
      </w:tr>
      <w:tr>
        <w:trPr>
          <w:cantSplit/>
        </w:trPr>
        <w:tc>
          <w:tcPr>
            <w:tcW w:type="dxa" w:w="1247"/>
            <w:vAlign w:val="center"/>
            <w:shd w:fill="F3F6F8"/>
          </w:tcPr>
          <w:p>
            <w:pPr>
              <w:spacing w:after="0"/>
            </w:pPr>
            <w:r/>
            <w:r>
              <w:rPr>
                <w:rFonts w:ascii="Noto Serif CJK SC" w:hAnsi="Noto Serif CJK SC" w:eastAsia="Noto Serif CJK SC"/>
                <w:b w:val="0"/>
                <w:color w:val="222222"/>
                <w:sz w:val="18"/>
              </w:rPr>
              <w:t>U1.1</w:t>
            </w:r>
          </w:p>
        </w:tc>
        <w:tc>
          <w:tcPr>
            <w:tcW w:type="dxa" w:w="5669"/>
            <w:vAlign w:val="center"/>
            <w:shd w:fill="F3F6F8"/>
          </w:tcPr>
          <w:p>
            <w:pPr>
              <w:spacing w:after="0"/>
            </w:pPr>
            <w:r/>
            <w:r>
              <w:rPr>
                <w:rFonts w:ascii="Noto Serif CJK SC" w:hAnsi="Noto Serif CJK SC" w:eastAsia="Noto Serif CJK SC"/>
                <w:b w:val="0"/>
                <w:color w:val="222222"/>
                <w:sz w:val="18"/>
              </w:rPr>
              <w:t>逻辑关系双轨检测、SG2/SG7/SG8强化、流程/专家证据配置、确定性敏感性、AeroMRO基准</w:t>
            </w:r>
          </w:p>
        </w:tc>
        <w:tc>
          <w:tcPr>
            <w:tcW w:type="dxa" w:w="2381"/>
            <w:vAlign w:val="center"/>
            <w:shd w:fill="F3F6F8"/>
          </w:tcPr>
          <w:p>
            <w:pPr>
              <w:spacing w:after="0"/>
            </w:pPr>
            <w:r/>
            <w:r>
              <w:rPr>
                <w:rFonts w:ascii="Noto Serif CJK SC" w:hAnsi="Noto Serif CJK SC" w:eastAsia="Noto Serif CJK SC"/>
                <w:b w:val="0"/>
                <w:color w:val="222222"/>
                <w:sz w:val="18"/>
              </w:rPr>
              <w:t>Python单元测试通过；SQL Server待真实实例执行</w:t>
            </w:r>
          </w:p>
        </w:tc>
      </w:tr>
      <w:tr>
        <w:trPr>
          <w:cantSplit/>
        </w:trPr>
        <w:tc>
          <w:tcPr>
            <w:tcW w:type="dxa" w:w="3211"/>
          </w:tcPr>
          <w:p>
            <w:pPr>
              <w:spacing w:after="0"/>
            </w:pPr>
            <w:r>
              <w:t>U1.2</w:t>
            </w:r>
          </w:p>
        </w:tc>
        <w:tc>
          <w:tcPr>
            <w:tcW w:type="dxa" w:w="3211"/>
          </w:tcPr>
          <w:p>
            <w:pPr>
              <w:spacing w:after="0"/>
            </w:pPr>
            <w:r>
              <w:t>预期关系控制、替代控制有效性、受控无外键/非受控无外键对照、关系底线重构</w:t>
            </w:r>
          </w:p>
        </w:tc>
        <w:tc>
          <w:tcPr>
            <w:tcW w:type="dxa" w:w="3211"/>
          </w:tcPr>
          <w:p>
            <w:pPr>
              <w:spacing w:after="0"/>
            </w:pPr>
            <w:r>
              <w:t>32项Python测试通过；SQL Server待真实实例执行</w:t>
            </w:r>
          </w:p>
        </w:tc>
      </w:tr>
    </w:tbl>
    <w:p>
      <w:pPr>
        <w:spacing w:after="20"/>
      </w:pPr>
    </w:p>
    <w:p>
      <w:pPr>
        <w:pStyle w:val="Heading1"/>
      </w:pPr>
      <w:r>
        <w:t>摘要</w:t>
      </w:r>
    </w:p>
    <w:p>
      <w:pPr/>
      <w:r>
        <w:t>EDQSG-U1.2将数据库质量评价定义为多源证据支持下的双域决策问题。模型以数据质量Q刻画业务数据结果状态，以结构治理S解释约束、关系、主数据和生命周期控制条件；以可靠性折扣和证据推理保留不确定性及冲突；以几何聚合和底线规则防止关键风险被平均分掩盖；以规范机制、专家判断和历史数据校准Q-S耦合关系；并将低分、结构成因和底线风险转化为可执行治理任务。U1.1进一步建立物理外键与逻辑外键并行的持续检测机制，扩展表模型、主数据和生命周期指标的显式规则，接入过程与专家证据，增加单因素确定性敏感性分析，并设计航空器材管理AeroMRO-EDQSG双域验证数据库。 U1.2特别将“物理外键是否存在”与“关系完整性是否受控”分离，物理外键只是控制机制之一。</w:t>
      </w:r>
    </w:p>
    <w:p>
      <w:pPr/>
      <w:r>
        <w:t>关键词：数据质量；数据库结构质量；证据推理；预期关系；替代完整性控制；受控例外；航空器材；缺陷传播；稳健性分析</w:t>
      </w:r>
    </w:p>
    <w:p>
      <w:r>
        <w:br w:type="page"/>
      </w:r>
    </w:p>
    <w:p>
      <w:pPr>
        <w:pStyle w:val="Title"/>
        <w:jc w:val="center"/>
      </w:pPr>
      <w:r>
        <w:t>目录</w:t>
      </w:r>
    </w:p>
    <w:p>
      <w:r>
        <w:t>1  修订依据与问题界定</w:t>
      </w:r>
    </w:p>
    <w:p>
      <w:pPr/>
      <w:r>
        <w:t>2  EDQSG-U1.2总体架构</w:t>
      </w:r>
    </w:p>
    <w:p>
      <w:r>
        <w:t>3  双域指标体系与可观测边界</w:t>
      </w:r>
    </w:p>
    <w:p>
      <w:r>
        <w:t>4  证据对象、可靠性与“双报告”原则</w:t>
      </w:r>
    </w:p>
    <w:p>
      <w:r>
        <w:t>5  证据融合、冲突和复核</w:t>
      </w:r>
    </w:p>
    <w:p>
      <w:r>
        <w:t>6  双域综合评价与非补偿底线</w:t>
      </w:r>
    </w:p>
    <w:p>
      <w:r>
        <w:t>7  Q-S耦合、根因贡献与关系控制</w:t>
      </w:r>
    </w:p>
    <w:p>
      <w:r>
        <w:t>8  SG2、SG7、SG8的建设性强化</w:t>
      </w:r>
    </w:p>
    <w:p>
      <w:r>
        <w:t>9  冗余评价与治理任务生成</w:t>
      </w:r>
    </w:p>
    <w:p>
      <w:r>
        <w:t>10 稳健性、效度与治理复评</w:t>
      </w:r>
    </w:p>
    <w:p>
      <w:r>
        <w:t>11 AeroMRO-EDQSG验证数据库设计</w:t>
      </w:r>
    </w:p>
    <w:p>
      <w:r>
        <w:t>12 缺陷注入、传播负载与真值体系</w:t>
      </w:r>
    </w:p>
    <w:p>
      <w:r>
        <w:t>13 代码实现映射与测试结果</w:t>
      </w:r>
    </w:p>
    <w:p>
      <w:r>
        <w:t>14 推荐实验实施流程</w:t>
      </w:r>
    </w:p>
    <w:p>
      <w:r>
        <w:t>15 适用边界与后续研究</w:t>
      </w:r>
    </w:p>
    <w:p>
      <w:r>
        <w:t>附录A 指标—证据—代码—数据对照</w:t>
      </w:r>
    </w:p>
    <w:p>
      <w:r>
        <w:t>附录B 基准库核心表与场景目录</w:t>
      </w:r>
    </w:p>
    <w:p>
      <w:r>
        <w:br w:type="page"/>
      </w:r>
    </w:p>
    <w:p>
      <w:pPr>
        <w:pStyle w:val="Heading1"/>
      </w:pPr>
      <w:r>
        <w:t>1 修订依据与问题界定</w:t>
      </w:r>
    </w:p>
    <w:p>
      <w:pPr>
        <w:pStyle w:val="Heading2"/>
      </w:pPr>
      <w:r>
        <w:t>1.1 U1.0值得保留的理论主线</w:t>
      </w:r>
    </w:p>
    <w:p>
      <w:pPr>
        <w:pStyle w:val="ListBullet"/>
        <w:spacing w:after="40"/>
      </w:pPr>
      <w:r>
        <w:t>结果—成因分层：Q回答“数据当前怎么样”，S回答“为什么形成以及能否持续受控”。</w:t>
      </w:r>
    </w:p>
    <w:p>
      <w:pPr>
        <w:pStyle w:val="ListBullet"/>
        <w:spacing w:after="40"/>
      </w:pPr>
      <w:r>
        <w:t>证据而非单一指标值：自动检测、元数据、标准规则、过程和专家判断具有不同可靠性，不应等权处理。</w:t>
      </w:r>
    </w:p>
    <w:p>
      <w:pPr>
        <w:pStyle w:val="ListBullet"/>
        <w:spacing w:after="40"/>
      </w:pPr>
      <w:r>
        <w:t>非补偿性：核心标识、关键关系、寿命和追溯问题不能被其他高分抵消。</w:t>
      </w:r>
    </w:p>
    <w:p>
      <w:pPr>
        <w:pStyle w:val="ListBullet"/>
        <w:spacing w:after="40"/>
      </w:pPr>
      <w:r>
        <w:t>评价—诊断—治理—复评闭环：模型输出必须能形成责任、措施、优先级与验收标准。</w:t>
      </w:r>
    </w:p>
    <w:p>
      <w:pPr>
        <w:pStyle w:val="Heading2"/>
      </w:pPr>
      <w:r>
        <w:t>1.2 文档与代码审阅发现的主要缺口</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2268"/>
            <w:vAlign w:val="center"/>
            <w:shd w:fill="365A7A"/>
          </w:tcPr>
          <w:p>
            <w:pPr>
              <w:spacing w:after="0"/>
            </w:pPr>
            <w:r/>
            <w:r>
              <w:rPr>
                <w:rFonts w:ascii="Noto Serif CJK SC" w:hAnsi="Noto Serif CJK SC" w:eastAsia="Noto Serif CJK SC"/>
                <w:b/>
                <w:color w:val="FFFFFF"/>
                <w:sz w:val="17"/>
              </w:rPr>
              <w:t>问题</w:t>
            </w:r>
          </w:p>
        </w:tc>
        <w:tc>
          <w:tcPr>
            <w:tcW w:type="dxa" w:w="3061"/>
            <w:vAlign w:val="center"/>
            <w:shd w:fill="365A7A"/>
          </w:tcPr>
          <w:p>
            <w:pPr>
              <w:spacing w:after="0"/>
            </w:pPr>
            <w:r/>
            <w:r>
              <w:rPr>
                <w:rFonts w:ascii="Noto Serif CJK SC" w:hAnsi="Noto Serif CJK SC" w:eastAsia="Noto Serif CJK SC"/>
                <w:b/>
                <w:color w:val="FFFFFF"/>
                <w:sz w:val="17"/>
              </w:rPr>
              <w:t>潜在后果</w:t>
            </w:r>
          </w:p>
        </w:tc>
        <w:tc>
          <w:tcPr>
            <w:tcW w:type="dxa" w:w="3969"/>
            <w:vAlign w:val="center"/>
            <w:shd w:fill="365A7A"/>
          </w:tcPr>
          <w:p>
            <w:pPr>
              <w:spacing w:after="0"/>
            </w:pPr>
            <w:r>
              <w:t>U1.2处理</w:t>
            </w:r>
          </w:p>
        </w:tc>
      </w:tr>
      <w:tr>
        <w:trPr>
          <w:cantSplit/>
        </w:trPr>
        <w:tc>
          <w:tcPr>
            <w:tcW w:type="dxa" w:w="2268"/>
            <w:vAlign w:val="center"/>
          </w:tcPr>
          <w:p>
            <w:pPr>
              <w:spacing w:after="0"/>
            </w:pPr>
            <w:r/>
            <w:r>
              <w:rPr>
                <w:rFonts w:ascii="Noto Serif CJK SC" w:hAnsi="Noto Serif CJK SC" w:eastAsia="Noto Serif CJK SC"/>
                <w:b w:val="0"/>
                <w:color w:val="222222"/>
                <w:sz w:val="17"/>
              </w:rPr>
              <w:t>DQ6只遍历物理外键</w:t>
            </w:r>
          </w:p>
        </w:tc>
        <w:tc>
          <w:tcPr>
            <w:tcW w:type="dxa" w:w="3061"/>
            <w:vAlign w:val="center"/>
          </w:tcPr>
          <w:p>
            <w:pPr>
              <w:spacing w:after="0"/>
            </w:pPr>
            <w:r/>
            <w:r>
              <w:rPr>
                <w:rFonts w:ascii="Noto Serif CJK SC" w:hAnsi="Noto Serif CJK SC" w:eastAsia="Noto Serif CJK SC"/>
                <w:b w:val="0"/>
                <w:color w:val="222222"/>
                <w:sz w:val="17"/>
              </w:rPr>
              <w:t>删除外键后，孤儿数据检测入口同时消失</w:t>
            </w:r>
          </w:p>
        </w:tc>
        <w:tc>
          <w:tcPr>
            <w:tcW w:type="dxa" w:w="3969"/>
            <w:vAlign w:val="center"/>
          </w:tcPr>
          <w:p>
            <w:pPr>
              <w:spacing w:after="0"/>
            </w:pPr>
            <w:r>
              <w:t>保留旧版logical_foreign_keys兼容；新增relationship_controls，以预期关系持续执行孤儿检测</w:t>
            </w:r>
          </w:p>
        </w:tc>
      </w:tr>
      <w:tr>
        <w:trPr>
          <w:cantSplit/>
        </w:trPr>
        <w:tc>
          <w:tcPr>
            <w:tcW w:type="dxa" w:w="2268"/>
            <w:vAlign w:val="center"/>
            <w:shd w:fill="F3F6F8"/>
          </w:tcPr>
          <w:p>
            <w:pPr>
              <w:spacing w:after="0"/>
            </w:pPr>
            <w:r/>
            <w:r>
              <w:rPr>
                <w:rFonts w:ascii="Noto Serif CJK SC" w:hAnsi="Noto Serif CJK SC" w:eastAsia="Noto Serif CJK SC"/>
                <w:b w:val="0"/>
                <w:color w:val="222222"/>
                <w:sz w:val="17"/>
              </w:rPr>
              <w:t>PROCESS/EXPERT只存在于模型对象</w:t>
            </w:r>
          </w:p>
        </w:tc>
        <w:tc>
          <w:tcPr>
            <w:tcW w:type="dxa" w:w="3061"/>
            <w:vAlign w:val="center"/>
            <w:shd w:fill="F3F6F8"/>
          </w:tcPr>
          <w:p>
            <w:pPr>
              <w:spacing w:after="0"/>
            </w:pPr>
            <w:r/>
            <w:r>
              <w:rPr>
                <w:rFonts w:ascii="Noto Serif CJK SC" w:hAnsi="Noto Serif CJK SC" w:eastAsia="Noto Serif CJK SC"/>
                <w:b w:val="0"/>
                <w:color w:val="222222"/>
                <w:sz w:val="17"/>
              </w:rPr>
              <w:t>SQL流水线的“五证”没有完全落地</w:t>
            </w:r>
          </w:p>
        </w:tc>
        <w:tc>
          <w:tcPr>
            <w:tcW w:type="dxa" w:w="3969"/>
            <w:vAlign w:val="center"/>
            <w:shd w:fill="F3F6F8"/>
          </w:tcPr>
          <w:p>
            <w:pPr>
              <w:spacing w:after="0"/>
            </w:pPr>
            <w:r/>
            <w:r>
              <w:rPr>
                <w:rFonts w:ascii="Noto Serif CJK SC" w:hAnsi="Noto Serif CJK SC" w:eastAsia="Noto Serif CJK SC"/>
                <w:b w:val="0"/>
                <w:color w:val="222222"/>
                <w:sz w:val="17"/>
              </w:rPr>
              <w:t>新增supplemental_evidence配置并纳入ER融合</w:t>
            </w:r>
          </w:p>
        </w:tc>
      </w:tr>
      <w:tr>
        <w:trPr>
          <w:cantSplit/>
        </w:trPr>
        <w:tc>
          <w:tcPr>
            <w:tcW w:type="dxa" w:w="2268"/>
            <w:vAlign w:val="center"/>
          </w:tcPr>
          <w:p>
            <w:pPr>
              <w:spacing w:after="0"/>
            </w:pPr>
            <w:r/>
            <w:r>
              <w:rPr>
                <w:rFonts w:ascii="Noto Serif CJK SC" w:hAnsi="Noto Serif CJK SC" w:eastAsia="Noto Serif CJK SC"/>
                <w:b w:val="0"/>
                <w:color w:val="222222"/>
                <w:sz w:val="17"/>
              </w:rPr>
              <w:t>SG2依赖说明、宽表和堆表代理</w:t>
            </w:r>
          </w:p>
        </w:tc>
        <w:tc>
          <w:tcPr>
            <w:tcW w:type="dxa" w:w="3061"/>
            <w:vAlign w:val="center"/>
          </w:tcPr>
          <w:p>
            <w:pPr>
              <w:spacing w:after="0"/>
            </w:pPr>
            <w:r/>
            <w:r>
              <w:rPr>
                <w:rFonts w:ascii="Noto Serif CJK SC" w:hAnsi="Noto Serif CJK SC" w:eastAsia="Noto Serif CJK SC"/>
                <w:b w:val="0"/>
                <w:color w:val="222222"/>
                <w:sz w:val="17"/>
              </w:rPr>
              <w:t>难以识别粒度混乱、多值字段和不合理实体合并</w:t>
            </w:r>
          </w:p>
        </w:tc>
        <w:tc>
          <w:tcPr>
            <w:tcW w:type="dxa" w:w="3969"/>
            <w:vAlign w:val="center"/>
          </w:tcPr>
          <w:p>
            <w:pPr>
              <w:spacing w:after="0"/>
            </w:pPr>
            <w:r/>
            <w:r>
              <w:rPr>
                <w:rFonts w:ascii="Noto Serif CJK SC" w:hAnsi="Noto Serif CJK SC" w:eastAsia="Noto Serif CJK SC"/>
                <w:b w:val="0"/>
                <w:color w:val="222222"/>
                <w:sz w:val="17"/>
              </w:rPr>
              <w:t>新增显式粒度、最大字段数、堆表、说明和禁用多值字段契约</w:t>
            </w:r>
          </w:p>
        </w:tc>
      </w:tr>
      <w:tr>
        <w:trPr>
          <w:cantSplit/>
        </w:trPr>
        <w:tc>
          <w:tcPr>
            <w:tcW w:type="dxa" w:w="2268"/>
            <w:vAlign w:val="center"/>
            <w:shd w:fill="F3F6F8"/>
          </w:tcPr>
          <w:p>
            <w:pPr>
              <w:spacing w:after="0"/>
            </w:pPr>
            <w:r/>
            <w:r>
              <w:rPr>
                <w:rFonts w:ascii="Noto Serif CJK SC" w:hAnsi="Noto Serif CJK SC" w:eastAsia="Noto Serif CJK SC"/>
                <w:b w:val="0"/>
                <w:color w:val="222222"/>
                <w:sz w:val="17"/>
              </w:rPr>
              <w:t>SG7主要验证配置是否存在</w:t>
            </w:r>
          </w:p>
        </w:tc>
        <w:tc>
          <w:tcPr>
            <w:tcW w:type="dxa" w:w="3061"/>
            <w:vAlign w:val="center"/>
            <w:shd w:fill="F3F6F8"/>
          </w:tcPr>
          <w:p>
            <w:pPr>
              <w:spacing w:after="0"/>
            </w:pPr>
            <w:r/>
            <w:r>
              <w:rPr>
                <w:rFonts w:ascii="Noto Serif CJK SC" w:hAnsi="Noto Serif CJK SC" w:eastAsia="Noto Serif CJK SC"/>
                <w:b w:val="0"/>
                <w:color w:val="222222"/>
                <w:sz w:val="17"/>
              </w:rPr>
              <w:t>不能证明权威表与业务复制属性实际一致</w:t>
            </w:r>
          </w:p>
        </w:tc>
        <w:tc>
          <w:tcPr>
            <w:tcW w:type="dxa" w:w="3969"/>
            <w:vAlign w:val="center"/>
            <w:shd w:fill="F3F6F8"/>
          </w:tcPr>
          <w:p>
            <w:pPr>
              <w:spacing w:after="0"/>
            </w:pPr>
            <w:r/>
            <w:r>
              <w:rPr>
                <w:rFonts w:ascii="Noto Serif CJK SC" w:hAnsi="Noto Serif CJK SC" w:eastAsia="Noto Serif CJK SC"/>
                <w:b w:val="0"/>
                <w:color w:val="222222"/>
                <w:sz w:val="17"/>
              </w:rPr>
              <w:t>新增权威表—引用表键映射和属性比对</w:t>
            </w:r>
          </w:p>
        </w:tc>
      </w:tr>
      <w:tr>
        <w:trPr>
          <w:cantSplit/>
        </w:trPr>
        <w:tc>
          <w:tcPr>
            <w:tcW w:type="dxa" w:w="2268"/>
            <w:vAlign w:val="center"/>
          </w:tcPr>
          <w:p>
            <w:pPr>
              <w:spacing w:after="0"/>
            </w:pPr>
            <w:r/>
            <w:r>
              <w:rPr>
                <w:rFonts w:ascii="Noto Serif CJK SC" w:hAnsi="Noto Serif CJK SC" w:eastAsia="Noto Serif CJK SC"/>
                <w:b w:val="0"/>
                <w:color w:val="222222"/>
                <w:sz w:val="17"/>
              </w:rPr>
              <w:t>SG8主要依赖审计字段代理</w:t>
            </w:r>
          </w:p>
        </w:tc>
        <w:tc>
          <w:tcPr>
            <w:tcW w:type="dxa" w:w="3061"/>
            <w:vAlign w:val="center"/>
          </w:tcPr>
          <w:p>
            <w:pPr>
              <w:spacing w:after="0"/>
            </w:pPr>
            <w:r/>
            <w:r>
              <w:rPr>
                <w:rFonts w:ascii="Noto Serif CJK SC" w:hAnsi="Noto Serif CJK SC" w:eastAsia="Noto Serif CJK SC"/>
                <w:b w:val="0"/>
                <w:color w:val="222222"/>
                <w:sz w:val="17"/>
              </w:rPr>
              <w:t>不能充分覆盖版本、变更、退出和互操作</w:t>
            </w:r>
          </w:p>
        </w:tc>
        <w:tc>
          <w:tcPr>
            <w:tcW w:type="dxa" w:w="3969"/>
            <w:vAlign w:val="center"/>
          </w:tcPr>
          <w:p>
            <w:pPr>
              <w:spacing w:after="0"/>
            </w:pPr>
            <w:r/>
            <w:r>
              <w:rPr>
                <w:rFonts w:ascii="Noto Serif CJK SC" w:hAnsi="Noto Serif CJK SC" w:eastAsia="Noto Serif CJK SC"/>
                <w:b w:val="0"/>
                <w:color w:val="222222"/>
                <w:sz w:val="17"/>
              </w:rPr>
              <w:t>新增生命周期与互操作控制规则，并保留过程证据</w:t>
            </w:r>
          </w:p>
        </w:tc>
      </w:tr>
      <w:tr>
        <w:trPr>
          <w:cantSplit/>
        </w:trPr>
        <w:tc>
          <w:tcPr>
            <w:tcW w:type="dxa" w:w="2268"/>
            <w:vAlign w:val="center"/>
            <w:shd w:fill="F3F6F8"/>
          </w:tcPr>
          <w:p>
            <w:pPr>
              <w:spacing w:after="0"/>
            </w:pPr>
            <w:r/>
            <w:r>
              <w:rPr>
                <w:rFonts w:ascii="Noto Serif CJK SC" w:hAnsi="Noto Serif CJK SC" w:eastAsia="Noto Serif CJK SC"/>
                <w:b w:val="0"/>
                <w:color w:val="222222"/>
                <w:sz w:val="17"/>
              </w:rPr>
              <w:t>仅有蒙特卡洛整体扰动</w:t>
            </w:r>
          </w:p>
        </w:tc>
        <w:tc>
          <w:tcPr>
            <w:tcW w:type="dxa" w:w="3061"/>
            <w:vAlign w:val="center"/>
            <w:shd w:fill="F3F6F8"/>
          </w:tcPr>
          <w:p>
            <w:pPr>
              <w:spacing w:after="0"/>
            </w:pPr>
            <w:r/>
            <w:r>
              <w:rPr>
                <w:rFonts w:ascii="Noto Serif CJK SC" w:hAnsi="Noto Serif CJK SC" w:eastAsia="Noto Serif CJK SC"/>
                <w:b w:val="0"/>
                <w:color w:val="222222"/>
                <w:sz w:val="17"/>
              </w:rPr>
              <w:t>难以解释具体哪个参数导致结论反转</w:t>
            </w:r>
          </w:p>
        </w:tc>
        <w:tc>
          <w:tcPr>
            <w:tcW w:type="dxa" w:w="3969"/>
            <w:vAlign w:val="center"/>
            <w:shd w:fill="F3F6F8"/>
          </w:tcPr>
          <w:p>
            <w:pPr>
              <w:spacing w:after="0"/>
            </w:pPr>
            <w:r/>
            <w:r>
              <w:rPr>
                <w:rFonts w:ascii="Noto Serif CJK SC" w:hAnsi="Noto Serif CJK SC" w:eastAsia="Noto Serif CJK SC"/>
                <w:b w:val="0"/>
                <w:color w:val="222222"/>
                <w:sz w:val="17"/>
              </w:rPr>
              <w:t>新增单因素±10%/±20%确定性敏感性分析</w:t>
            </w:r>
          </w:p>
        </w:tc>
      </w:tr>
      <w:tr>
        <w:trPr>
          <w:cantSplit/>
        </w:trPr>
        <w:tc>
          <w:tcPr>
            <w:tcW w:type="dxa" w:w="3211"/>
          </w:tcPr>
          <w:p>
            <w:pPr>
              <w:spacing w:after="0"/>
            </w:pPr>
            <w:r>
              <w:t>SG3固定计入物理外键比例</w:t>
            </w:r>
          </w:p>
        </w:tc>
        <w:tc>
          <w:tcPr>
            <w:tcW w:type="dxa" w:w="3211"/>
          </w:tcPr>
          <w:p>
            <w:pPr>
              <w:spacing w:after="0"/>
            </w:pPr>
            <w:r>
              <w:t>成熟替代控制的生产库可能被误罚</w:t>
            </w:r>
          </w:p>
        </w:tc>
        <w:tc>
          <w:tcPr>
            <w:tcW w:type="dxa" w:w="3211"/>
          </w:tcPr>
          <w:p>
            <w:pPr>
              <w:spacing w:after="0"/>
            </w:pPr>
            <w:r>
              <w:t>将物理外键改为控制机制之一，按控制覆盖、可靠性、运行有效性和受控例外评价</w:t>
            </w:r>
          </w:p>
        </w:tc>
      </w:tr>
    </w:tbl>
    <w:p>
      <w:pPr>
        <w:spacing w:after="20"/>
      </w:pPr>
    </w:p>
    <w:tbl>
      <w:tblPr>
        <w:tblStyle w:val="TableGrid"/>
        <w:tblW w:type="auto" w:w="0"/>
        <w:jc w:val="center"/>
        <w:tblLook w:firstColumn="1" w:firstRow="1" w:lastColumn="0" w:lastRow="0" w:noHBand="0" w:noVBand="1" w:val="04A0"/>
      </w:tblPr>
      <w:tblGrid>
        <w:gridCol w:w="9632"/>
      </w:tblGrid>
      <w:tr>
        <w:trPr>
          <w:cantSplit/>
        </w:trPr>
        <w:tc>
          <w:tcPr>
            <w:tcW w:type="dxa" w:w="9632"/>
            <w:shd w:fill="FFF4DE"/>
          </w:tcPr>
          <w:p>
            <w:pPr>
              <w:spacing w:after="0"/>
            </w:pPr>
            <w:r>
              <w:t>需要特别澄清：低指标分数可能来源于“已确认质量差”，也可能来源于“证据不足导致未知度高”。U1.2要求所有分数与可信度、未知度、冲突度和证据清单同时报告，禁止只解释单一分值。</w:t>
            </w:r>
          </w:p>
        </w:tc>
      </w:tr>
    </w:tbl>
    <w:p>
      <w:pPr>
        <w:spacing w:after="20"/>
      </w:pPr>
    </w:p>
    <w:p>
      <w:pPr>
        <w:pStyle w:val="Heading1"/>
      </w:pPr>
      <w:r>
        <w:t>2 EDQSG-U1.2总体架构</w:t>
      </w:r>
    </w:p>
    <w:p>
      <w:pPr>
        <w:pStyle w:val="Heading2"/>
      </w:pPr>
      <w:r>
        <w:t>2.1 正式定义</w:t>
      </w:r>
    </w:p>
    <w:p>
      <w:pPr/>
      <w:r>
        <w:t>EDQSG-U1.2是一种面向业务信息系统的证据驱动双域数据治理评价与决策模型。模型融合五类证据，分别形成数据质量域Q和结构治理域S的等级置信分布；使用非补偿性底线控制关键风险；通过三源校准的Q-S耦合矩阵识别结构性成因；将问题证据、根因路径、生命周期环节和治理责任转化为结构化任务；最后以治理后重新采集的证据进行复评与模型更新。</w:t>
      </w:r>
    </w:p>
    <w:p>
      <w:pPr>
        <w:pStyle w:val="Heading2"/>
      </w:pPr>
      <w:r>
        <w:t>2.2 “二域、五证、五机制、一闭环、四类验证”</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417"/>
            <w:vAlign w:val="center"/>
            <w:shd w:fill="365A7A"/>
          </w:tcPr>
          <w:p>
            <w:pPr>
              <w:spacing w:after="0"/>
            </w:pPr>
            <w:r/>
            <w:r>
              <w:rPr>
                <w:rFonts w:ascii="Noto Serif CJK SC" w:hAnsi="Noto Serif CJK SC" w:eastAsia="Noto Serif CJK SC"/>
                <w:b/>
                <w:color w:val="FFFFFF"/>
                <w:sz w:val="17"/>
              </w:rPr>
              <w:t>组成</w:t>
            </w:r>
          </w:p>
        </w:tc>
        <w:tc>
          <w:tcPr>
            <w:tcW w:type="dxa" w:w="4706"/>
            <w:vAlign w:val="center"/>
            <w:shd w:fill="365A7A"/>
          </w:tcPr>
          <w:p>
            <w:pPr>
              <w:spacing w:after="0"/>
            </w:pPr>
            <w:r/>
            <w:r>
              <w:rPr>
                <w:rFonts w:ascii="Noto Serif CJK SC" w:hAnsi="Noto Serif CJK SC" w:eastAsia="Noto Serif CJK SC"/>
                <w:b/>
                <w:color w:val="FFFFFF"/>
                <w:sz w:val="17"/>
              </w:rPr>
              <w:t>内容</w:t>
            </w:r>
          </w:p>
        </w:tc>
        <w:tc>
          <w:tcPr>
            <w:tcW w:type="dxa" w:w="3231"/>
            <w:vAlign w:val="center"/>
            <w:shd w:fill="365A7A"/>
          </w:tcPr>
          <w:p>
            <w:pPr>
              <w:spacing w:after="0"/>
            </w:pPr>
            <w:r/>
            <w:r>
              <w:rPr>
                <w:rFonts w:ascii="Noto Serif CJK SC" w:hAnsi="Noto Serif CJK SC" w:eastAsia="Noto Serif CJK SC"/>
                <w:b/>
                <w:color w:val="FFFFFF"/>
                <w:sz w:val="17"/>
              </w:rPr>
              <w:t>标准输出</w:t>
            </w:r>
          </w:p>
        </w:tc>
      </w:tr>
      <w:tr>
        <w:trPr>
          <w:cantSplit/>
        </w:trPr>
        <w:tc>
          <w:tcPr>
            <w:tcW w:type="dxa" w:w="1417"/>
            <w:vAlign w:val="center"/>
          </w:tcPr>
          <w:p>
            <w:pPr>
              <w:spacing w:after="0"/>
            </w:pPr>
            <w:r/>
            <w:r>
              <w:rPr>
                <w:rFonts w:ascii="Noto Serif CJK SC" w:hAnsi="Noto Serif CJK SC" w:eastAsia="Noto Serif CJK SC"/>
                <w:b w:val="0"/>
                <w:color w:val="222222"/>
                <w:sz w:val="17"/>
              </w:rPr>
              <w:t>二域</w:t>
            </w:r>
          </w:p>
        </w:tc>
        <w:tc>
          <w:tcPr>
            <w:tcW w:type="dxa" w:w="4706"/>
            <w:vAlign w:val="center"/>
          </w:tcPr>
          <w:p>
            <w:pPr>
              <w:spacing w:after="0"/>
            </w:pPr>
            <w:r/>
            <w:r>
              <w:rPr>
                <w:rFonts w:ascii="Noto Serif CJK SC" w:hAnsi="Noto Serif CJK SC" w:eastAsia="Noto Serif CJK SC"/>
                <w:b w:val="0"/>
                <w:color w:val="222222"/>
                <w:sz w:val="17"/>
              </w:rPr>
              <w:t>数据质量域Q；结构治理域S</w:t>
            </w:r>
          </w:p>
        </w:tc>
        <w:tc>
          <w:tcPr>
            <w:tcW w:type="dxa" w:w="3231"/>
            <w:vAlign w:val="center"/>
          </w:tcPr>
          <w:p>
            <w:pPr>
              <w:spacing w:after="0"/>
            </w:pPr>
            <w:r/>
            <w:r>
              <w:rPr>
                <w:rFonts w:ascii="Noto Serif CJK SC" w:hAnsi="Noto Serif CJK SC" w:eastAsia="Noto Serif CJK SC"/>
                <w:b w:val="0"/>
                <w:color w:val="222222"/>
                <w:sz w:val="17"/>
              </w:rPr>
              <w:t>域得分、置信分布、可信度、未知度</w:t>
            </w:r>
          </w:p>
        </w:tc>
      </w:tr>
      <w:tr>
        <w:trPr>
          <w:cantSplit/>
        </w:trPr>
        <w:tc>
          <w:tcPr>
            <w:tcW w:type="dxa" w:w="1417"/>
            <w:vAlign w:val="center"/>
            <w:shd w:fill="F3F6F8"/>
          </w:tcPr>
          <w:p>
            <w:pPr>
              <w:spacing w:after="0"/>
            </w:pPr>
            <w:r/>
            <w:r>
              <w:rPr>
                <w:rFonts w:ascii="Noto Serif CJK SC" w:hAnsi="Noto Serif CJK SC" w:eastAsia="Noto Serif CJK SC"/>
                <w:b w:val="0"/>
                <w:color w:val="222222"/>
                <w:sz w:val="17"/>
              </w:rPr>
              <w:t>五证</w:t>
            </w:r>
          </w:p>
        </w:tc>
        <w:tc>
          <w:tcPr>
            <w:tcW w:type="dxa" w:w="4706"/>
            <w:vAlign w:val="center"/>
            <w:shd w:fill="F3F6F8"/>
          </w:tcPr>
          <w:p>
            <w:pPr>
              <w:spacing w:after="0"/>
            </w:pPr>
            <w:r/>
            <w:r>
              <w:rPr>
                <w:rFonts w:ascii="Noto Serif CJK SC" w:hAnsi="Noto Serif CJK SC" w:eastAsia="Noto Serif CJK SC"/>
                <w:b w:val="0"/>
                <w:color w:val="222222"/>
                <w:sz w:val="17"/>
              </w:rPr>
              <w:t>数据、结构、规则、过程、专家</w:t>
            </w:r>
          </w:p>
        </w:tc>
        <w:tc>
          <w:tcPr>
            <w:tcW w:type="dxa" w:w="3231"/>
            <w:vAlign w:val="center"/>
            <w:shd w:fill="F3F6F8"/>
          </w:tcPr>
          <w:p>
            <w:pPr>
              <w:spacing w:after="0"/>
            </w:pPr>
            <w:r/>
            <w:r>
              <w:rPr>
                <w:rFonts w:ascii="Noto Serif CJK SC" w:hAnsi="Noto Serif CJK SC" w:eastAsia="Noto Serif CJK SC"/>
                <w:b w:val="0"/>
                <w:color w:val="222222"/>
                <w:sz w:val="17"/>
              </w:rPr>
              <w:t>证据对象、可靠性、冲突标记</w:t>
            </w:r>
          </w:p>
        </w:tc>
      </w:tr>
      <w:tr>
        <w:trPr>
          <w:cantSplit/>
        </w:trPr>
        <w:tc>
          <w:tcPr>
            <w:tcW w:type="dxa" w:w="1417"/>
            <w:vAlign w:val="center"/>
          </w:tcPr>
          <w:p>
            <w:pPr>
              <w:spacing w:after="0"/>
            </w:pPr>
            <w:r/>
            <w:r>
              <w:rPr>
                <w:rFonts w:ascii="Noto Serif CJK SC" w:hAnsi="Noto Serif CJK SC" w:eastAsia="Noto Serif CJK SC"/>
                <w:b w:val="0"/>
                <w:color w:val="222222"/>
                <w:sz w:val="17"/>
              </w:rPr>
              <w:t>五机制</w:t>
            </w:r>
          </w:p>
        </w:tc>
        <w:tc>
          <w:tcPr>
            <w:tcW w:type="dxa" w:w="4706"/>
            <w:vAlign w:val="center"/>
          </w:tcPr>
          <w:p>
            <w:pPr>
              <w:spacing w:after="0"/>
            </w:pPr>
            <w:r/>
            <w:r>
              <w:rPr>
                <w:rFonts w:ascii="Noto Serif CJK SC" w:hAnsi="Noto Serif CJK SC" w:eastAsia="Noto Serif CJK SC"/>
                <w:b w:val="0"/>
                <w:color w:val="222222"/>
                <w:sz w:val="17"/>
              </w:rPr>
              <w:t>可靠性折扣、ER融合、双域非补偿、Q-S诊断、治理任务生成</w:t>
            </w:r>
          </w:p>
        </w:tc>
        <w:tc>
          <w:tcPr>
            <w:tcW w:type="dxa" w:w="3231"/>
            <w:vAlign w:val="center"/>
          </w:tcPr>
          <w:p>
            <w:pPr>
              <w:spacing w:after="0"/>
            </w:pPr>
            <w:r/>
            <w:r>
              <w:rPr>
                <w:rFonts w:ascii="Noto Serif CJK SC" w:hAnsi="Noto Serif CJK SC" w:eastAsia="Noto Serif CJK SC"/>
                <w:b w:val="0"/>
                <w:color w:val="222222"/>
                <w:sz w:val="17"/>
              </w:rPr>
              <w:t>指标结果、底线、根因、任务</w:t>
            </w:r>
          </w:p>
        </w:tc>
      </w:tr>
      <w:tr>
        <w:trPr>
          <w:cantSplit/>
        </w:trPr>
        <w:tc>
          <w:tcPr>
            <w:tcW w:type="dxa" w:w="1417"/>
            <w:vAlign w:val="center"/>
            <w:shd w:fill="F3F6F8"/>
          </w:tcPr>
          <w:p>
            <w:pPr>
              <w:spacing w:after="0"/>
            </w:pPr>
            <w:r/>
            <w:r>
              <w:rPr>
                <w:rFonts w:ascii="Noto Serif CJK SC" w:hAnsi="Noto Serif CJK SC" w:eastAsia="Noto Serif CJK SC"/>
                <w:b w:val="0"/>
                <w:color w:val="222222"/>
                <w:sz w:val="17"/>
              </w:rPr>
              <w:t>一闭环</w:t>
            </w:r>
          </w:p>
        </w:tc>
        <w:tc>
          <w:tcPr>
            <w:tcW w:type="dxa" w:w="4706"/>
            <w:vAlign w:val="center"/>
            <w:shd w:fill="F3F6F8"/>
          </w:tcPr>
          <w:p>
            <w:pPr>
              <w:spacing w:after="0"/>
            </w:pPr>
            <w:r/>
            <w:r>
              <w:rPr>
                <w:rFonts w:ascii="Noto Serif CJK SC" w:hAnsi="Noto Serif CJK SC" w:eastAsia="Noto Serif CJK SC"/>
                <w:b w:val="0"/>
                <w:color w:val="222222"/>
                <w:sz w:val="17"/>
              </w:rPr>
              <w:t>评价—诊断—治理—复评—学习</w:t>
            </w:r>
          </w:p>
        </w:tc>
        <w:tc>
          <w:tcPr>
            <w:tcW w:type="dxa" w:w="3231"/>
            <w:vAlign w:val="center"/>
            <w:shd w:fill="F3F6F8"/>
          </w:tcPr>
          <w:p>
            <w:pPr>
              <w:spacing w:after="0"/>
            </w:pPr>
            <w:r/>
            <w:r>
              <w:rPr>
                <w:rFonts w:ascii="Noto Serif CJK SC" w:hAnsi="Noto Serif CJK SC" w:eastAsia="Noto Serif CJK SC"/>
                <w:b w:val="0"/>
                <w:color w:val="222222"/>
                <w:sz w:val="17"/>
              </w:rPr>
              <w:t>治理前后变化和耦合反馈</w:t>
            </w:r>
          </w:p>
        </w:tc>
      </w:tr>
      <w:tr>
        <w:trPr>
          <w:cantSplit/>
        </w:trPr>
        <w:tc>
          <w:tcPr>
            <w:tcW w:type="dxa" w:w="1417"/>
            <w:vAlign w:val="center"/>
          </w:tcPr>
          <w:p>
            <w:pPr>
              <w:spacing w:after="0"/>
            </w:pPr>
            <w:r/>
            <w:r>
              <w:rPr>
                <w:rFonts w:ascii="Noto Serif CJK SC" w:hAnsi="Noto Serif CJK SC" w:eastAsia="Noto Serif CJK SC"/>
                <w:b w:val="0"/>
                <w:color w:val="222222"/>
                <w:sz w:val="17"/>
              </w:rPr>
              <w:t>四类验证</w:t>
            </w:r>
          </w:p>
        </w:tc>
        <w:tc>
          <w:tcPr>
            <w:tcW w:type="dxa" w:w="4706"/>
            <w:vAlign w:val="center"/>
          </w:tcPr>
          <w:p>
            <w:pPr>
              <w:spacing w:after="0"/>
            </w:pPr>
            <w:r/>
            <w:r>
              <w:rPr>
                <w:rFonts w:ascii="Noto Serif CJK SC" w:hAnsi="Noto Serif CJK SC" w:eastAsia="Noto Serif CJK SC"/>
                <w:b w:val="0"/>
                <w:color w:val="222222"/>
                <w:sz w:val="17"/>
              </w:rPr>
              <w:t>内部准确性、稳健性、外部效度、治理效果</w:t>
            </w:r>
          </w:p>
        </w:tc>
        <w:tc>
          <w:tcPr>
            <w:tcW w:type="dxa" w:w="3231"/>
            <w:vAlign w:val="center"/>
          </w:tcPr>
          <w:p>
            <w:pPr>
              <w:spacing w:after="0"/>
            </w:pPr>
            <w:r/>
            <w:r>
              <w:rPr>
                <w:rFonts w:ascii="Noto Serif CJK SC" w:hAnsi="Noto Serif CJK SC" w:eastAsia="Noto Serif CJK SC"/>
                <w:b w:val="0"/>
                <w:color w:val="222222"/>
                <w:sz w:val="17"/>
              </w:rPr>
              <w:t>F1/相关/反转率/业务效标/改善量</w:t>
            </w:r>
          </w:p>
        </w:tc>
      </w:tr>
    </w:tbl>
    <w:p>
      <w:pPr>
        <w:spacing w:after="20"/>
      </w:pPr>
    </w:p>
    <w:p>
      <w:pPr>
        <w:jc w:val="center"/>
      </w:pPr>
      <w:r>
        <w:drawing>
          <wp:inline xmlns:a="http://schemas.openxmlformats.org/drawingml/2006/main" xmlns:pic="http://schemas.openxmlformats.org/drawingml/2006/picture">
            <wp:extent cx="5868000" cy="2903116"/>
            <wp:docPr id="2" name="Picture 2"/>
            <wp:cNvGraphicFramePr>
              <a:graphicFrameLocks noChangeAspect="1"/>
            </wp:cNvGraphicFramePr>
            <a:graphic>
              <a:graphicData uri="http://schemas.openxmlformats.org/drawingml/2006/picture">
                <pic:pic>
                  <pic:nvPicPr>
                    <pic:cNvPr id="0" name="edqsg_u11_architecture.png"/>
                    <pic:cNvPicPr/>
                  </pic:nvPicPr>
                  <pic:blipFill>
                    <a:blip r:embed="rId10"/>
                    <a:stretch>
                      <a:fillRect/>
                    </a:stretch>
                  </pic:blipFill>
                  <pic:spPr>
                    <a:xfrm>
                      <a:off x="0" y="0"/>
                      <a:ext cx="5868000" cy="2903116"/>
                    </a:xfrm>
                    <a:prstGeom prst="rect"/>
                  </pic:spPr>
                </pic:pic>
              </a:graphicData>
            </a:graphic>
          </wp:inline>
        </w:drawing>
      </w:r>
    </w:p>
    <w:p>
      <w:pPr>
        <w:jc w:val="center"/>
      </w:pPr>
      <w:r>
        <w:t>图1 EDQSG-U1.2总体运行逻辑</w:t>
      </w:r>
    </w:p>
    <w:p>
      <w:pPr>
        <w:pStyle w:val="Heading1"/>
      </w:pPr>
      <w:r>
        <w:t>3 双域指标体系与可观测边界</w:t>
      </w:r>
    </w:p>
    <w:p>
      <w:pPr>
        <w:pStyle w:val="Heading2"/>
      </w:pPr>
      <w:r>
        <w:t>3.1 数据质量域Q</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701"/>
            <w:vAlign w:val="center"/>
            <w:shd w:fill="365A7A"/>
          </w:tcPr>
          <w:p>
            <w:pPr>
              <w:spacing w:after="0"/>
            </w:pPr>
            <w:r/>
            <w:r>
              <w:rPr>
                <w:rFonts w:ascii="Noto Serif CJK SC" w:hAnsi="Noto Serif CJK SC" w:eastAsia="Noto Serif CJK SC"/>
                <w:b/>
                <w:color w:val="FFFFFF"/>
                <w:sz w:val="17"/>
              </w:rPr>
              <w:t>指标</w:t>
            </w:r>
          </w:p>
        </w:tc>
        <w:tc>
          <w:tcPr>
            <w:tcW w:type="dxa" w:w="4309"/>
            <w:vAlign w:val="center"/>
            <w:shd w:fill="365A7A"/>
          </w:tcPr>
          <w:p>
            <w:pPr>
              <w:spacing w:after="0"/>
            </w:pPr>
            <w:r/>
            <w:r>
              <w:rPr>
                <w:rFonts w:ascii="Noto Serif CJK SC" w:hAnsi="Noto Serif CJK SC" w:eastAsia="Noto Serif CJK SC"/>
                <w:b/>
                <w:color w:val="FFFFFF"/>
                <w:sz w:val="17"/>
              </w:rPr>
              <w:t>定义</w:t>
            </w:r>
          </w:p>
        </w:tc>
        <w:tc>
          <w:tcPr>
            <w:tcW w:type="dxa" w:w="3345"/>
            <w:vAlign w:val="center"/>
            <w:shd w:fill="365A7A"/>
          </w:tcPr>
          <w:p>
            <w:pPr>
              <w:spacing w:after="0"/>
            </w:pPr>
            <w:r/>
            <w:r>
              <w:rPr>
                <w:rFonts w:ascii="Noto Serif CJK SC" w:hAnsi="Noto Serif CJK SC" w:eastAsia="Noto Serif CJK SC"/>
                <w:b/>
                <w:color w:val="FFFFFF"/>
                <w:sz w:val="17"/>
              </w:rPr>
              <w:t>优先证据</w:t>
            </w:r>
          </w:p>
        </w:tc>
      </w:tr>
      <w:tr>
        <w:trPr>
          <w:cantSplit/>
        </w:trPr>
        <w:tc>
          <w:tcPr>
            <w:tcW w:type="dxa" w:w="1701"/>
            <w:vAlign w:val="center"/>
          </w:tcPr>
          <w:p>
            <w:pPr>
              <w:spacing w:after="0"/>
            </w:pPr>
            <w:r/>
            <w:r>
              <w:rPr>
                <w:rFonts w:ascii="Noto Serif CJK SC" w:hAnsi="Noto Serif CJK SC" w:eastAsia="Noto Serif CJK SC"/>
                <w:b w:val="0"/>
                <w:color w:val="222222"/>
                <w:sz w:val="17"/>
              </w:rPr>
              <w:t>DQ1 完整性</w:t>
            </w:r>
          </w:p>
        </w:tc>
        <w:tc>
          <w:tcPr>
            <w:tcW w:type="dxa" w:w="4309"/>
            <w:vAlign w:val="center"/>
          </w:tcPr>
          <w:p>
            <w:pPr>
              <w:spacing w:after="0"/>
            </w:pPr>
            <w:r/>
            <w:r>
              <w:rPr>
                <w:rFonts w:ascii="Noto Serif CJK SC" w:hAnsi="Noto Serif CJK SC" w:eastAsia="Noto Serif CJK SC"/>
                <w:b w:val="0"/>
                <w:color w:val="222222"/>
                <w:sz w:val="17"/>
              </w:rPr>
              <w:t>必填、条件必填和业务链关键要素是否齐全</w:t>
            </w:r>
          </w:p>
        </w:tc>
        <w:tc>
          <w:tcPr>
            <w:tcW w:type="dxa" w:w="3345"/>
            <w:vAlign w:val="center"/>
          </w:tcPr>
          <w:p>
            <w:pPr>
              <w:spacing w:after="0"/>
            </w:pPr>
            <w:r/>
            <w:r>
              <w:rPr>
                <w:rFonts w:ascii="Noto Serif CJK SC" w:hAnsi="Noto Serif CJK SC" w:eastAsia="Noto Serif CJK SC"/>
                <w:b w:val="0"/>
                <w:color w:val="222222"/>
                <w:sz w:val="17"/>
              </w:rPr>
              <w:t>必填规则、全量/抽样剖析</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DQ2 准确性</w:t>
            </w:r>
          </w:p>
        </w:tc>
        <w:tc>
          <w:tcPr>
            <w:tcW w:type="dxa" w:w="4309"/>
            <w:vAlign w:val="center"/>
            <w:shd w:fill="F3F6F8"/>
          </w:tcPr>
          <w:p>
            <w:pPr>
              <w:spacing w:after="0"/>
            </w:pPr>
            <w:r/>
            <w:r>
              <w:rPr>
                <w:rFonts w:ascii="Noto Serif CJK SC" w:hAnsi="Noto Serif CJK SC" w:eastAsia="Noto Serif CJK SC"/>
                <w:b w:val="0"/>
                <w:color w:val="222222"/>
                <w:sz w:val="17"/>
              </w:rPr>
              <w:t>数据是否与权威来源、业务事实或逻辑关系相符</w:t>
            </w:r>
          </w:p>
        </w:tc>
        <w:tc>
          <w:tcPr>
            <w:tcW w:type="dxa" w:w="3345"/>
            <w:vAlign w:val="center"/>
            <w:shd w:fill="F3F6F8"/>
          </w:tcPr>
          <w:p>
            <w:pPr>
              <w:spacing w:after="0"/>
            </w:pPr>
            <w:r/>
            <w:r>
              <w:rPr>
                <w:rFonts w:ascii="Noto Serif CJK SC" w:hAnsi="Noto Serif CJK SC" w:eastAsia="Noto Serif CJK SC"/>
                <w:b w:val="0"/>
                <w:color w:val="222222"/>
                <w:sz w:val="17"/>
              </w:rPr>
              <w:t>权威值比对、自定义业务规则</w:t>
            </w:r>
          </w:p>
        </w:tc>
      </w:tr>
      <w:tr>
        <w:trPr>
          <w:cantSplit/>
        </w:trPr>
        <w:tc>
          <w:tcPr>
            <w:tcW w:type="dxa" w:w="1701"/>
            <w:vAlign w:val="center"/>
          </w:tcPr>
          <w:p>
            <w:pPr>
              <w:spacing w:after="0"/>
            </w:pPr>
            <w:r/>
            <w:r>
              <w:rPr>
                <w:rFonts w:ascii="Noto Serif CJK SC" w:hAnsi="Noto Serif CJK SC" w:eastAsia="Noto Serif CJK SC"/>
                <w:b w:val="0"/>
                <w:color w:val="222222"/>
                <w:sz w:val="17"/>
              </w:rPr>
              <w:t>DQ3 规范性</w:t>
            </w:r>
          </w:p>
        </w:tc>
        <w:tc>
          <w:tcPr>
            <w:tcW w:type="dxa" w:w="4309"/>
            <w:vAlign w:val="center"/>
          </w:tcPr>
          <w:p>
            <w:pPr>
              <w:spacing w:after="0"/>
            </w:pPr>
            <w:r/>
            <w:r>
              <w:rPr>
                <w:rFonts w:ascii="Noto Serif CJK SC" w:hAnsi="Noto Serif CJK SC" w:eastAsia="Noto Serif CJK SC"/>
                <w:b w:val="0"/>
                <w:color w:val="222222"/>
                <w:sz w:val="17"/>
              </w:rPr>
              <w:t>类型、格式、值域、单位和编码是否符合标准</w:t>
            </w:r>
          </w:p>
        </w:tc>
        <w:tc>
          <w:tcPr>
            <w:tcW w:type="dxa" w:w="3345"/>
            <w:vAlign w:val="center"/>
          </w:tcPr>
          <w:p>
            <w:pPr>
              <w:spacing w:after="0"/>
            </w:pPr>
            <w:r/>
            <w:r>
              <w:rPr>
                <w:rFonts w:ascii="Noto Serif CJK SC" w:hAnsi="Noto Serif CJK SC" w:eastAsia="Noto Serif CJK SC"/>
                <w:b w:val="0"/>
                <w:color w:val="222222"/>
                <w:sz w:val="17"/>
              </w:rPr>
              <w:t>值域/格式/类型规则</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DQ4 唯一性</w:t>
            </w:r>
          </w:p>
        </w:tc>
        <w:tc>
          <w:tcPr>
            <w:tcW w:type="dxa" w:w="4309"/>
            <w:vAlign w:val="center"/>
            <w:shd w:fill="F3F6F8"/>
          </w:tcPr>
          <w:p>
            <w:pPr>
              <w:spacing w:after="0"/>
            </w:pPr>
            <w:r/>
            <w:r>
              <w:rPr>
                <w:rFonts w:ascii="Noto Serif CJK SC" w:hAnsi="Noto Serif CJK SC" w:eastAsia="Noto Serif CJK SC"/>
                <w:b w:val="0"/>
                <w:color w:val="222222"/>
                <w:sz w:val="17"/>
              </w:rPr>
              <w:t>业务对象是否被唯一识别，是否存在重复事实</w:t>
            </w:r>
          </w:p>
        </w:tc>
        <w:tc>
          <w:tcPr>
            <w:tcW w:type="dxa" w:w="3345"/>
            <w:vAlign w:val="center"/>
            <w:shd w:fill="F3F6F8"/>
          </w:tcPr>
          <w:p>
            <w:pPr>
              <w:spacing w:after="0"/>
            </w:pPr>
            <w:r/>
            <w:r>
              <w:rPr>
                <w:rFonts w:ascii="Noto Serif CJK SC" w:hAnsi="Noto Serif CJK SC" w:eastAsia="Noto Serif CJK SC"/>
                <w:b w:val="0"/>
                <w:color w:val="222222"/>
                <w:sz w:val="17"/>
              </w:rPr>
              <w:t>业务键、序列号、证书号</w:t>
            </w:r>
          </w:p>
        </w:tc>
      </w:tr>
      <w:tr>
        <w:trPr>
          <w:cantSplit/>
        </w:trPr>
        <w:tc>
          <w:tcPr>
            <w:tcW w:type="dxa" w:w="1701"/>
            <w:vAlign w:val="center"/>
          </w:tcPr>
          <w:p>
            <w:pPr>
              <w:spacing w:after="0"/>
            </w:pPr>
            <w:r/>
            <w:r>
              <w:rPr>
                <w:rFonts w:ascii="Noto Serif CJK SC" w:hAnsi="Noto Serif CJK SC" w:eastAsia="Noto Serif CJK SC"/>
                <w:b w:val="0"/>
                <w:color w:val="222222"/>
                <w:sz w:val="17"/>
              </w:rPr>
              <w:t>DQ5 一致性</w:t>
            </w:r>
          </w:p>
        </w:tc>
        <w:tc>
          <w:tcPr>
            <w:tcW w:type="dxa" w:w="4309"/>
            <w:vAlign w:val="center"/>
          </w:tcPr>
          <w:p>
            <w:pPr>
              <w:spacing w:after="0"/>
            </w:pPr>
            <w:r/>
            <w:r>
              <w:rPr>
                <w:rFonts w:ascii="Noto Serif CJK SC" w:hAnsi="Noto Serif CJK SC" w:eastAsia="Noto Serif CJK SC"/>
                <w:b w:val="0"/>
                <w:color w:val="222222"/>
                <w:sz w:val="17"/>
              </w:rPr>
              <w:t>跨表、跨系统、快照与权威值是否一致</w:t>
            </w:r>
          </w:p>
        </w:tc>
        <w:tc>
          <w:tcPr>
            <w:tcW w:type="dxa" w:w="3345"/>
            <w:vAlign w:val="center"/>
          </w:tcPr>
          <w:p>
            <w:pPr>
              <w:spacing w:after="0"/>
            </w:pPr>
            <w:r/>
            <w:r>
              <w:rPr>
                <w:rFonts w:ascii="Noto Serif CJK SC" w:hAnsi="Noto Serif CJK SC" w:eastAsia="Noto Serif CJK SC"/>
                <w:b w:val="0"/>
                <w:color w:val="222222"/>
                <w:sz w:val="17"/>
              </w:rPr>
              <w:t>主数据属性比对、跨表规则</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DQ6 关联完整性</w:t>
            </w:r>
          </w:p>
        </w:tc>
        <w:tc>
          <w:tcPr>
            <w:tcW w:type="dxa" w:w="4309"/>
            <w:vAlign w:val="center"/>
            <w:shd w:fill="F3F6F8"/>
          </w:tcPr>
          <w:p>
            <w:pPr>
              <w:spacing w:after="0"/>
            </w:pPr>
            <w:r/>
            <w:r>
              <w:rPr>
                <w:rFonts w:ascii="Noto Serif CJK SC" w:hAnsi="Noto Serif CJK SC" w:eastAsia="Noto Serif CJK SC"/>
                <w:b w:val="0"/>
                <w:color w:val="222222"/>
                <w:sz w:val="17"/>
              </w:rPr>
              <w:t>业务关系是否可连接且无孤儿</w:t>
            </w:r>
          </w:p>
        </w:tc>
        <w:tc>
          <w:tcPr>
            <w:tcW w:type="dxa" w:w="3345"/>
            <w:vAlign w:val="center"/>
            <w:shd w:fill="F3F6F8"/>
          </w:tcPr>
          <w:p>
            <w:pPr>
              <w:spacing w:after="0"/>
            </w:pPr>
            <w:r>
              <w:t>预期关系孤儿检测、物理外键及替代控制运行证据</w:t>
            </w:r>
          </w:p>
        </w:tc>
      </w:tr>
      <w:tr>
        <w:trPr>
          <w:cantSplit/>
        </w:trPr>
        <w:tc>
          <w:tcPr>
            <w:tcW w:type="dxa" w:w="1701"/>
            <w:vAlign w:val="center"/>
          </w:tcPr>
          <w:p>
            <w:pPr>
              <w:spacing w:after="0"/>
            </w:pPr>
            <w:r/>
            <w:r>
              <w:rPr>
                <w:rFonts w:ascii="Noto Serif CJK SC" w:hAnsi="Noto Serif CJK SC" w:eastAsia="Noto Serif CJK SC"/>
                <w:b w:val="0"/>
                <w:color w:val="222222"/>
                <w:sz w:val="17"/>
              </w:rPr>
              <w:t>DQ7 时效性</w:t>
            </w:r>
          </w:p>
        </w:tc>
        <w:tc>
          <w:tcPr>
            <w:tcW w:type="dxa" w:w="4309"/>
            <w:vAlign w:val="center"/>
          </w:tcPr>
          <w:p>
            <w:pPr>
              <w:spacing w:after="0"/>
            </w:pPr>
            <w:r/>
            <w:r>
              <w:rPr>
                <w:rFonts w:ascii="Noto Serif CJK SC" w:hAnsi="Noto Serif CJK SC" w:eastAsia="Noto Serif CJK SC"/>
                <w:b w:val="0"/>
                <w:color w:val="222222"/>
                <w:sz w:val="17"/>
              </w:rPr>
              <w:t>数据更新、同步和复核是否及时</w:t>
            </w:r>
          </w:p>
        </w:tc>
        <w:tc>
          <w:tcPr>
            <w:tcW w:type="dxa" w:w="3345"/>
            <w:vAlign w:val="center"/>
          </w:tcPr>
          <w:p>
            <w:pPr>
              <w:spacing w:after="0"/>
            </w:pPr>
            <w:r/>
            <w:r>
              <w:rPr>
                <w:rFonts w:ascii="Noto Serif CJK SC" w:hAnsi="Noto Serif CJK SC" w:eastAsia="Noto Serif CJK SC"/>
                <w:b w:val="0"/>
                <w:color w:val="222222"/>
                <w:sz w:val="17"/>
              </w:rPr>
              <w:t>更新时间、作业日志</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DQ8 可追溯性</w:t>
            </w:r>
          </w:p>
        </w:tc>
        <w:tc>
          <w:tcPr>
            <w:tcW w:type="dxa" w:w="4309"/>
            <w:vAlign w:val="center"/>
            <w:shd w:fill="F3F6F8"/>
          </w:tcPr>
          <w:p>
            <w:pPr>
              <w:spacing w:after="0"/>
            </w:pPr>
            <w:r/>
            <w:r>
              <w:rPr>
                <w:rFonts w:ascii="Noto Serif CJK SC" w:hAnsi="Noto Serif CJK SC" w:eastAsia="Noto Serif CJK SC"/>
                <w:b w:val="0"/>
                <w:color w:val="222222"/>
                <w:sz w:val="17"/>
              </w:rPr>
              <w:t>来源、变更、责任人和历史链是否完整</w:t>
            </w:r>
          </w:p>
        </w:tc>
        <w:tc>
          <w:tcPr>
            <w:tcW w:type="dxa" w:w="3345"/>
            <w:vAlign w:val="center"/>
            <w:shd w:fill="F3F6F8"/>
          </w:tcPr>
          <w:p>
            <w:pPr>
              <w:spacing w:after="0"/>
            </w:pPr>
            <w:r/>
            <w:r>
              <w:rPr>
                <w:rFonts w:ascii="Noto Serif CJK SC" w:hAnsi="Noto Serif CJK SC" w:eastAsia="Noto Serif CJK SC"/>
                <w:b w:val="0"/>
                <w:color w:val="222222"/>
                <w:sz w:val="17"/>
              </w:rPr>
              <w:t>事务来源、审计、过程记录</w:t>
            </w:r>
          </w:p>
        </w:tc>
      </w:tr>
    </w:tbl>
    <w:p>
      <w:pPr>
        <w:spacing w:after="20"/>
      </w:pPr>
    </w:p>
    <w:p>
      <w:pPr>
        <w:pStyle w:val="Heading2"/>
      </w:pPr>
      <w:r>
        <w:t>3.2 结构治理域S</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701"/>
            <w:vAlign w:val="center"/>
            <w:shd w:fill="365A7A"/>
          </w:tcPr>
          <w:p>
            <w:pPr>
              <w:spacing w:after="0"/>
            </w:pPr>
            <w:r/>
            <w:r>
              <w:rPr>
                <w:rFonts w:ascii="Noto Serif CJK SC" w:hAnsi="Noto Serif CJK SC" w:eastAsia="Noto Serif CJK SC"/>
                <w:b/>
                <w:color w:val="FFFFFF"/>
                <w:sz w:val="17"/>
              </w:rPr>
              <w:t>指标</w:t>
            </w:r>
          </w:p>
        </w:tc>
        <w:tc>
          <w:tcPr>
            <w:tcW w:type="dxa" w:w="3969"/>
            <w:vAlign w:val="center"/>
            <w:shd w:fill="365A7A"/>
          </w:tcPr>
          <w:p>
            <w:pPr>
              <w:spacing w:after="0"/>
            </w:pPr>
            <w:r/>
            <w:r>
              <w:rPr>
                <w:rFonts w:ascii="Noto Serif CJK SC" w:hAnsi="Noto Serif CJK SC" w:eastAsia="Noto Serif CJK SC"/>
                <w:b/>
                <w:color w:val="FFFFFF"/>
                <w:sz w:val="17"/>
              </w:rPr>
              <w:t>定义</w:t>
            </w:r>
          </w:p>
        </w:tc>
        <w:tc>
          <w:tcPr>
            <w:tcW w:type="dxa" w:w="3685"/>
            <w:vAlign w:val="center"/>
            <w:shd w:fill="365A7A"/>
          </w:tcPr>
          <w:p>
            <w:pPr>
              <w:spacing w:after="0"/>
            </w:pPr>
            <w:r>
              <w:t>U1.2可执行观测</w:t>
            </w:r>
          </w:p>
        </w:tc>
      </w:tr>
      <w:tr>
        <w:trPr>
          <w:cantSplit/>
        </w:trPr>
        <w:tc>
          <w:tcPr>
            <w:tcW w:type="dxa" w:w="1701"/>
            <w:vAlign w:val="center"/>
          </w:tcPr>
          <w:p>
            <w:pPr>
              <w:spacing w:after="0"/>
            </w:pPr>
            <w:r/>
            <w:r>
              <w:rPr>
                <w:rFonts w:ascii="Noto Serif CJK SC" w:hAnsi="Noto Serif CJK SC" w:eastAsia="Noto Serif CJK SC"/>
                <w:b w:val="0"/>
                <w:color w:val="222222"/>
                <w:sz w:val="17"/>
              </w:rPr>
              <w:t>SG1 字段设计</w:t>
            </w:r>
          </w:p>
        </w:tc>
        <w:tc>
          <w:tcPr>
            <w:tcW w:type="dxa" w:w="3969"/>
            <w:vAlign w:val="center"/>
          </w:tcPr>
          <w:p>
            <w:pPr>
              <w:spacing w:after="0"/>
            </w:pPr>
            <w:r/>
            <w:r>
              <w:rPr>
                <w:rFonts w:ascii="Noto Serif CJK SC" w:hAnsi="Noto Serif CJK SC" w:eastAsia="Noto Serif CJK SC"/>
                <w:b w:val="0"/>
                <w:color w:val="222222"/>
                <w:sz w:val="17"/>
              </w:rPr>
              <w:t>命名、定义、类型、原子性和数据元规范</w:t>
            </w:r>
          </w:p>
        </w:tc>
        <w:tc>
          <w:tcPr>
            <w:tcW w:type="dxa" w:w="3685"/>
            <w:vAlign w:val="center"/>
          </w:tcPr>
          <w:p>
            <w:pPr>
              <w:spacing w:after="0"/>
            </w:pPr>
            <w:r/>
            <w:r>
              <w:rPr>
                <w:rFonts w:ascii="Noto Serif CJK SC" w:hAnsi="Noto Serif CJK SC" w:eastAsia="Noto Serif CJK SC"/>
                <w:b w:val="0"/>
                <w:color w:val="222222"/>
                <w:sz w:val="17"/>
              </w:rPr>
              <w:t>字段元数据、说明、类型、MAX大字段</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SG2 表模型</w:t>
            </w:r>
          </w:p>
        </w:tc>
        <w:tc>
          <w:tcPr>
            <w:tcW w:type="dxa" w:w="3969"/>
            <w:vAlign w:val="center"/>
            <w:shd w:fill="F3F6F8"/>
          </w:tcPr>
          <w:p>
            <w:pPr>
              <w:spacing w:after="0"/>
            </w:pPr>
            <w:r/>
            <w:r>
              <w:rPr>
                <w:rFonts w:ascii="Noto Serif CJK SC" w:hAnsi="Noto Serif CJK SC" w:eastAsia="Noto Serif CJK SC"/>
                <w:b w:val="0"/>
                <w:color w:val="222222"/>
                <w:sz w:val="17"/>
              </w:rPr>
              <w:t>职责、记录粒度、规范化和实体边界</w:t>
            </w:r>
          </w:p>
        </w:tc>
        <w:tc>
          <w:tcPr>
            <w:tcW w:type="dxa" w:w="3685"/>
            <w:vAlign w:val="center"/>
            <w:shd w:fill="F3F6F8"/>
          </w:tcPr>
          <w:p>
            <w:pPr>
              <w:spacing w:after="0"/>
            </w:pPr>
            <w:r/>
            <w:r>
              <w:rPr>
                <w:rFonts w:ascii="Noto Serif CJK SC" w:hAnsi="Noto Serif CJK SC" w:eastAsia="Noto Serif CJK SC"/>
                <w:b w:val="0"/>
                <w:color w:val="222222"/>
                <w:sz w:val="17"/>
              </w:rPr>
              <w:t>粒度键契约、宽度、堆表、重复组、多值字段</w:t>
            </w:r>
          </w:p>
        </w:tc>
      </w:tr>
      <w:tr>
        <w:trPr>
          <w:cantSplit/>
        </w:trPr>
        <w:tc>
          <w:tcPr>
            <w:tcW w:type="dxa" w:w="1701"/>
            <w:vAlign w:val="center"/>
          </w:tcPr>
          <w:p>
            <w:pPr>
              <w:spacing w:after="0"/>
            </w:pPr>
            <w:r>
              <w:t>SG3 键与关系控制</w:t>
            </w:r>
          </w:p>
        </w:tc>
        <w:tc>
          <w:tcPr>
            <w:tcW w:type="dxa" w:w="3969"/>
            <w:vAlign w:val="center"/>
          </w:tcPr>
          <w:p>
            <w:pPr>
              <w:spacing w:after="0"/>
            </w:pPr>
            <w:r>
              <w:t>主键、唯一、CHECK及预期关系完整性控制是否充分</w:t>
            </w:r>
          </w:p>
        </w:tc>
        <w:tc>
          <w:tcPr>
            <w:tcW w:type="dxa" w:w="3685"/>
            <w:vAlign w:val="center"/>
          </w:tcPr>
          <w:p>
            <w:pPr>
              <w:spacing w:after="0"/>
            </w:pPr>
            <w:r>
              <w:t>基础键约束＋物理/应用/ETL/审计控制有效度</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SG4 关系清晰性</w:t>
            </w:r>
          </w:p>
        </w:tc>
        <w:tc>
          <w:tcPr>
            <w:tcW w:type="dxa" w:w="3969"/>
            <w:vAlign w:val="center"/>
            <w:shd w:fill="F3F6F8"/>
          </w:tcPr>
          <w:p>
            <w:pPr>
              <w:spacing w:after="0"/>
            </w:pPr>
            <w:r>
              <w:t>关系语义、基数、责任、策略和受控例外是否清晰</w:t>
            </w:r>
          </w:p>
        </w:tc>
        <w:tc>
          <w:tcPr>
            <w:tcW w:type="dxa" w:w="3685"/>
            <w:vAlign w:val="center"/>
            <w:shd w:fill="F3F6F8"/>
          </w:tcPr>
          <w:p>
            <w:pPr>
              <w:spacing w:after="0"/>
            </w:pPr>
            <w:r>
              <w:t>relationship_controls语义与治理信息</w:t>
            </w:r>
          </w:p>
        </w:tc>
      </w:tr>
      <w:tr>
        <w:trPr>
          <w:cantSplit/>
        </w:trPr>
        <w:tc>
          <w:tcPr>
            <w:tcW w:type="dxa" w:w="1701"/>
            <w:vAlign w:val="center"/>
          </w:tcPr>
          <w:p>
            <w:pPr>
              <w:spacing w:after="0"/>
            </w:pPr>
            <w:r/>
            <w:r>
              <w:rPr>
                <w:rFonts w:ascii="Noto Serif CJK SC" w:hAnsi="Noto Serif CJK SC" w:eastAsia="Noto Serif CJK SC"/>
                <w:b w:val="0"/>
                <w:color w:val="222222"/>
                <w:sz w:val="17"/>
              </w:rPr>
              <w:t>SG5 字段冗余</w:t>
            </w:r>
          </w:p>
        </w:tc>
        <w:tc>
          <w:tcPr>
            <w:tcW w:type="dxa" w:w="3969"/>
            <w:vAlign w:val="center"/>
          </w:tcPr>
          <w:p>
            <w:pPr>
              <w:spacing w:after="0"/>
            </w:pPr>
            <w:r/>
            <w:r>
              <w:rPr>
                <w:rFonts w:ascii="Noto Serif CJK SC" w:hAnsi="Noto Serif CJK SC" w:eastAsia="Noto Serif CJK SC"/>
                <w:b w:val="0"/>
                <w:color w:val="222222"/>
                <w:sz w:val="17"/>
              </w:rPr>
              <w:t>同义、重复、派生字段是否受控</w:t>
            </w:r>
          </w:p>
        </w:tc>
        <w:tc>
          <w:tcPr>
            <w:tcW w:type="dxa" w:w="3685"/>
            <w:vAlign w:val="center"/>
          </w:tcPr>
          <w:p>
            <w:pPr>
              <w:spacing w:after="0"/>
            </w:pPr>
            <w:r/>
            <w:r>
              <w:rPr>
                <w:rFonts w:ascii="Noto Serif CJK SC" w:hAnsi="Noto Serif CJK SC" w:eastAsia="Noto Serif CJK SC"/>
                <w:b w:val="0"/>
                <w:color w:val="222222"/>
                <w:sz w:val="17"/>
              </w:rPr>
              <w:t>字段相似度与风险因子</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SG6 表冗余</w:t>
            </w:r>
          </w:p>
        </w:tc>
        <w:tc>
          <w:tcPr>
            <w:tcW w:type="dxa" w:w="3969"/>
            <w:vAlign w:val="center"/>
            <w:shd w:fill="F3F6F8"/>
          </w:tcPr>
          <w:p>
            <w:pPr>
              <w:spacing w:after="0"/>
            </w:pPr>
            <w:r/>
            <w:r>
              <w:rPr>
                <w:rFonts w:ascii="Noto Serif CJK SC" w:hAnsi="Noto Serif CJK SC" w:eastAsia="Noto Serif CJK SC"/>
                <w:b w:val="0"/>
                <w:color w:val="222222"/>
                <w:sz w:val="17"/>
              </w:rPr>
              <w:t>结构和功能重叠是否必要且同步受控</w:t>
            </w:r>
          </w:p>
        </w:tc>
        <w:tc>
          <w:tcPr>
            <w:tcW w:type="dxa" w:w="3685"/>
            <w:vAlign w:val="center"/>
            <w:shd w:fill="F3F6F8"/>
          </w:tcPr>
          <w:p>
            <w:pPr>
              <w:spacing w:after="0"/>
            </w:pPr>
            <w:r/>
            <w:r>
              <w:rPr>
                <w:rFonts w:ascii="Noto Serif CJK SC" w:hAnsi="Noto Serif CJK SC" w:eastAsia="Noto Serif CJK SC"/>
                <w:b w:val="0"/>
                <w:color w:val="222222"/>
                <w:sz w:val="17"/>
              </w:rPr>
              <w:t>表相似度、冲突、独立更新</w:t>
            </w:r>
          </w:p>
        </w:tc>
      </w:tr>
      <w:tr>
        <w:trPr>
          <w:cantSplit/>
        </w:trPr>
        <w:tc>
          <w:tcPr>
            <w:tcW w:type="dxa" w:w="1701"/>
            <w:vAlign w:val="center"/>
          </w:tcPr>
          <w:p>
            <w:pPr>
              <w:spacing w:after="0"/>
            </w:pPr>
            <w:r/>
            <w:r>
              <w:rPr>
                <w:rFonts w:ascii="Noto Serif CJK SC" w:hAnsi="Noto Serif CJK SC" w:eastAsia="Noto Serif CJK SC"/>
                <w:b w:val="0"/>
                <w:color w:val="222222"/>
                <w:sz w:val="17"/>
              </w:rPr>
              <w:t>SG7 主数据权威</w:t>
            </w:r>
          </w:p>
        </w:tc>
        <w:tc>
          <w:tcPr>
            <w:tcW w:type="dxa" w:w="3969"/>
            <w:vAlign w:val="center"/>
          </w:tcPr>
          <w:p>
            <w:pPr>
              <w:spacing w:after="0"/>
            </w:pPr>
            <w:r/>
            <w:r>
              <w:rPr>
                <w:rFonts w:ascii="Noto Serif CJK SC" w:hAnsi="Noto Serif CJK SC" w:eastAsia="Noto Serif CJK SC"/>
                <w:b w:val="0"/>
                <w:color w:val="222222"/>
                <w:sz w:val="17"/>
              </w:rPr>
              <w:t>是否存在单一权威源并保持引用一致</w:t>
            </w:r>
          </w:p>
        </w:tc>
        <w:tc>
          <w:tcPr>
            <w:tcW w:type="dxa" w:w="3685"/>
            <w:vAlign w:val="center"/>
          </w:tcPr>
          <w:p>
            <w:pPr>
              <w:spacing w:after="0"/>
            </w:pPr>
            <w:r/>
            <w:r>
              <w:rPr>
                <w:rFonts w:ascii="Noto Serif CJK SC" w:hAnsi="Noto Serif CJK SC" w:eastAsia="Noto Serif CJK SC"/>
                <w:b w:val="0"/>
                <w:color w:val="222222"/>
                <w:sz w:val="17"/>
              </w:rPr>
              <w:t>主数据组＋实际键/属性比对</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SG8 生命周期/互操作</w:t>
            </w:r>
          </w:p>
        </w:tc>
        <w:tc>
          <w:tcPr>
            <w:tcW w:type="dxa" w:w="3969"/>
            <w:vAlign w:val="center"/>
            <w:shd w:fill="F3F6F8"/>
          </w:tcPr>
          <w:p>
            <w:pPr>
              <w:spacing w:after="0"/>
            </w:pPr>
            <w:r/>
            <w:r>
              <w:rPr>
                <w:rFonts w:ascii="Noto Serif CJK SC" w:hAnsi="Noto Serif CJK SC" w:eastAsia="Noto Serif CJK SC"/>
                <w:b w:val="0"/>
                <w:color w:val="222222"/>
                <w:sz w:val="17"/>
              </w:rPr>
              <w:t>版本、审计、变更、退出和标准映射能力</w:t>
            </w:r>
          </w:p>
        </w:tc>
        <w:tc>
          <w:tcPr>
            <w:tcW w:type="dxa" w:w="3685"/>
            <w:vAlign w:val="center"/>
            <w:shd w:fill="F3F6F8"/>
          </w:tcPr>
          <w:p>
            <w:pPr>
              <w:spacing w:after="0"/>
            </w:pPr>
            <w:r/>
            <w:r>
              <w:rPr>
                <w:rFonts w:ascii="Noto Serif CJK SC" w:hAnsi="Noto Serif CJK SC" w:eastAsia="Noto Serif CJK SC"/>
                <w:b w:val="0"/>
                <w:color w:val="222222"/>
                <w:sz w:val="17"/>
              </w:rPr>
              <w:t>审计/版本/互操作字段＋过程证据</w:t>
            </w:r>
          </w:p>
        </w:tc>
      </w:tr>
    </w:tbl>
    <w:p>
      <w:pPr>
        <w:spacing w:after="20"/>
      </w:pPr>
    </w:p>
    <w:p>
      <w:pPr>
        <w:pStyle w:val="Heading2"/>
      </w:pPr>
      <w:r>
        <w:t>3.3 可自动化等级</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417"/>
            <w:vAlign w:val="center"/>
            <w:shd w:fill="365A7A"/>
          </w:tcPr>
          <w:p>
            <w:pPr>
              <w:spacing w:after="0"/>
            </w:pPr>
            <w:r/>
            <w:r>
              <w:rPr>
                <w:rFonts w:ascii="Noto Serif CJK SC" w:hAnsi="Noto Serif CJK SC" w:eastAsia="Noto Serif CJK SC"/>
                <w:b/>
                <w:color w:val="FFFFFF"/>
                <w:sz w:val="18"/>
              </w:rPr>
              <w:t>等级</w:t>
            </w:r>
          </w:p>
        </w:tc>
        <w:tc>
          <w:tcPr>
            <w:tcW w:type="dxa" w:w="3572"/>
            <w:vAlign w:val="center"/>
            <w:shd w:fill="365A7A"/>
          </w:tcPr>
          <w:p>
            <w:pPr>
              <w:spacing w:after="0"/>
            </w:pPr>
            <w:r/>
            <w:r>
              <w:rPr>
                <w:rFonts w:ascii="Noto Serif CJK SC" w:hAnsi="Noto Serif CJK SC" w:eastAsia="Noto Serif CJK SC"/>
                <w:b/>
                <w:color w:val="FFFFFF"/>
                <w:sz w:val="18"/>
              </w:rPr>
              <w:t>含义</w:t>
            </w:r>
          </w:p>
        </w:tc>
        <w:tc>
          <w:tcPr>
            <w:tcW w:type="dxa" w:w="4422"/>
            <w:vAlign w:val="center"/>
            <w:shd w:fill="365A7A"/>
          </w:tcPr>
          <w:p>
            <w:pPr>
              <w:spacing w:after="0"/>
            </w:pPr>
            <w:r/>
            <w:r>
              <w:rPr>
                <w:rFonts w:ascii="Noto Serif CJK SC" w:hAnsi="Noto Serif CJK SC" w:eastAsia="Noto Serif CJK SC"/>
                <w:b/>
                <w:color w:val="FFFFFF"/>
                <w:sz w:val="18"/>
              </w:rPr>
              <w:t>处理原则</w:t>
            </w:r>
          </w:p>
        </w:tc>
      </w:tr>
      <w:tr>
        <w:trPr>
          <w:cantSplit/>
        </w:trPr>
        <w:tc>
          <w:tcPr>
            <w:tcW w:type="dxa" w:w="1417"/>
            <w:vAlign w:val="center"/>
          </w:tcPr>
          <w:p>
            <w:pPr>
              <w:spacing w:after="0"/>
            </w:pPr>
            <w:r/>
            <w:r>
              <w:rPr>
                <w:rFonts w:ascii="Noto Serif CJK SC" w:hAnsi="Noto Serif CJK SC" w:eastAsia="Noto Serif CJK SC"/>
                <w:b w:val="0"/>
                <w:color w:val="222222"/>
                <w:sz w:val="18"/>
              </w:rPr>
              <w:t>A 全自动</w:t>
            </w:r>
          </w:p>
        </w:tc>
        <w:tc>
          <w:tcPr>
            <w:tcW w:type="dxa" w:w="3572"/>
            <w:vAlign w:val="center"/>
          </w:tcPr>
          <w:p>
            <w:pPr>
              <w:spacing w:after="0"/>
            </w:pPr>
            <w:r/>
            <w:r>
              <w:rPr>
                <w:rFonts w:ascii="Noto Serif CJK SC" w:hAnsi="Noto Serif CJK SC" w:eastAsia="Noto Serif CJK SC"/>
                <w:b w:val="0"/>
                <w:color w:val="222222"/>
                <w:sz w:val="18"/>
              </w:rPr>
              <w:t>可由元数据或全量规则直接计算</w:t>
            </w:r>
          </w:p>
        </w:tc>
        <w:tc>
          <w:tcPr>
            <w:tcW w:type="dxa" w:w="4422"/>
            <w:vAlign w:val="center"/>
          </w:tcPr>
          <w:p>
            <w:pPr>
              <w:spacing w:after="0"/>
            </w:pPr>
            <w:r/>
            <w:r>
              <w:rPr>
                <w:rFonts w:ascii="Noto Serif CJK SC" w:hAnsi="Noto Serif CJK SC" w:eastAsia="Noto Serif CJK SC"/>
                <w:b w:val="0"/>
                <w:color w:val="222222"/>
                <w:sz w:val="18"/>
              </w:rPr>
              <w:t>高覆盖、低未知；保留执行时间和范围</w:t>
            </w:r>
          </w:p>
        </w:tc>
      </w:tr>
      <w:tr>
        <w:trPr>
          <w:cantSplit/>
        </w:trPr>
        <w:tc>
          <w:tcPr>
            <w:tcW w:type="dxa" w:w="1417"/>
            <w:vAlign w:val="center"/>
            <w:shd w:fill="F3F6F8"/>
          </w:tcPr>
          <w:p>
            <w:pPr>
              <w:spacing w:after="0"/>
            </w:pPr>
            <w:r/>
            <w:r>
              <w:rPr>
                <w:rFonts w:ascii="Noto Serif CJK SC" w:hAnsi="Noto Serif CJK SC" w:eastAsia="Noto Serif CJK SC"/>
                <w:b w:val="0"/>
                <w:color w:val="222222"/>
                <w:sz w:val="18"/>
              </w:rPr>
              <w:t>B 规则驱动</w:t>
            </w:r>
          </w:p>
        </w:tc>
        <w:tc>
          <w:tcPr>
            <w:tcW w:type="dxa" w:w="3572"/>
            <w:vAlign w:val="center"/>
            <w:shd w:fill="F3F6F8"/>
          </w:tcPr>
          <w:p>
            <w:pPr>
              <w:spacing w:after="0"/>
            </w:pPr>
            <w:r/>
            <w:r>
              <w:rPr>
                <w:rFonts w:ascii="Noto Serif CJK SC" w:hAnsi="Noto Serif CJK SC" w:eastAsia="Noto Serif CJK SC"/>
                <w:b w:val="0"/>
                <w:color w:val="222222"/>
                <w:sz w:val="18"/>
              </w:rPr>
              <w:t>需要业务配置但可自动执行</w:t>
            </w:r>
          </w:p>
        </w:tc>
        <w:tc>
          <w:tcPr>
            <w:tcW w:type="dxa" w:w="4422"/>
            <w:vAlign w:val="center"/>
            <w:shd w:fill="F3F6F8"/>
          </w:tcPr>
          <w:p>
            <w:pPr>
              <w:spacing w:after="0"/>
            </w:pPr>
            <w:r/>
            <w:r>
              <w:rPr>
                <w:rFonts w:ascii="Noto Serif CJK SC" w:hAnsi="Noto Serif CJK SC" w:eastAsia="Noto Serif CJK SC"/>
                <w:b w:val="0"/>
                <w:color w:val="222222"/>
                <w:sz w:val="18"/>
              </w:rPr>
              <w:t>配置必须版本化并纳入真值包</w:t>
            </w:r>
          </w:p>
        </w:tc>
      </w:tr>
      <w:tr>
        <w:trPr>
          <w:cantSplit/>
        </w:trPr>
        <w:tc>
          <w:tcPr>
            <w:tcW w:type="dxa" w:w="1417"/>
            <w:vAlign w:val="center"/>
          </w:tcPr>
          <w:p>
            <w:pPr>
              <w:spacing w:after="0"/>
            </w:pPr>
            <w:r/>
            <w:r>
              <w:rPr>
                <w:rFonts w:ascii="Noto Serif CJK SC" w:hAnsi="Noto Serif CJK SC" w:eastAsia="Noto Serif CJK SC"/>
                <w:b w:val="0"/>
                <w:color w:val="222222"/>
                <w:sz w:val="18"/>
              </w:rPr>
              <w:t>C 半自动</w:t>
            </w:r>
          </w:p>
        </w:tc>
        <w:tc>
          <w:tcPr>
            <w:tcW w:type="dxa" w:w="3572"/>
            <w:vAlign w:val="center"/>
          </w:tcPr>
          <w:p>
            <w:pPr>
              <w:spacing w:after="0"/>
            </w:pPr>
            <w:r/>
            <w:r>
              <w:rPr>
                <w:rFonts w:ascii="Noto Serif CJK SC" w:hAnsi="Noto Serif CJK SC" w:eastAsia="Noto Serif CJK SC"/>
                <w:b w:val="0"/>
                <w:color w:val="222222"/>
                <w:sz w:val="18"/>
              </w:rPr>
              <w:t>机器发现候选，需专家确认必要性/影响</w:t>
            </w:r>
          </w:p>
        </w:tc>
        <w:tc>
          <w:tcPr>
            <w:tcW w:type="dxa" w:w="4422"/>
            <w:vAlign w:val="center"/>
          </w:tcPr>
          <w:p>
            <w:pPr>
              <w:spacing w:after="0"/>
            </w:pPr>
            <w:r/>
            <w:r>
              <w:rPr>
                <w:rFonts w:ascii="Noto Serif CJK SC" w:hAnsi="Noto Serif CJK SC" w:eastAsia="Noto Serif CJK SC"/>
                <w:b w:val="0"/>
                <w:color w:val="222222"/>
                <w:sz w:val="18"/>
              </w:rPr>
              <w:t>输出候选和未知度，不自动定性</w:t>
            </w:r>
          </w:p>
        </w:tc>
      </w:tr>
      <w:tr>
        <w:trPr>
          <w:cantSplit/>
        </w:trPr>
        <w:tc>
          <w:tcPr>
            <w:tcW w:type="dxa" w:w="1417"/>
            <w:vAlign w:val="center"/>
            <w:shd w:fill="F3F6F8"/>
          </w:tcPr>
          <w:p>
            <w:pPr>
              <w:spacing w:after="0"/>
            </w:pPr>
            <w:r/>
            <w:r>
              <w:rPr>
                <w:rFonts w:ascii="Noto Serif CJK SC" w:hAnsi="Noto Serif CJK SC" w:eastAsia="Noto Serif CJK SC"/>
                <w:b w:val="0"/>
                <w:color w:val="222222"/>
                <w:sz w:val="18"/>
              </w:rPr>
              <w:t>D 人工/过程</w:t>
            </w:r>
          </w:p>
        </w:tc>
        <w:tc>
          <w:tcPr>
            <w:tcW w:type="dxa" w:w="3572"/>
            <w:vAlign w:val="center"/>
            <w:shd w:fill="F3F6F8"/>
          </w:tcPr>
          <w:p>
            <w:pPr>
              <w:spacing w:after="0"/>
            </w:pPr>
            <w:r/>
            <w:r>
              <w:rPr>
                <w:rFonts w:ascii="Noto Serif CJK SC" w:hAnsi="Noto Serif CJK SC" w:eastAsia="Noto Serif CJK SC"/>
                <w:b w:val="0"/>
                <w:color w:val="222222"/>
                <w:sz w:val="18"/>
              </w:rPr>
              <w:t>依赖制度、日志、访谈或专家组</w:t>
            </w:r>
          </w:p>
        </w:tc>
        <w:tc>
          <w:tcPr>
            <w:tcW w:type="dxa" w:w="4422"/>
            <w:vAlign w:val="center"/>
            <w:shd w:fill="F3F6F8"/>
          </w:tcPr>
          <w:p>
            <w:pPr>
              <w:spacing w:after="0"/>
            </w:pPr>
            <w:r/>
            <w:r>
              <w:rPr>
                <w:rFonts w:ascii="Noto Serif CJK SC" w:hAnsi="Noto Serif CJK SC" w:eastAsia="Noto Serif CJK SC"/>
                <w:b w:val="0"/>
                <w:color w:val="222222"/>
                <w:sz w:val="18"/>
              </w:rPr>
              <w:t>作为正式证据接入，不以备注替代</w:t>
            </w:r>
          </w:p>
        </w:tc>
      </w:tr>
    </w:tbl>
    <w:p>
      <w:pPr>
        <w:spacing w:after="20"/>
      </w:pPr>
    </w:p>
    <w:p>
      <w:pPr>
        <w:pStyle w:val="Heading1"/>
      </w:pPr>
      <w:r>
        <w:t>4 证据对象、可靠性与“双报告”原则</w:t>
      </w:r>
    </w:p>
    <w:p>
      <w:pPr>
        <w:pStyle w:val="Heading2"/>
      </w:pPr>
      <w:r>
        <w:t>4.1 证据对象</w:t>
      </w:r>
    </w:p>
    <w:p>
      <w:r>
        <w:t>每条证据至少保存：证据编号、证据类型、来源、覆盖范围、采集时间、适用对象、计算依据、五维可靠性、观测分数或五等级置信分布、未知度和重要性。证据必须可追溯到SQL、元数据查询、日志、标准条款或专家记录。</w:t>
      </w:r>
    </w:p>
    <w:p>
      <w:pPr>
        <w:spacing w:before="80" w:after="100"/>
        <w:jc w:val="center"/>
      </w:pPr>
      <w:r>
        <w:rPr>
          <w:rFonts w:ascii="Cambria Math" w:hAnsi="Cambria Math"/>
          <w:sz w:val="22"/>
        </w:rPr>
        <w:t>r_e = η_C C_e + η_A A_e + η_T T_e + η_R R_e + η_B B_e</w:t>
      </w:r>
      <w:r>
        <w:rPr>
          <w:sz w:val="18"/>
        </w:rPr>
        <w:t xml:space="preserve">    （1）</w:t>
      </w:r>
    </w:p>
    <w:p>
      <w:r>
        <w:t>其中C、A、T、R、B分别表示覆盖度、权威性、时效性、可重复性和业务适配性，权重和为1。</w:t>
      </w:r>
    </w:p>
    <w:p>
      <w:pPr>
        <w:pStyle w:val="Heading2"/>
      </w:pPr>
      <w:r>
        <w:t>4.2 可靠性折扣</w:t>
      </w:r>
    </w:p>
    <w:p>
      <w:pPr>
        <w:spacing w:before="80" w:after="100"/>
        <w:jc w:val="center"/>
      </w:pPr>
      <w:r>
        <w:rPr>
          <w:rFonts w:ascii="Cambria Math" w:hAnsi="Cambria Math"/>
          <w:sz w:val="22"/>
        </w:rPr>
        <w:t>β'_{iek}=r_e β_{iek};    β'_{ieU}=1-r_e+r_e β_{ieU}</w:t>
      </w:r>
      <w:r>
        <w:rPr>
          <w:sz w:val="18"/>
        </w:rPr>
        <w:t xml:space="preserve">    （2）</w:t>
      </w:r>
    </w:p>
    <w:p>
      <w:r>
        <w:t>低可靠性不会被简单删除，而会把相应支持质量转移到未知状态。</w:t>
      </w:r>
    </w:p>
    <w:p>
      <w:pPr>
        <w:pStyle w:val="Heading2"/>
      </w:pPr>
      <w:r>
        <w:t>4.3 分数—可信度双报告</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701"/>
            <w:vAlign w:val="center"/>
            <w:shd w:fill="365A7A"/>
          </w:tcPr>
          <w:p>
            <w:pPr>
              <w:spacing w:after="0"/>
            </w:pPr>
            <w:r/>
            <w:r>
              <w:rPr>
                <w:rFonts w:ascii="Noto Serif CJK SC" w:hAnsi="Noto Serif CJK SC" w:eastAsia="Noto Serif CJK SC"/>
                <w:b/>
                <w:color w:val="FFFFFF"/>
                <w:sz w:val="17"/>
              </w:rPr>
              <w:t>输出</w:t>
            </w:r>
          </w:p>
        </w:tc>
        <w:tc>
          <w:tcPr>
            <w:tcW w:type="dxa" w:w="4139"/>
            <w:vAlign w:val="center"/>
            <w:shd w:fill="365A7A"/>
          </w:tcPr>
          <w:p>
            <w:pPr>
              <w:spacing w:after="0"/>
            </w:pPr>
            <w:r/>
            <w:r>
              <w:rPr>
                <w:rFonts w:ascii="Noto Serif CJK SC" w:hAnsi="Noto Serif CJK SC" w:eastAsia="Noto Serif CJK SC"/>
                <w:b/>
                <w:color w:val="FFFFFF"/>
                <w:sz w:val="17"/>
              </w:rPr>
              <w:t>含义</w:t>
            </w:r>
          </w:p>
        </w:tc>
        <w:tc>
          <w:tcPr>
            <w:tcW w:type="dxa" w:w="3572"/>
            <w:vAlign w:val="center"/>
            <w:shd w:fill="365A7A"/>
          </w:tcPr>
          <w:p>
            <w:pPr>
              <w:spacing w:after="0"/>
            </w:pPr>
            <w:r/>
            <w:r>
              <w:rPr>
                <w:rFonts w:ascii="Noto Serif CJK SC" w:hAnsi="Noto Serif CJK SC" w:eastAsia="Noto Serif CJK SC"/>
                <w:b/>
                <w:color w:val="FFFFFF"/>
                <w:sz w:val="17"/>
              </w:rPr>
              <w:t>禁止的误读</w:t>
            </w:r>
          </w:p>
        </w:tc>
      </w:tr>
      <w:tr>
        <w:trPr>
          <w:cantSplit/>
        </w:trPr>
        <w:tc>
          <w:tcPr>
            <w:tcW w:type="dxa" w:w="1701"/>
            <w:vAlign w:val="center"/>
          </w:tcPr>
          <w:p>
            <w:pPr>
              <w:spacing w:after="0"/>
            </w:pPr>
            <w:r/>
            <w:r>
              <w:rPr>
                <w:rFonts w:ascii="Noto Serif CJK SC" w:hAnsi="Noto Serif CJK SC" w:eastAsia="Noto Serif CJK SC"/>
                <w:b w:val="0"/>
                <w:color w:val="222222"/>
                <w:sz w:val="17"/>
              </w:rPr>
              <w:t>score</w:t>
            </w:r>
          </w:p>
        </w:tc>
        <w:tc>
          <w:tcPr>
            <w:tcW w:type="dxa" w:w="4139"/>
            <w:vAlign w:val="center"/>
          </w:tcPr>
          <w:p>
            <w:pPr>
              <w:spacing w:after="0"/>
            </w:pPr>
            <w:r/>
            <w:r>
              <w:rPr>
                <w:rFonts w:ascii="Noto Serif CJK SC" w:hAnsi="Noto Serif CJK SC" w:eastAsia="Noto Serif CJK SC"/>
                <w:b w:val="0"/>
                <w:color w:val="222222"/>
                <w:sz w:val="17"/>
              </w:rPr>
              <w:t>现有证据支持下的期望质量效用</w:t>
            </w:r>
          </w:p>
        </w:tc>
        <w:tc>
          <w:tcPr>
            <w:tcW w:type="dxa" w:w="3572"/>
            <w:vAlign w:val="center"/>
          </w:tcPr>
          <w:p>
            <w:pPr>
              <w:spacing w:after="0"/>
            </w:pPr>
            <w:r/>
            <w:r>
              <w:rPr>
                <w:rFonts w:ascii="Noto Serif CJK SC" w:hAnsi="Noto Serif CJK SC" w:eastAsia="Noto Serif CJK SC"/>
                <w:b w:val="0"/>
                <w:color w:val="222222"/>
                <w:sz w:val="17"/>
              </w:rPr>
              <w:t>不能单独视为“真实质量”</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confidence</w:t>
            </w:r>
          </w:p>
        </w:tc>
        <w:tc>
          <w:tcPr>
            <w:tcW w:type="dxa" w:w="4139"/>
            <w:vAlign w:val="center"/>
            <w:shd w:fill="F3F6F8"/>
          </w:tcPr>
          <w:p>
            <w:pPr>
              <w:spacing w:after="0"/>
            </w:pPr>
            <w:r/>
            <w:r>
              <w:rPr>
                <w:rFonts w:ascii="Noto Serif CJK SC" w:hAnsi="Noto Serif CJK SC" w:eastAsia="Noto Serif CJK SC"/>
                <w:b w:val="0"/>
                <w:color w:val="222222"/>
                <w:sz w:val="17"/>
              </w:rPr>
              <w:t>可判断质量，通常为1-未知度并考虑冲突折减</w:t>
            </w:r>
          </w:p>
        </w:tc>
        <w:tc>
          <w:tcPr>
            <w:tcW w:type="dxa" w:w="3572"/>
            <w:vAlign w:val="center"/>
            <w:shd w:fill="F3F6F8"/>
          </w:tcPr>
          <w:p>
            <w:pPr>
              <w:spacing w:after="0"/>
            </w:pPr>
            <w:r/>
            <w:r>
              <w:rPr>
                <w:rFonts w:ascii="Noto Serif CJK SC" w:hAnsi="Noto Serif CJK SC" w:eastAsia="Noto Serif CJK SC"/>
                <w:b w:val="0"/>
                <w:color w:val="222222"/>
                <w:sz w:val="17"/>
              </w:rPr>
              <w:t>不能替代质量分数</w:t>
            </w:r>
          </w:p>
        </w:tc>
      </w:tr>
      <w:tr>
        <w:trPr>
          <w:cantSplit/>
        </w:trPr>
        <w:tc>
          <w:tcPr>
            <w:tcW w:type="dxa" w:w="1701"/>
            <w:vAlign w:val="center"/>
          </w:tcPr>
          <w:p>
            <w:pPr>
              <w:spacing w:after="0"/>
            </w:pPr>
            <w:r/>
            <w:r>
              <w:rPr>
                <w:rFonts w:ascii="Noto Serif CJK SC" w:hAnsi="Noto Serif CJK SC" w:eastAsia="Noto Serif CJK SC"/>
                <w:b w:val="0"/>
                <w:color w:val="222222"/>
                <w:sz w:val="17"/>
              </w:rPr>
              <w:t>unknown_degree</w:t>
            </w:r>
          </w:p>
        </w:tc>
        <w:tc>
          <w:tcPr>
            <w:tcW w:type="dxa" w:w="4139"/>
            <w:vAlign w:val="center"/>
          </w:tcPr>
          <w:p>
            <w:pPr>
              <w:spacing w:after="0"/>
            </w:pPr>
            <w:r/>
            <w:r>
              <w:rPr>
                <w:rFonts w:ascii="Noto Serif CJK SC" w:hAnsi="Noto Serif CJK SC" w:eastAsia="Noto Serif CJK SC"/>
                <w:b w:val="0"/>
                <w:color w:val="222222"/>
                <w:sz w:val="17"/>
              </w:rPr>
              <w:t>覆盖不足、证据缺失或折扣后的未决质量</w:t>
            </w:r>
          </w:p>
        </w:tc>
        <w:tc>
          <w:tcPr>
            <w:tcW w:type="dxa" w:w="3572"/>
            <w:vAlign w:val="center"/>
          </w:tcPr>
          <w:p>
            <w:pPr>
              <w:spacing w:after="0"/>
            </w:pPr>
            <w:r/>
            <w:r>
              <w:rPr>
                <w:rFonts w:ascii="Noto Serif CJK SC" w:hAnsi="Noto Serif CJK SC" w:eastAsia="Noto Serif CJK SC"/>
                <w:b w:val="0"/>
                <w:color w:val="222222"/>
                <w:sz w:val="17"/>
              </w:rPr>
              <w:t>未知不等于差</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conflict_degree</w:t>
            </w:r>
          </w:p>
        </w:tc>
        <w:tc>
          <w:tcPr>
            <w:tcW w:type="dxa" w:w="4139"/>
            <w:vAlign w:val="center"/>
            <w:shd w:fill="F3F6F8"/>
          </w:tcPr>
          <w:p>
            <w:pPr>
              <w:spacing w:after="0"/>
            </w:pPr>
            <w:r/>
            <w:r>
              <w:rPr>
                <w:rFonts w:ascii="Noto Serif CJK SC" w:hAnsi="Noto Serif CJK SC" w:eastAsia="Noto Serif CJK SC"/>
                <w:b w:val="0"/>
                <w:color w:val="222222"/>
                <w:sz w:val="17"/>
              </w:rPr>
              <w:t>不同证据相互冲突的程度</w:t>
            </w:r>
          </w:p>
        </w:tc>
        <w:tc>
          <w:tcPr>
            <w:tcW w:type="dxa" w:w="3572"/>
            <w:vAlign w:val="center"/>
            <w:shd w:fill="F3F6F8"/>
          </w:tcPr>
          <w:p>
            <w:pPr>
              <w:spacing w:after="0"/>
            </w:pPr>
            <w:r/>
            <w:r>
              <w:rPr>
                <w:rFonts w:ascii="Noto Serif CJK SC" w:hAnsi="Noto Serif CJK SC" w:eastAsia="Noto Serif CJK SC"/>
                <w:b w:val="0"/>
                <w:color w:val="222222"/>
                <w:sz w:val="17"/>
              </w:rPr>
              <w:t>高冲突应触发复核而非强行平均</w:t>
            </w:r>
          </w:p>
        </w:tc>
      </w:tr>
    </w:tbl>
    <w:p>
      <w:pPr>
        <w:spacing w:after="20"/>
      </w:pPr>
    </w:p>
    <w:tbl>
      <w:tblPr>
        <w:tblStyle w:val="TableGrid"/>
        <w:tblW w:type="auto" w:w="0"/>
        <w:jc w:val="center"/>
        <w:tblLook w:firstColumn="1" w:firstRow="1" w:lastColumn="0" w:lastRow="0" w:noHBand="0" w:noVBand="1" w:val="04A0"/>
      </w:tblPr>
      <w:tblGrid>
        <w:gridCol w:w="9632"/>
      </w:tblGrid>
      <w:tr>
        <w:trPr>
          <w:cantSplit/>
        </w:trPr>
        <w:tc>
          <w:tcPr>
            <w:tcW w:type="dxa" w:w="9632"/>
            <w:shd w:fill="EAF3FB"/>
          </w:tcPr>
          <w:p>
            <w:pPr>
              <w:spacing w:after="40"/>
            </w:pPr>
            <w:r/>
            <w:r>
              <w:rPr>
                <w:b/>
                <w:color w:val="274D6B"/>
              </w:rPr>
              <w:t>解释规则：</w:t>
            </w:r>
            <w:r>
              <w:t>当得分低且可信度高，可解释为“已确认质量问题”；当得分低但未知度高，应解释为“证据不足，暂不能给出高质量结论”，治理任务首先可能是补证据。</w:t>
            </w:r>
          </w:p>
        </w:tc>
      </w:tr>
    </w:tbl>
    <w:p>
      <w:pPr>
        <w:spacing w:after="20"/>
      </w:pPr>
    </w:p>
    <w:p>
      <w:pPr>
        <w:pStyle w:val="Heading1"/>
      </w:pPr>
      <w:r>
        <w:t>5 证据融合、冲突和复核</w:t>
      </w:r>
    </w:p>
    <w:p>
      <w:pPr>
        <w:pStyle w:val="Heading2"/>
      </w:pPr>
      <w:r>
        <w:t>5.1 等级集与效用</w:t>
      </w:r>
    </w:p>
    <w:p>
      <w:r>
        <w:t>评价等级集H={优、良、中、较差、差}，另保留未知状态U。默认效用可设为{100,85,70,50,20}，正式项目应通过专家咨询与敏感性分析校准。</w:t>
      </w:r>
    </w:p>
    <w:p>
      <w:pPr>
        <w:spacing w:before="80" w:after="100"/>
        <w:jc w:val="center"/>
      </w:pPr>
      <w:r>
        <w:rPr>
          <w:rFonts w:ascii="Cambria Math" w:hAnsi="Cambria Math"/>
          <w:sz w:val="22"/>
        </w:rPr>
        <w:t>s_i = Σ_{k=1}^{5} β_{ik} u(H_k)</w:t>
      </w:r>
      <w:r>
        <w:rPr>
          <w:sz w:val="18"/>
        </w:rPr>
        <w:t xml:space="preserve">    （3）</w:t>
      </w:r>
    </w:p>
    <w:p>
      <w:pPr>
        <w:pStyle w:val="Heading2"/>
      </w:pPr>
      <w:r>
        <w:t>5.2 ER融合与冲突标记</w:t>
      </w:r>
    </w:p>
    <w:p>
      <w:pPr/>
      <w:r>
        <w:t>同一指标的多条证据经可靠性折扣后采用证据推理规则递归融合。U1.2要求同时保存各证据贡献、融合顺序、冲突系数和极端冲突处理结果。当冲突超过阈值时，将指标列入review_indicator_ids，不以单一确定等级掩盖分歧。</w:t>
      </w:r>
    </w:p>
    <w:p>
      <w:pPr>
        <w:pStyle w:val="Heading2"/>
      </w:pPr>
      <w:r>
        <w:t>5.3 流程证据和专家证据接口</w:t>
      </w:r>
    </w:p>
    <w:p>
      <w:r>
        <w:t>SQL Server配置新增supplemental_evidence，可直接提供observed_score或五等级belief_degrees，并填写coverage、authority、timeliness、repeatability、business_fit、unknown_degree、basis等字段。</w:t>
      </w:r>
    </w:p>
    <w:p>
      <w:pPr>
        <w:pStyle w:val="CodeBlock"/>
      </w:pPr>
      <w:r>
        <w:t>supplemental_evidence:</w:t>
        <w:br/>
        <w:t xml:space="preserve">  - evidence_id: PROC-DQ7-SYNC-JOB</w:t>
        <w:br/>
        <w:t xml:space="preserve">    indicator_id: DQ7</w:t>
        <w:br/>
        <w:t xml:space="preserve">    evidence_type: process</w:t>
        <w:br/>
        <w:t xml:space="preserve">    source: 航材主数据同步作业日志</w:t>
        <w:br/>
        <w:t xml:space="preserve">    observed_score: 92</w:t>
        <w:br/>
        <w:t xml:space="preserve">    coverage: 0.95</w:t>
        <w:br/>
        <w:t xml:space="preserve">    unknown_degree: 0.03</w:t>
      </w:r>
    </w:p>
    <w:p>
      <w:pPr>
        <w:pStyle w:val="Heading1"/>
      </w:pPr>
      <w:r>
        <w:t>6 双域综合评价与非补偿底线</w:t>
      </w:r>
    </w:p>
    <w:p>
      <w:pPr>
        <w:pStyle w:val="Heading2"/>
      </w:pPr>
      <w:r>
        <w:t>6.1 域内加权</w:t>
      </w:r>
    </w:p>
    <w:p>
      <w:pPr>
        <w:spacing w:before="80" w:after="100"/>
        <w:jc w:val="center"/>
      </w:pPr>
      <w:r>
        <w:rPr>
          <w:rFonts w:ascii="Cambria Math" w:hAnsi="Cambria Math"/>
          <w:sz w:val="22"/>
        </w:rPr>
        <w:t>Q = Σ_i w_i^Q s_i^Q;    S = Σ_j w_j^S s_j^S</w:t>
      </w:r>
      <w:r>
        <w:rPr>
          <w:sz w:val="18"/>
        </w:rPr>
        <w:t xml:space="preserve">    （4）</w:t>
      </w:r>
    </w:p>
    <w:p>
      <w:r>
        <w:t>权重不是模型的唯一创新点。建议使用BWM/德尔菲获得主观权重，CRITIC获得客观权重，再以组合权重形成正式方案；同时报告等权和替代权重结果。</w:t>
      </w:r>
    </w:p>
    <w:p>
      <w:pPr>
        <w:pStyle w:val="Heading2"/>
      </w:pPr>
      <w:r>
        <w:t>6.2 双域几何聚合与平衡度</w:t>
      </w:r>
    </w:p>
    <w:p>
      <w:pPr>
        <w:spacing w:before="80" w:after="100"/>
        <w:jc w:val="center"/>
      </w:pPr>
      <w:r>
        <w:rPr>
          <w:rFonts w:ascii="Cambria Math" w:hAnsi="Cambria Math"/>
          <w:sz w:val="22"/>
        </w:rPr>
        <w:t>G_0 = Q^α S^{1-α};    B = 1 - |Q-S|/100</w:t>
      </w:r>
      <w:r>
        <w:rPr>
          <w:sz w:val="18"/>
        </w:rPr>
        <w:t xml:space="preserve">    （5）</w:t>
      </w:r>
    </w:p>
    <w:p>
      <w:r>
        <w:t>几何聚合降低高分域对低分域的完全补偿。平衡度B用于提示“数据暂时干净但结构失控”或“结构规范但历史数据仍脏”的不对称状态。</w:t>
      </w:r>
    </w:p>
    <w:p>
      <w:pPr>
        <w:pStyle w:val="Heading2"/>
      </w:pPr>
      <w:r>
        <w:t>6.3 底线规则</w:t>
      </w:r>
    </w:p>
    <w:p>
      <w:pPr>
        <w:spacing w:before="80" w:after="100"/>
        <w:jc w:val="center"/>
      </w:pPr>
      <w:r>
        <w:rPr>
          <w:rFonts w:ascii="Cambria Math" w:hAnsi="Cambria Math"/>
          <w:sz w:val="22"/>
        </w:rPr>
        <w:t>G = clip(min(G_0,G_cap)-P, 0, 100)</w:t>
      </w:r>
      <w:r>
        <w:rPr>
          <w:sz w:val="18"/>
        </w:rPr>
        <w:t xml:space="preserve">    （6）</w:t>
      </w:r>
    </w:p>
    <w:p>
      <w:r>
        <w:t>底线只能由真实检测触发。一级底线可把总体等级限制为较差或更低，二级底线可限制为中；未达到限级条件的重大风险可采用罚分P。触发器必须保存规则、对象、证据、问题率、上限和原因。</w:t>
      </w:r>
    </w:p>
    <w:tbl>
      <w:tblPr>
        <w:tblStyle w:val="TableGrid"/>
        <w:tblW w:type="auto" w:w="0"/>
        <w:jc w:val="center"/>
        <w:tblLook w:firstColumn="1" w:firstRow="1" w:lastColumn="0" w:lastRow="0" w:noHBand="0" w:noVBand="1" w:val="04A0"/>
      </w:tblPr>
      <w:tblGrid>
        <w:gridCol w:w="4816"/>
        <w:gridCol w:w="4816"/>
      </w:tblGrid>
      <w:tr>
        <w:trPr>
          <w:cantSplit/>
        </w:trPr>
        <w:tc>
          <w:tcPr>
            <w:tcW w:type="dxa" w:w="5272"/>
            <w:vAlign w:val="center"/>
            <w:shd w:fill="365A7A"/>
          </w:tcPr>
          <w:p>
            <w:pPr>
              <w:spacing w:after="0"/>
            </w:pPr>
            <w:r/>
            <w:r>
              <w:rPr>
                <w:rFonts w:ascii="Noto Serif CJK SC" w:hAnsi="Noto Serif CJK SC" w:eastAsia="Noto Serif CJK SC"/>
                <w:b/>
                <w:color w:val="FFFFFF"/>
                <w:sz w:val="17"/>
              </w:rPr>
              <w:t>航空器材底线示例</w:t>
            </w:r>
          </w:p>
        </w:tc>
        <w:tc>
          <w:tcPr>
            <w:tcW w:type="dxa" w:w="4082"/>
            <w:vAlign w:val="center"/>
            <w:shd w:fill="365A7A"/>
          </w:tcPr>
          <w:p>
            <w:pPr>
              <w:spacing w:after="0"/>
            </w:pPr>
            <w:r/>
            <w:r>
              <w:rPr>
                <w:rFonts w:ascii="Noto Serif CJK SC" w:hAnsi="Noto Serif CJK SC" w:eastAsia="Noto Serif CJK SC"/>
                <w:b/>
                <w:color w:val="FFFFFF"/>
                <w:sz w:val="17"/>
              </w:rPr>
              <w:t>建议处理</w:t>
            </w:r>
          </w:p>
        </w:tc>
      </w:tr>
      <w:tr>
        <w:trPr>
          <w:cantSplit/>
        </w:trPr>
        <w:tc>
          <w:tcPr>
            <w:tcW w:type="dxa" w:w="5272"/>
            <w:vAlign w:val="center"/>
          </w:tcPr>
          <w:p>
            <w:pPr>
              <w:spacing w:after="0"/>
            </w:pPr>
            <w:r/>
            <w:r>
              <w:rPr>
                <w:rFonts w:ascii="Noto Serif CJK SC" w:hAnsi="Noto Serif CJK SC" w:eastAsia="Noto Serif CJK SC"/>
                <w:b w:val="0"/>
                <w:color w:val="222222"/>
                <w:sz w:val="17"/>
              </w:rPr>
              <w:t>关键件号/序列号重复</w:t>
            </w:r>
          </w:p>
        </w:tc>
        <w:tc>
          <w:tcPr>
            <w:tcW w:type="dxa" w:w="4082"/>
            <w:vAlign w:val="center"/>
          </w:tcPr>
          <w:p>
            <w:pPr>
              <w:spacing w:after="0"/>
            </w:pPr>
            <w:r/>
            <w:r>
              <w:rPr>
                <w:rFonts w:ascii="Noto Serif CJK SC" w:hAnsi="Noto Serif CJK SC" w:eastAsia="Noto Serif CJK SC"/>
                <w:b w:val="0"/>
                <w:color w:val="222222"/>
                <w:sz w:val="17"/>
              </w:rPr>
              <w:t>限制总体等级并生成唯一约束、去重和责任复核任务</w:t>
            </w:r>
          </w:p>
        </w:tc>
      </w:tr>
      <w:tr>
        <w:trPr>
          <w:cantSplit/>
        </w:trPr>
        <w:tc>
          <w:tcPr>
            <w:tcW w:type="dxa" w:w="5272"/>
            <w:vAlign w:val="center"/>
            <w:shd w:fill="F3F6F8"/>
          </w:tcPr>
          <w:p>
            <w:pPr>
              <w:spacing w:after="0"/>
            </w:pPr>
            <w:r/>
            <w:r>
              <w:rPr>
                <w:rFonts w:ascii="Noto Serif CJK SC" w:hAnsi="Noto Serif CJK SC" w:eastAsia="Noto Serif CJK SC"/>
                <w:b w:val="0"/>
                <w:color w:val="222222"/>
                <w:sz w:val="17"/>
              </w:rPr>
              <w:t>寿命件剩余寿命为负或超寿仍在用</w:t>
            </w:r>
          </w:p>
        </w:tc>
        <w:tc>
          <w:tcPr>
            <w:tcW w:type="dxa" w:w="4082"/>
            <w:vAlign w:val="center"/>
            <w:shd w:fill="F3F6F8"/>
          </w:tcPr>
          <w:p>
            <w:pPr>
              <w:spacing w:after="0"/>
            </w:pPr>
            <w:r/>
            <w:r>
              <w:rPr>
                <w:rFonts w:ascii="Noto Serif CJK SC" w:hAnsi="Noto Serif CJK SC" w:eastAsia="Noto Serif CJK SC"/>
                <w:b w:val="0"/>
                <w:color w:val="222222"/>
                <w:sz w:val="17"/>
              </w:rPr>
              <w:t>一级底线，立即隔离和追溯</w:t>
            </w:r>
          </w:p>
        </w:tc>
      </w:tr>
      <w:tr>
        <w:trPr>
          <w:cantSplit/>
        </w:trPr>
        <w:tc>
          <w:tcPr>
            <w:tcW w:type="dxa" w:w="5272"/>
            <w:vAlign w:val="center"/>
          </w:tcPr>
          <w:p>
            <w:pPr>
              <w:spacing w:after="0"/>
            </w:pPr>
            <w:r/>
            <w:r>
              <w:rPr>
                <w:rFonts w:ascii="Noto Serif CJK SC" w:hAnsi="Noto Serif CJK SC" w:eastAsia="Noto Serif CJK SC"/>
                <w:b w:val="0"/>
                <w:color w:val="222222"/>
                <w:sz w:val="17"/>
              </w:rPr>
              <w:t>应附证书的收货行无证书</w:t>
            </w:r>
          </w:p>
        </w:tc>
        <w:tc>
          <w:tcPr>
            <w:tcW w:type="dxa" w:w="4082"/>
            <w:vAlign w:val="center"/>
          </w:tcPr>
          <w:p>
            <w:pPr>
              <w:spacing w:after="0"/>
            </w:pPr>
            <w:r/>
            <w:r>
              <w:rPr>
                <w:rFonts w:ascii="Noto Serif CJK SC" w:hAnsi="Noto Serif CJK SC" w:eastAsia="Noto Serif CJK SC"/>
                <w:b w:val="0"/>
                <w:color w:val="222222"/>
                <w:sz w:val="17"/>
              </w:rPr>
              <w:t>按关键性限级，阻止进入可用库存</w:t>
            </w:r>
          </w:p>
        </w:tc>
      </w:tr>
      <w:tr>
        <w:trPr>
          <w:cantSplit/>
        </w:trPr>
        <w:tc>
          <w:tcPr>
            <w:tcW w:type="dxa" w:w="5272"/>
            <w:vAlign w:val="center"/>
            <w:shd w:fill="F3F6F8"/>
          </w:tcPr>
          <w:p>
            <w:pPr>
              <w:spacing w:after="0"/>
            </w:pPr>
            <w:r/>
            <w:r>
              <w:rPr>
                <w:rFonts w:ascii="Noto Serif CJK SC" w:hAnsi="Noto Serif CJK SC" w:eastAsia="Noto Serif CJK SC"/>
                <w:b w:val="0"/>
                <w:color w:val="222222"/>
                <w:sz w:val="17"/>
              </w:rPr>
              <w:t>库存事务无来源或操作人</w:t>
            </w:r>
          </w:p>
        </w:tc>
        <w:tc>
          <w:tcPr>
            <w:tcW w:type="dxa" w:w="4082"/>
            <w:vAlign w:val="center"/>
            <w:shd w:fill="F3F6F8"/>
          </w:tcPr>
          <w:p>
            <w:pPr>
              <w:spacing w:after="0"/>
            </w:pPr>
            <w:r/>
            <w:r>
              <w:rPr>
                <w:rFonts w:ascii="Noto Serif CJK SC" w:hAnsi="Noto Serif CJK SC" w:eastAsia="Noto Serif CJK SC"/>
                <w:b w:val="0"/>
                <w:color w:val="222222"/>
                <w:sz w:val="17"/>
              </w:rPr>
              <w:t>追溯底线，补录与结构/流程治理并行</w:t>
            </w:r>
          </w:p>
        </w:tc>
      </w:tr>
      <w:tr>
        <w:trPr>
          <w:cantSplit/>
        </w:trPr>
        <w:tc>
          <w:tcPr>
            <w:tcW w:type="dxa" w:w="5272"/>
            <w:vAlign w:val="center"/>
          </w:tcPr>
          <w:p>
            <w:pPr>
              <w:spacing w:after="0"/>
            </w:pPr>
            <w:r/>
            <w:r>
              <w:rPr>
                <w:rFonts w:ascii="Noto Serif CJK SC" w:hAnsi="Noto Serif CJK SC" w:eastAsia="Noto Serif CJK SC"/>
                <w:b w:val="0"/>
                <w:color w:val="222222"/>
                <w:sz w:val="17"/>
              </w:rPr>
              <w:t>关键引用孤儿率超过阈值</w:t>
            </w:r>
          </w:p>
        </w:tc>
        <w:tc>
          <w:tcPr>
            <w:tcW w:type="dxa" w:w="4082"/>
            <w:vAlign w:val="center"/>
          </w:tcPr>
          <w:p>
            <w:pPr>
              <w:spacing w:after="0"/>
            </w:pPr>
            <w:r/>
            <w:r>
              <w:rPr>
                <w:rFonts w:ascii="Noto Serif CJK SC" w:hAnsi="Noto Serif CJK SC" w:eastAsia="Noto Serif CJK SC"/>
                <w:b w:val="0"/>
                <w:color w:val="222222"/>
                <w:sz w:val="17"/>
              </w:rPr>
              <w:t>关系完整性底线，修复数据并恢复约束</w:t>
            </w:r>
          </w:p>
        </w:tc>
      </w:tr>
    </w:tbl>
    <w:p>
      <w:pPr>
        <w:spacing w:after="20"/>
      </w:pPr>
    </w:p>
    <w:p>
      <w:pPr>
        <w:pStyle w:val="Heading1"/>
      </w:pPr>
      <w:r>
        <w:t>7 Q-S耦合、根因贡献与关系控制</w:t>
      </w:r>
    </w:p>
    <w:p>
      <w:pPr>
        <w:pStyle w:val="Heading2"/>
      </w:pPr>
      <w:r>
        <w:t>7.1 三源校准</w:t>
      </w:r>
    </w:p>
    <w:p>
      <w:pPr>
        <w:spacing w:before="80" w:after="100"/>
        <w:jc w:val="center"/>
      </w:pPr>
      <w:r>
        <w:rPr>
          <w:rFonts w:ascii="Cambria Math" w:hAnsi="Cambria Math"/>
          <w:sz w:val="22"/>
        </w:rPr>
        <w:t>a_ij = ω_N a_ij^N + ω_E a_ij^E + ω_D a_ij^D</w:t>
      </w:r>
      <w:r>
        <w:rPr>
          <w:sz w:val="18"/>
        </w:rPr>
        <w:t xml:space="preserve">    （7）</w:t>
      </w:r>
    </w:p>
    <w:p>
      <w:pPr>
        <w:spacing w:before="80" w:after="100"/>
        <w:jc w:val="center"/>
      </w:pPr>
      <w:r>
        <w:rPr>
          <w:rFonts w:ascii="Cambria Math" w:hAnsi="Cambria Math"/>
          <w:sz w:val="22"/>
        </w:rPr>
        <w:t>c_ij = γ_N c_ij^N + γ_E c_ij^E + γ_D c_ij^D</w:t>
      </w:r>
      <w:r>
        <w:rPr>
          <w:sz w:val="18"/>
        </w:rPr>
        <w:t xml:space="preserve">    （8）</w:t>
      </w:r>
    </w:p>
    <w:p>
      <w:r>
        <w:t>a_ij表示结构指标S_j对质量指标Q_i的影响强度，c_ij表示该关系的可信度。规范机制回答“理论上为何影响”，专家回答“业务上是否成立”，历史数据回答“在本系统中是否被观察到”。统计相关不能单独被解释为因果关系。</w:t>
      </w:r>
    </w:p>
    <w:p>
      <w:pPr>
        <w:pStyle w:val="Heading2"/>
      </w:pPr>
      <w:r>
        <w:t>7.2 根因贡献度</w:t>
      </w:r>
    </w:p>
    <w:p>
      <w:pPr>
        <w:spacing w:before="80" w:after="100"/>
        <w:jc w:val="center"/>
      </w:pPr>
      <w:r>
        <w:rPr>
          <w:rFonts w:ascii="Cambria Math" w:hAnsi="Cambria Math"/>
          <w:sz w:val="22"/>
        </w:rPr>
        <w:t>RC_j=(1-s_j^S/100)c_j^S Σ_i[a_ij c_ij w_i^Q(1-s_i^Q/100)c_i^Q]</w:t>
      </w:r>
      <w:r>
        <w:rPr>
          <w:sz w:val="18"/>
        </w:rPr>
        <w:t xml:space="preserve">    （9）</w:t>
      </w:r>
    </w:p>
    <w:p>
      <w:r>
        <w:t>根因贡献度同时考虑结构缺陷程度、结构证据可信度、耦合强度、关系可信度、质量问题严重度、质量指标可信度和质量权重。</w:t>
      </w:r>
    </w:p>
    <w:p>
      <w:pPr>
        <w:pStyle w:val="Heading2"/>
      </w:pPr>
      <w:r>
        <w:t>7.3 预期关系与完整性控制机制</w:t>
      </w:r>
    </w:p>
    <w:tbl>
      <w:tblPr>
        <w:tblStyle w:val="TableGrid"/>
        <w:tblW w:type="auto" w:w="0"/>
        <w:jc w:val="center"/>
        <w:tblLook w:firstColumn="1" w:firstRow="1" w:lastColumn="0" w:lastRow="0" w:noHBand="0" w:noVBand="1" w:val="04A0"/>
      </w:tblPr>
      <w:tblGrid>
        <w:gridCol w:w="9632"/>
      </w:tblGrid>
      <w:tr>
        <w:trPr>
          <w:cantSplit/>
        </w:trPr>
        <w:tc>
          <w:tcPr>
            <w:tcW w:type="dxa" w:w="9632"/>
            <w:shd w:fill="EAF3FB"/>
          </w:tcPr>
          <w:p>
            <w:pPr>
              <w:spacing w:after="0"/>
            </w:pPr>
            <w:r>
              <w:t>U1.2关键修改：物理外键只是关系完整性控制的一种实现。模型先建立预期关系清单，再评价物理外键、应用校验、存储过程、ETL门禁、消息校验、定期审计等控制的覆盖度、可靠性与运行有效性。无物理外键但替代控制充分、受控例外证据完整且孤儿率为零时，不应自动降低SG3或触发底线。</w:t>
            </w:r>
          </w:p>
        </w:tc>
      </w:tr>
    </w:tbl>
    <w:p>
      <w:pPr>
        <w:spacing w:after="20"/>
      </w:pPr>
    </w:p>
    <w:p>
      <w:pPr>
        <w:pStyle w:val="CodeBlock"/>
      </w:pPr>
      <w:r>
        <w:t>relationship_controls:</w:t>
        <w:br/>
        <w:t xml:space="preserve">  - relationship_id: REL-TX-PART</w:t>
        <w:br/>
        <w:t xml:space="preserve">    child_table: aero.inventory_transaction</w:t>
        <w:br/>
        <w:t xml:space="preserve">    child_columns: [part_id]</w:t>
        <w:br/>
        <w:t xml:space="preserve">    parent_table: aero.part_master</w:t>
        <w:br/>
        <w:t xml:space="preserve">    parent_columns: [part_id]</w:t>
        <w:br/>
        <w:t xml:space="preserve">    cardinality: many_to_one</w:t>
        <w:br/>
        <w:t xml:space="preserve">    owner: 航材库存系统组</w:t>
        <w:br/>
        <w:t xml:space="preserve">    criticality: critical</w:t>
        <w:br/>
        <w:t xml:space="preserve">    physical_fk_required: false</w:t>
        <w:br/>
        <w:t xml:space="preserve">    enforcement_modes: [application_validation, scheduled_audit]</w:t>
        <w:br/>
        <w:t xml:space="preserve">    control_coverage: 0.99</w:t>
        <w:br/>
        <w:t xml:space="preserve">    control_reliability: 0.98</w:t>
        <w:br/>
        <w:t xml:space="preserve">    operating_effectiveness: 0.99</w:t>
        <w:br/>
        <w:t xml:space="preserve">    exception_approved: true</w:t>
        <w:br/>
        <w:t xml:space="preserve">    performance_evidence_id: PERF-TX-PART-2026-001</w:t>
        <w:br/>
        <w:t xml:space="preserve">    maximum_orphan_rate: 0.0</w:t>
        <w:br/>
        <w:t xml:space="preserve">    minimum_control_score: 0.75</w:t>
      </w:r>
    </w:p>
    <w:p>
      <w:pPr/>
      <w:r>
        <w:t>U1.2将关系评价拆分为三层：第一，预期关系是否被明确登记；第二，关系是否由物理外键、应用校验、受控存储过程、ETL门禁、消息校验或定期审计等机制保证；第三，控制运行后是否仍出现孤儿记录。没有物理外键只是一项结构事实，不能自动等同于结构缺陷。</w:t>
      </w:r>
    </w:p>
    <w:p>
      <w:pPr/>
      <w:r>
        <w:t>单条关系控制有效度可表示为 E_j=M_j×C_j×R_j×V_j，其中M_j为机制综合强度，C_j为覆盖度，R_j为可靠性，V_j为运行有效性。SG3评价重要度加权的控制有效度，SG4评价关系语义、责任、策略和受控例外证据，DQ6始终依据预期关系执行孤儿检测。</w:t>
      </w:r>
    </w:p>
    <w:p>
      <w:pPr/>
      <w:r>
        <w:t>关键关系仅在控制有效度低于阈值或实际孤儿率超过阈值时触发底线。受控无外键关系在替代控制充分、审批与性能证据完整且孤儿率为零时，不应被限级。</w:t>
      </w:r>
    </w:p>
    <w:p>
      <w:pPr>
        <w:pStyle w:val="Heading2"/>
      </w:pPr>
      <w:r>
        <w:t>7.4 关系控制缺口传播实验</w:t>
      </w:r>
    </w:p>
    <w:p>
      <w:pPr>
        <w:spacing w:before="80" w:after="100"/>
        <w:jc w:val="center"/>
      </w:pPr>
      <w:r>
        <w:rPr>
          <w:rFonts w:ascii="Cambria Math" w:hAnsi="Cambria Math"/>
          <w:sz w:val="22"/>
        </w:rPr>
        <w:t>(S_0,D_0) --M_j--&gt; (S_j,D_0) --W--&gt; (S_j,D_j^T)</w:t>
      </w:r>
      <w:r>
        <w:rPr>
          <w:sz w:val="18"/>
        </w:rPr>
        <w:t xml:space="preserve">    （10）</w:t>
      </w:r>
    </w:p>
    <w:p>
      <w:r>
        <w:t>M_j为结构变异，W为固定业务负载。评价应先观察结构缺陷对S的直接影响，再观察运行后相关Q指标是否下降、对应根因是否上升、治理任务是否指向正确结构。</w:t>
      </w:r>
    </w:p>
    <w:p>
      <w:pPr>
        <w:pStyle w:val="Heading1"/>
      </w:pPr>
      <w:r>
        <w:t>8 SG2、SG7、SG8的建设性强化</w:t>
      </w:r>
    </w:p>
    <w:p>
      <w:pPr>
        <w:pStyle w:val="Heading2"/>
      </w:pPr>
      <w:r>
        <w:t>8.1 SG2表模型合理性</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871"/>
            <w:vAlign w:val="center"/>
            <w:shd w:fill="365A7A"/>
          </w:tcPr>
          <w:p>
            <w:pPr>
              <w:spacing w:after="0"/>
            </w:pPr>
            <w:r/>
            <w:r>
              <w:rPr>
                <w:rFonts w:ascii="Noto Serif CJK SC" w:hAnsi="Noto Serif CJK SC" w:eastAsia="Noto Serif CJK SC"/>
                <w:b/>
                <w:color w:val="FFFFFF"/>
                <w:sz w:val="17"/>
              </w:rPr>
              <w:t>规则维度</w:t>
            </w:r>
          </w:p>
        </w:tc>
        <w:tc>
          <w:tcPr>
            <w:tcW w:type="dxa" w:w="3969"/>
            <w:vAlign w:val="center"/>
            <w:shd w:fill="365A7A"/>
          </w:tcPr>
          <w:p>
            <w:pPr>
              <w:spacing w:after="0"/>
            </w:pPr>
            <w:r/>
            <w:r>
              <w:rPr>
                <w:rFonts w:ascii="Noto Serif CJK SC" w:hAnsi="Noto Serif CJK SC" w:eastAsia="Noto Serif CJK SC"/>
                <w:b/>
                <w:color w:val="FFFFFF"/>
                <w:sz w:val="17"/>
              </w:rPr>
              <w:t>自动/半自动方法</w:t>
            </w:r>
          </w:p>
        </w:tc>
        <w:tc>
          <w:tcPr>
            <w:tcW w:type="dxa" w:w="3572"/>
            <w:vAlign w:val="center"/>
            <w:shd w:fill="365A7A"/>
          </w:tcPr>
          <w:p>
            <w:pPr>
              <w:spacing w:after="0"/>
            </w:pPr>
            <w:r/>
            <w:r>
              <w:rPr>
                <w:rFonts w:ascii="Noto Serif CJK SC" w:hAnsi="Noto Serif CJK SC" w:eastAsia="Noto Serif CJK SC"/>
                <w:b/>
                <w:color w:val="FFFFFF"/>
                <w:sz w:val="17"/>
              </w:rPr>
              <w:t>说明</w:t>
            </w:r>
          </w:p>
        </w:tc>
      </w:tr>
      <w:tr>
        <w:trPr>
          <w:cantSplit/>
        </w:trPr>
        <w:tc>
          <w:tcPr>
            <w:tcW w:type="dxa" w:w="1871"/>
            <w:vAlign w:val="center"/>
          </w:tcPr>
          <w:p>
            <w:pPr>
              <w:spacing w:after="0"/>
            </w:pPr>
            <w:r/>
            <w:r>
              <w:rPr>
                <w:rFonts w:ascii="Noto Serif CJK SC" w:hAnsi="Noto Serif CJK SC" w:eastAsia="Noto Serif CJK SC"/>
                <w:b w:val="0"/>
                <w:color w:val="222222"/>
                <w:sz w:val="17"/>
              </w:rPr>
              <w:t>记录粒度</w:t>
            </w:r>
          </w:p>
        </w:tc>
        <w:tc>
          <w:tcPr>
            <w:tcW w:type="dxa" w:w="3969"/>
            <w:vAlign w:val="center"/>
          </w:tcPr>
          <w:p>
            <w:pPr>
              <w:spacing w:after="0"/>
            </w:pPr>
            <w:r/>
            <w:r>
              <w:rPr>
                <w:rFonts w:ascii="Noto Serif CJK SC" w:hAnsi="Noto Serif CJK SC" w:eastAsia="Noto Serif CJK SC"/>
                <w:b w:val="0"/>
                <w:color w:val="222222"/>
                <w:sz w:val="17"/>
              </w:rPr>
              <w:t>grain_columns必须由PK/UQ/业务键支持</w:t>
            </w:r>
          </w:p>
        </w:tc>
        <w:tc>
          <w:tcPr>
            <w:tcW w:type="dxa" w:w="3572"/>
            <w:vAlign w:val="center"/>
          </w:tcPr>
          <w:p>
            <w:pPr>
              <w:spacing w:after="0"/>
            </w:pPr>
            <w:r/>
            <w:r>
              <w:rPr>
                <w:rFonts w:ascii="Noto Serif CJK SC" w:hAnsi="Noto Serif CJK SC" w:eastAsia="Noto Serif CJK SC"/>
                <w:b w:val="0"/>
                <w:color w:val="222222"/>
                <w:sz w:val="17"/>
              </w:rPr>
              <w:t>解决“每行代表什么”不可执行问题</w:t>
            </w:r>
          </w:p>
        </w:tc>
      </w:tr>
      <w:tr>
        <w:trPr>
          <w:cantSplit/>
        </w:trPr>
        <w:tc>
          <w:tcPr>
            <w:tcW w:type="dxa" w:w="1871"/>
            <w:vAlign w:val="center"/>
            <w:shd w:fill="F3F6F8"/>
          </w:tcPr>
          <w:p>
            <w:pPr>
              <w:spacing w:after="0"/>
            </w:pPr>
            <w:r/>
            <w:r>
              <w:rPr>
                <w:rFonts w:ascii="Noto Serif CJK SC" w:hAnsi="Noto Serif CJK SC" w:eastAsia="Noto Serif CJK SC"/>
                <w:b w:val="0"/>
                <w:color w:val="222222"/>
                <w:sz w:val="17"/>
              </w:rPr>
              <w:t>表职责</w:t>
            </w:r>
          </w:p>
        </w:tc>
        <w:tc>
          <w:tcPr>
            <w:tcW w:type="dxa" w:w="3969"/>
            <w:vAlign w:val="center"/>
            <w:shd w:fill="F3F6F8"/>
          </w:tcPr>
          <w:p>
            <w:pPr>
              <w:spacing w:after="0"/>
            </w:pPr>
            <w:r/>
            <w:r>
              <w:rPr>
                <w:rFonts w:ascii="Noto Serif CJK SC" w:hAnsi="Noto Serif CJK SC" w:eastAsia="Noto Serif CJK SC"/>
                <w:b w:val="0"/>
                <w:color w:val="222222"/>
                <w:sz w:val="17"/>
              </w:rPr>
              <w:t>表说明＋专家/需求映射</w:t>
            </w:r>
          </w:p>
        </w:tc>
        <w:tc>
          <w:tcPr>
            <w:tcW w:type="dxa" w:w="3572"/>
            <w:vAlign w:val="center"/>
            <w:shd w:fill="F3F6F8"/>
          </w:tcPr>
          <w:p>
            <w:pPr>
              <w:spacing w:after="0"/>
            </w:pPr>
            <w:r/>
            <w:r>
              <w:rPr>
                <w:rFonts w:ascii="Noto Serif CJK SC" w:hAnsi="Noto Serif CJK SC" w:eastAsia="Noto Serif CJK SC"/>
                <w:b w:val="0"/>
                <w:color w:val="222222"/>
                <w:sz w:val="17"/>
              </w:rPr>
              <w:t>说明只是必要非充分条件</w:t>
            </w:r>
          </w:p>
        </w:tc>
      </w:tr>
      <w:tr>
        <w:trPr>
          <w:cantSplit/>
        </w:trPr>
        <w:tc>
          <w:tcPr>
            <w:tcW w:type="dxa" w:w="1871"/>
            <w:vAlign w:val="center"/>
          </w:tcPr>
          <w:p>
            <w:pPr>
              <w:spacing w:after="0"/>
            </w:pPr>
            <w:r/>
            <w:r>
              <w:rPr>
                <w:rFonts w:ascii="Noto Serif CJK SC" w:hAnsi="Noto Serif CJK SC" w:eastAsia="Noto Serif CJK SC"/>
                <w:b w:val="0"/>
                <w:color w:val="222222"/>
                <w:sz w:val="17"/>
              </w:rPr>
              <w:t>宽表风险</w:t>
            </w:r>
          </w:p>
        </w:tc>
        <w:tc>
          <w:tcPr>
            <w:tcW w:type="dxa" w:w="3969"/>
            <w:vAlign w:val="center"/>
          </w:tcPr>
          <w:p>
            <w:pPr>
              <w:spacing w:after="0"/>
            </w:pPr>
            <w:r/>
            <w:r>
              <w:rPr>
                <w:rFonts w:ascii="Noto Serif CJK SC" w:hAnsi="Noto Serif CJK SC" w:eastAsia="Noto Serif CJK SC"/>
                <w:b w:val="0"/>
                <w:color w:val="222222"/>
                <w:sz w:val="17"/>
              </w:rPr>
              <w:t>max_columns阈值</w:t>
            </w:r>
          </w:p>
        </w:tc>
        <w:tc>
          <w:tcPr>
            <w:tcW w:type="dxa" w:w="3572"/>
            <w:vAlign w:val="center"/>
          </w:tcPr>
          <w:p>
            <w:pPr>
              <w:spacing w:after="0"/>
            </w:pPr>
            <w:r/>
            <w:r>
              <w:rPr>
                <w:rFonts w:ascii="Noto Serif CJK SC" w:hAnsi="Noto Serif CJK SC" w:eastAsia="Noto Serif CJK SC"/>
                <w:b w:val="0"/>
                <w:color w:val="222222"/>
                <w:sz w:val="17"/>
              </w:rPr>
              <w:t>仅作复杂度风险，不等于必然不合理</w:t>
            </w:r>
          </w:p>
        </w:tc>
      </w:tr>
      <w:tr>
        <w:trPr>
          <w:cantSplit/>
        </w:trPr>
        <w:tc>
          <w:tcPr>
            <w:tcW w:type="dxa" w:w="1871"/>
            <w:vAlign w:val="center"/>
            <w:shd w:fill="F3F6F8"/>
          </w:tcPr>
          <w:p>
            <w:pPr>
              <w:spacing w:after="0"/>
            </w:pPr>
            <w:r/>
            <w:r>
              <w:rPr>
                <w:rFonts w:ascii="Noto Serif CJK SC" w:hAnsi="Noto Serif CJK SC" w:eastAsia="Noto Serif CJK SC"/>
                <w:b w:val="0"/>
                <w:color w:val="222222"/>
                <w:sz w:val="17"/>
              </w:rPr>
              <w:t>堆表风险</w:t>
            </w:r>
          </w:p>
        </w:tc>
        <w:tc>
          <w:tcPr>
            <w:tcW w:type="dxa" w:w="3969"/>
            <w:vAlign w:val="center"/>
            <w:shd w:fill="F3F6F8"/>
          </w:tcPr>
          <w:p>
            <w:pPr>
              <w:spacing w:after="0"/>
            </w:pPr>
            <w:r/>
            <w:r>
              <w:rPr>
                <w:rFonts w:ascii="Noto Serif CJK SC" w:hAnsi="Noto Serif CJK SC" w:eastAsia="Noto Serif CJK SC"/>
                <w:b w:val="0"/>
                <w:color w:val="222222"/>
                <w:sz w:val="17"/>
              </w:rPr>
              <w:t>allow_heap控制</w:t>
            </w:r>
          </w:p>
        </w:tc>
        <w:tc>
          <w:tcPr>
            <w:tcW w:type="dxa" w:w="3572"/>
            <w:vAlign w:val="center"/>
            <w:shd w:fill="F3F6F8"/>
          </w:tcPr>
          <w:p>
            <w:pPr>
              <w:spacing w:after="0"/>
            </w:pPr>
            <w:r/>
            <w:r>
              <w:rPr>
                <w:rFonts w:ascii="Noto Serif CJK SC" w:hAnsi="Noto Serif CJK SC" w:eastAsia="Noto Serif CJK SC"/>
                <w:b w:val="0"/>
                <w:color w:val="222222"/>
                <w:sz w:val="17"/>
              </w:rPr>
              <w:t>关键事务表通常不应无聚集组织</w:t>
            </w:r>
          </w:p>
        </w:tc>
      </w:tr>
      <w:tr>
        <w:trPr>
          <w:cantSplit/>
        </w:trPr>
        <w:tc>
          <w:tcPr>
            <w:tcW w:type="dxa" w:w="1871"/>
            <w:vAlign w:val="center"/>
          </w:tcPr>
          <w:p>
            <w:pPr>
              <w:spacing w:after="0"/>
            </w:pPr>
            <w:r/>
            <w:r>
              <w:rPr>
                <w:rFonts w:ascii="Noto Serif CJK SC" w:hAnsi="Noto Serif CJK SC" w:eastAsia="Noto Serif CJK SC"/>
                <w:b w:val="0"/>
                <w:color w:val="222222"/>
                <w:sz w:val="17"/>
              </w:rPr>
              <w:t>重复组</w:t>
            </w:r>
          </w:p>
        </w:tc>
        <w:tc>
          <w:tcPr>
            <w:tcW w:type="dxa" w:w="3969"/>
            <w:vAlign w:val="center"/>
          </w:tcPr>
          <w:p>
            <w:pPr>
              <w:spacing w:after="0"/>
            </w:pPr>
            <w:r/>
            <w:r>
              <w:rPr>
                <w:rFonts w:ascii="Noto Serif CJK SC" w:hAnsi="Noto Serif CJK SC" w:eastAsia="Noto Serif CJK SC"/>
                <w:b w:val="0"/>
                <w:color w:val="222222"/>
                <w:sz w:val="17"/>
              </w:rPr>
              <w:t>识别name1/name2等编号字段</w:t>
            </w:r>
          </w:p>
        </w:tc>
        <w:tc>
          <w:tcPr>
            <w:tcW w:type="dxa" w:w="3572"/>
            <w:vAlign w:val="center"/>
          </w:tcPr>
          <w:p>
            <w:pPr>
              <w:spacing w:after="0"/>
            </w:pPr>
            <w:r/>
            <w:r>
              <w:rPr>
                <w:rFonts w:ascii="Noto Serif CJK SC" w:hAnsi="Noto Serif CJK SC" w:eastAsia="Noto Serif CJK SC"/>
                <w:b w:val="0"/>
                <w:color w:val="222222"/>
                <w:sz w:val="17"/>
              </w:rPr>
              <w:t>提示非原子和重复组</w:t>
            </w:r>
          </w:p>
        </w:tc>
      </w:tr>
      <w:tr>
        <w:trPr>
          <w:cantSplit/>
        </w:trPr>
        <w:tc>
          <w:tcPr>
            <w:tcW w:type="dxa" w:w="1871"/>
            <w:vAlign w:val="center"/>
            <w:shd w:fill="F3F6F8"/>
          </w:tcPr>
          <w:p>
            <w:pPr>
              <w:spacing w:after="0"/>
            </w:pPr>
            <w:r/>
            <w:r>
              <w:rPr>
                <w:rFonts w:ascii="Noto Serif CJK SC" w:hAnsi="Noto Serif CJK SC" w:eastAsia="Noto Serif CJK SC"/>
                <w:b w:val="0"/>
                <w:color w:val="222222"/>
                <w:sz w:val="17"/>
              </w:rPr>
              <w:t>多值字段</w:t>
            </w:r>
          </w:p>
        </w:tc>
        <w:tc>
          <w:tcPr>
            <w:tcW w:type="dxa" w:w="3969"/>
            <w:vAlign w:val="center"/>
            <w:shd w:fill="F3F6F8"/>
          </w:tcPr>
          <w:p>
            <w:pPr>
              <w:spacing w:after="0"/>
            </w:pPr>
            <w:r/>
            <w:r>
              <w:rPr>
                <w:rFonts w:ascii="Noto Serif CJK SC" w:hAnsi="Noto Serif CJK SC" w:eastAsia="Noto Serif CJK SC"/>
                <w:b w:val="0"/>
                <w:color w:val="222222"/>
                <w:sz w:val="17"/>
              </w:rPr>
              <w:t>forbidden_multivalue_columns结构契约</w:t>
            </w:r>
          </w:p>
        </w:tc>
        <w:tc>
          <w:tcPr>
            <w:tcW w:type="dxa" w:w="3572"/>
            <w:vAlign w:val="center"/>
            <w:shd w:fill="F3F6F8"/>
          </w:tcPr>
          <w:p>
            <w:pPr>
              <w:spacing w:after="0"/>
            </w:pPr>
            <w:r/>
            <w:r>
              <w:rPr>
                <w:rFonts w:ascii="Noto Serif CJK SC" w:hAnsi="Noto Serif CJK SC" w:eastAsia="Noto Serif CJK SC"/>
                <w:b w:val="0"/>
                <w:color w:val="222222"/>
                <w:sz w:val="17"/>
              </w:rPr>
              <w:t>显式识别逗号/JSON列表等非原子设计</w:t>
            </w:r>
          </w:p>
        </w:tc>
      </w:tr>
    </w:tbl>
    <w:p>
      <w:pPr>
        <w:spacing w:after="20"/>
      </w:pPr>
    </w:p>
    <w:p>
      <w:r>
        <w:t>SG2仍不能由机器完整判断第三范式、实体边界和业务必要性，因此应保留专家证据与未知度。</w:t>
      </w:r>
    </w:p>
    <w:p>
      <w:pPr>
        <w:pStyle w:val="Heading2"/>
      </w:pPr>
      <w:r>
        <w:t>8.2 SG7主数据权威性</w:t>
      </w:r>
    </w:p>
    <w:p>
      <w:pPr>
        <w:pStyle w:val="ListBullet"/>
        <w:spacing w:after="40"/>
      </w:pPr>
      <w:r>
        <w:t>配置主数据对象、权威表和引用表，验证权威来源是否存在。</w:t>
      </w:r>
    </w:p>
    <w:p>
      <w:pPr>
        <w:pStyle w:val="ListBullet"/>
        <w:spacing w:after="40"/>
      </w:pPr>
      <w:r>
        <w:t>通过key_pairs检测引用对象是否存在，形成主数据孤儿率。</w:t>
      </w:r>
    </w:p>
    <w:p>
      <w:pPr>
        <w:pStyle w:val="ListBullet"/>
        <w:spacing w:after="40"/>
      </w:pPr>
      <w:r>
        <w:t>通过attribute_pairs比对业务快照和权威属性，形成准确性与一致性证据。</w:t>
      </w:r>
    </w:p>
    <w:p>
      <w:pPr>
        <w:pStyle w:val="ListBullet"/>
        <w:spacing w:after="40"/>
      </w:pPr>
      <w:r>
        <w:t>同一比对可服务DQ2（与权威事实相符）和DQ5（跨存储位置一致），同时影响SG7。</w:t>
      </w:r>
    </w:p>
    <w:p>
      <w:pPr>
        <w:pStyle w:val="Heading2"/>
      </w:pPr>
      <w:r>
        <w:t>8.3 SG8结构生命周期与互操作准备度</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701"/>
            <w:vAlign w:val="center"/>
            <w:shd w:fill="365A7A"/>
          </w:tcPr>
          <w:p>
            <w:pPr>
              <w:spacing w:after="0"/>
            </w:pPr>
            <w:r/>
            <w:r>
              <w:rPr>
                <w:rFonts w:ascii="Noto Serif CJK SC" w:hAnsi="Noto Serif CJK SC" w:eastAsia="Noto Serif CJK SC"/>
                <w:b/>
                <w:color w:val="FFFFFF"/>
                <w:sz w:val="17"/>
              </w:rPr>
              <w:t>控制项</w:t>
            </w:r>
          </w:p>
        </w:tc>
        <w:tc>
          <w:tcPr>
            <w:tcW w:type="dxa" w:w="3855"/>
            <w:vAlign w:val="center"/>
            <w:shd w:fill="365A7A"/>
          </w:tcPr>
          <w:p>
            <w:pPr>
              <w:spacing w:after="0"/>
            </w:pPr>
            <w:r/>
            <w:r>
              <w:rPr>
                <w:rFonts w:ascii="Noto Serif CJK SC" w:hAnsi="Noto Serif CJK SC" w:eastAsia="Noto Serif CJK SC"/>
                <w:b/>
                <w:color w:val="FFFFFF"/>
                <w:sz w:val="17"/>
              </w:rPr>
              <w:t>结构证据</w:t>
            </w:r>
          </w:p>
        </w:tc>
        <w:tc>
          <w:tcPr>
            <w:tcW w:type="dxa" w:w="3855"/>
            <w:vAlign w:val="center"/>
            <w:shd w:fill="365A7A"/>
          </w:tcPr>
          <w:p>
            <w:pPr>
              <w:spacing w:after="0"/>
            </w:pPr>
            <w:r/>
            <w:r>
              <w:rPr>
                <w:rFonts w:ascii="Noto Serif CJK SC" w:hAnsi="Noto Serif CJK SC" w:eastAsia="Noto Serif CJK SC"/>
                <w:b/>
                <w:color w:val="FFFFFF"/>
                <w:sz w:val="17"/>
              </w:rPr>
              <w:t>过程/专家证据</w:t>
            </w:r>
          </w:p>
        </w:tc>
      </w:tr>
      <w:tr>
        <w:trPr>
          <w:cantSplit/>
        </w:trPr>
        <w:tc>
          <w:tcPr>
            <w:tcW w:type="dxa" w:w="1701"/>
            <w:vAlign w:val="center"/>
          </w:tcPr>
          <w:p>
            <w:pPr>
              <w:spacing w:after="0"/>
            </w:pPr>
            <w:r/>
            <w:r>
              <w:rPr>
                <w:rFonts w:ascii="Noto Serif CJK SC" w:hAnsi="Noto Serif CJK SC" w:eastAsia="Noto Serif CJK SC"/>
                <w:b w:val="0"/>
                <w:color w:val="222222"/>
                <w:sz w:val="17"/>
              </w:rPr>
              <w:t>审计</w:t>
            </w:r>
          </w:p>
        </w:tc>
        <w:tc>
          <w:tcPr>
            <w:tcW w:type="dxa" w:w="3855"/>
            <w:vAlign w:val="center"/>
          </w:tcPr>
          <w:p>
            <w:pPr>
              <w:spacing w:after="0"/>
            </w:pPr>
            <w:r/>
            <w:r>
              <w:rPr>
                <w:rFonts w:ascii="Noto Serif CJK SC" w:hAnsi="Noto Serif CJK SC" w:eastAsia="Noto Serif CJK SC"/>
                <w:b w:val="0"/>
                <w:color w:val="222222"/>
                <w:sz w:val="17"/>
              </w:rPr>
              <w:t>created_at/by、updated_at/by、rowversion</w:t>
            </w:r>
          </w:p>
        </w:tc>
        <w:tc>
          <w:tcPr>
            <w:tcW w:type="dxa" w:w="3855"/>
            <w:vAlign w:val="center"/>
          </w:tcPr>
          <w:p>
            <w:pPr>
              <w:spacing w:after="0"/>
            </w:pPr>
            <w:r/>
            <w:r>
              <w:rPr>
                <w:rFonts w:ascii="Noto Serif CJK SC" w:hAnsi="Noto Serif CJK SC" w:eastAsia="Noto Serif CJK SC"/>
                <w:b w:val="0"/>
                <w:color w:val="222222"/>
                <w:sz w:val="17"/>
              </w:rPr>
              <w:t>审计日志完整率、责任追溯</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版本与变更</w:t>
            </w:r>
          </w:p>
        </w:tc>
        <w:tc>
          <w:tcPr>
            <w:tcW w:type="dxa" w:w="3855"/>
            <w:vAlign w:val="center"/>
            <w:shd w:fill="F3F6F8"/>
          </w:tcPr>
          <w:p>
            <w:pPr>
              <w:spacing w:after="0"/>
            </w:pPr>
            <w:r/>
            <w:r>
              <w:rPr>
                <w:rFonts w:ascii="Noto Serif CJK SC" w:hAnsi="Noto Serif CJK SC" w:eastAsia="Noto Serif CJK SC"/>
                <w:b w:val="0"/>
                <w:color w:val="222222"/>
                <w:sz w:val="17"/>
              </w:rPr>
              <w:t>时态表、结构版本字段、迁移脚本</w:t>
            </w:r>
          </w:p>
        </w:tc>
        <w:tc>
          <w:tcPr>
            <w:tcW w:type="dxa" w:w="3855"/>
            <w:vAlign w:val="center"/>
            <w:shd w:fill="F3F6F8"/>
          </w:tcPr>
          <w:p>
            <w:pPr>
              <w:spacing w:after="0"/>
            </w:pPr>
            <w:r/>
            <w:r>
              <w:rPr>
                <w:rFonts w:ascii="Noto Serif CJK SC" w:hAnsi="Noto Serif CJK SC" w:eastAsia="Noto Serif CJK SC"/>
                <w:b w:val="0"/>
                <w:color w:val="222222"/>
                <w:sz w:val="17"/>
              </w:rPr>
              <w:t>变更审批、回退演练、发布记录</w:t>
            </w:r>
          </w:p>
        </w:tc>
      </w:tr>
      <w:tr>
        <w:trPr>
          <w:cantSplit/>
        </w:trPr>
        <w:tc>
          <w:tcPr>
            <w:tcW w:type="dxa" w:w="1701"/>
            <w:vAlign w:val="center"/>
          </w:tcPr>
          <w:p>
            <w:pPr>
              <w:spacing w:after="0"/>
            </w:pPr>
            <w:r/>
            <w:r>
              <w:rPr>
                <w:rFonts w:ascii="Noto Serif CJK SC" w:hAnsi="Noto Serif CJK SC" w:eastAsia="Noto Serif CJK SC"/>
                <w:b w:val="0"/>
                <w:color w:val="222222"/>
                <w:sz w:val="17"/>
              </w:rPr>
              <w:t>废止退出</w:t>
            </w:r>
          </w:p>
        </w:tc>
        <w:tc>
          <w:tcPr>
            <w:tcW w:type="dxa" w:w="3855"/>
            <w:vAlign w:val="center"/>
          </w:tcPr>
          <w:p>
            <w:pPr>
              <w:spacing w:after="0"/>
            </w:pPr>
            <w:r/>
            <w:r>
              <w:rPr>
                <w:rFonts w:ascii="Noto Serif CJK SC" w:hAnsi="Noto Serif CJK SC" w:eastAsia="Noto Serif CJK SC"/>
                <w:b w:val="0"/>
                <w:color w:val="222222"/>
                <w:sz w:val="17"/>
              </w:rPr>
              <w:t>active/obsolete状态、有效期</w:t>
            </w:r>
          </w:p>
        </w:tc>
        <w:tc>
          <w:tcPr>
            <w:tcW w:type="dxa" w:w="3855"/>
            <w:vAlign w:val="center"/>
          </w:tcPr>
          <w:p>
            <w:pPr>
              <w:spacing w:after="0"/>
            </w:pPr>
            <w:r/>
            <w:r>
              <w:rPr>
                <w:rFonts w:ascii="Noto Serif CJK SC" w:hAnsi="Noto Serif CJK SC" w:eastAsia="Noto Serif CJK SC"/>
                <w:b w:val="0"/>
                <w:color w:val="222222"/>
                <w:sz w:val="17"/>
              </w:rPr>
              <w:t>退出流程、历史引用处置</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互操作</w:t>
            </w:r>
          </w:p>
        </w:tc>
        <w:tc>
          <w:tcPr>
            <w:tcW w:type="dxa" w:w="3855"/>
            <w:vAlign w:val="center"/>
            <w:shd w:fill="F3F6F8"/>
          </w:tcPr>
          <w:p>
            <w:pPr>
              <w:spacing w:after="0"/>
            </w:pPr>
            <w:r/>
            <w:r>
              <w:rPr>
                <w:rFonts w:ascii="Noto Serif CJK SC" w:hAnsi="Noto Serif CJK SC" w:eastAsia="Noto Serif CJK SC"/>
                <w:b w:val="0"/>
                <w:color w:val="222222"/>
                <w:sz w:val="17"/>
              </w:rPr>
              <w:t>标准代码、外部标识、映射字段</w:t>
            </w:r>
          </w:p>
        </w:tc>
        <w:tc>
          <w:tcPr>
            <w:tcW w:type="dxa" w:w="3855"/>
            <w:vAlign w:val="center"/>
            <w:shd w:fill="F3F6F8"/>
          </w:tcPr>
          <w:p>
            <w:pPr>
              <w:spacing w:after="0"/>
            </w:pPr>
            <w:r/>
            <w:r>
              <w:rPr>
                <w:rFonts w:ascii="Noto Serif CJK SC" w:hAnsi="Noto Serif CJK SC" w:eastAsia="Noto Serif CJK SC"/>
                <w:b w:val="0"/>
                <w:color w:val="222222"/>
                <w:sz w:val="17"/>
              </w:rPr>
              <w:t>接口成功率、字段映射率、代码转换率</w:t>
            </w:r>
          </w:p>
        </w:tc>
      </w:tr>
    </w:tbl>
    <w:p>
      <w:pPr>
        <w:spacing w:after="20"/>
      </w:pPr>
    </w:p>
    <w:p>
      <w:pPr>
        <w:pStyle w:val="Heading1"/>
      </w:pPr>
      <w:r>
        <w:t>9 冗余评价与治理任务生成</w:t>
      </w:r>
    </w:p>
    <w:p>
      <w:pPr>
        <w:pStyle w:val="Heading2"/>
      </w:pPr>
      <w:r>
        <w:t>9.1 冗余候选与风险分离</w:t>
      </w:r>
    </w:p>
    <w:p>
      <w:pPr>
        <w:spacing w:before="80" w:after="100"/>
        <w:jc w:val="center"/>
      </w:pPr>
      <w:r>
        <w:rPr>
          <w:rFonts w:ascii="Cambria Math" w:hAnsi="Cambria Math"/>
          <w:sz w:val="22"/>
        </w:rPr>
        <w:t>M_f=Σ_k λ_k x_k;    M_t=Σ_k μ_k z_k</w:t>
      </w:r>
      <w:r>
        <w:rPr>
          <w:sz w:val="18"/>
        </w:rPr>
        <w:t xml:space="preserve">    （11）</w:t>
      </w:r>
    </w:p>
    <w:p>
      <w:pPr>
        <w:spacing w:before="80" w:after="100"/>
        <w:jc w:val="center"/>
      </w:pPr>
      <w:r>
        <w:rPr>
          <w:rFonts w:ascii="Cambria Math" w:hAnsi="Cambria Math"/>
          <w:sz w:val="22"/>
        </w:rPr>
        <w:t>RRI=M(1-N)[θ_1C+θ_2U+θ_3(1-K)+θ_4I]</w:t>
      </w:r>
      <w:r>
        <w:rPr>
          <w:sz w:val="18"/>
        </w:rPr>
        <w:t xml:space="preserve">    （12）</w:t>
      </w:r>
    </w:p>
    <w:p>
      <w:pPr/>
      <w:r>
        <w:t>M表示相似度，N为业务必要性，C为冲突程度，U为独立更新程度，K为同步控制完备度，I为业务影响。历史快照、审计留痕、接口缓冲和受控反规范化不能因为相似就自动判为高风险。U1.2修复了蒙特卡洛扰动冗余参数后风险等级未同步重算的问题。</w:t>
      </w:r>
    </w:p>
    <w:p>
      <w:pPr>
        <w:pStyle w:val="Heading2"/>
      </w:pPr>
      <w:r>
        <w:t>9.2 治理任务结构</w:t>
      </w:r>
    </w:p>
    <w:tbl>
      <w:tblPr>
        <w:tblStyle w:val="TableGrid"/>
        <w:tblW w:type="auto" w:w="0"/>
        <w:jc w:val="center"/>
        <w:tblLook w:firstColumn="1" w:firstRow="1" w:lastColumn="0" w:lastRow="0" w:noHBand="0" w:noVBand="1" w:val="04A0"/>
      </w:tblPr>
      <w:tblGrid>
        <w:gridCol w:w="4816"/>
        <w:gridCol w:w="4816"/>
      </w:tblGrid>
      <w:tr>
        <w:trPr>
          <w:cantSplit/>
        </w:trPr>
        <w:tc>
          <w:tcPr>
            <w:tcW w:type="dxa" w:w="1814"/>
            <w:vAlign w:val="center"/>
            <w:shd w:fill="365A7A"/>
          </w:tcPr>
          <w:p>
            <w:pPr>
              <w:spacing w:after="0"/>
            </w:pPr>
            <w:r/>
            <w:r>
              <w:rPr>
                <w:rFonts w:ascii="Noto Serif CJK SC" w:hAnsi="Noto Serif CJK SC" w:eastAsia="Noto Serif CJK SC"/>
                <w:b/>
                <w:color w:val="FFFFFF"/>
                <w:sz w:val="17"/>
              </w:rPr>
              <w:t>字段</w:t>
            </w:r>
          </w:p>
        </w:tc>
        <w:tc>
          <w:tcPr>
            <w:tcW w:type="dxa" w:w="7483"/>
            <w:vAlign w:val="center"/>
            <w:shd w:fill="365A7A"/>
          </w:tcPr>
          <w:p>
            <w:pPr>
              <w:spacing w:after="0"/>
            </w:pPr>
            <w:r/>
            <w:r>
              <w:rPr>
                <w:rFonts w:ascii="Noto Serif CJK SC" w:hAnsi="Noto Serif CJK SC" w:eastAsia="Noto Serif CJK SC"/>
                <w:b/>
                <w:color w:val="FFFFFF"/>
                <w:sz w:val="17"/>
              </w:rPr>
              <w:t>内容示例</w:t>
            </w:r>
          </w:p>
        </w:tc>
      </w:tr>
      <w:tr>
        <w:trPr>
          <w:cantSplit/>
        </w:trPr>
        <w:tc>
          <w:tcPr>
            <w:tcW w:type="dxa" w:w="1814"/>
            <w:vAlign w:val="center"/>
          </w:tcPr>
          <w:p>
            <w:pPr>
              <w:spacing w:after="0"/>
            </w:pPr>
            <w:r/>
            <w:r>
              <w:rPr>
                <w:rFonts w:ascii="Noto Serif CJK SC" w:hAnsi="Noto Serif CJK SC" w:eastAsia="Noto Serif CJK SC"/>
                <w:b w:val="0"/>
                <w:color w:val="222222"/>
                <w:sz w:val="17"/>
              </w:rPr>
              <w:t>治理对象</w:t>
            </w:r>
          </w:p>
        </w:tc>
        <w:tc>
          <w:tcPr>
            <w:tcW w:type="dxa" w:w="7483"/>
            <w:vAlign w:val="center"/>
          </w:tcPr>
          <w:p>
            <w:pPr>
              <w:spacing w:after="0"/>
            </w:pPr>
            <w:r/>
            <w:r>
              <w:rPr>
                <w:rFonts w:ascii="Noto Serif CJK SC" w:hAnsi="Noto Serif CJK SC" w:eastAsia="Noto Serif CJK SC"/>
                <w:b w:val="0"/>
                <w:color w:val="222222"/>
                <w:sz w:val="17"/>
              </w:rPr>
              <w:t>aero.inventory_transaction.part_id</w:t>
            </w:r>
          </w:p>
        </w:tc>
      </w:tr>
      <w:tr>
        <w:trPr>
          <w:cantSplit/>
        </w:trPr>
        <w:tc>
          <w:tcPr>
            <w:tcW w:type="dxa" w:w="1814"/>
            <w:vAlign w:val="center"/>
            <w:shd w:fill="F3F6F8"/>
          </w:tcPr>
          <w:p>
            <w:pPr>
              <w:spacing w:after="0"/>
            </w:pPr>
            <w:r/>
            <w:r>
              <w:rPr>
                <w:rFonts w:ascii="Noto Serif CJK SC" w:hAnsi="Noto Serif CJK SC" w:eastAsia="Noto Serif CJK SC"/>
                <w:b w:val="0"/>
                <w:color w:val="222222"/>
                <w:sz w:val="17"/>
              </w:rPr>
              <w:t>问题证据</w:t>
            </w:r>
          </w:p>
        </w:tc>
        <w:tc>
          <w:tcPr>
            <w:tcW w:type="dxa" w:w="7483"/>
            <w:vAlign w:val="center"/>
            <w:shd w:fill="F3F6F8"/>
          </w:tcPr>
          <w:p>
            <w:pPr>
              <w:spacing w:after="0"/>
            </w:pPr>
            <w:r>
              <w:t>预期关系控制有效度8%、孤儿率5%、底线触发</w:t>
            </w:r>
          </w:p>
        </w:tc>
      </w:tr>
      <w:tr>
        <w:trPr>
          <w:cantSplit/>
        </w:trPr>
        <w:tc>
          <w:tcPr>
            <w:tcW w:type="dxa" w:w="1814"/>
            <w:vAlign w:val="center"/>
          </w:tcPr>
          <w:p>
            <w:pPr>
              <w:spacing w:after="0"/>
            </w:pPr>
            <w:r/>
            <w:r>
              <w:rPr>
                <w:rFonts w:ascii="Noto Serif CJK SC" w:hAnsi="Noto Serif CJK SC" w:eastAsia="Noto Serif CJK SC"/>
                <w:b w:val="0"/>
                <w:color w:val="222222"/>
                <w:sz w:val="17"/>
              </w:rPr>
              <w:t>结构根因</w:t>
            </w:r>
          </w:p>
        </w:tc>
        <w:tc>
          <w:tcPr>
            <w:tcW w:type="dxa" w:w="7483"/>
            <w:vAlign w:val="center"/>
          </w:tcPr>
          <w:p>
            <w:pPr>
              <w:spacing w:after="0"/>
            </w:pPr>
            <w:r>
              <w:t>关键关系完整性控制不足，SG3-DQ6路径可信</w:t>
            </w:r>
          </w:p>
        </w:tc>
      </w:tr>
      <w:tr>
        <w:trPr>
          <w:cantSplit/>
        </w:trPr>
        <w:tc>
          <w:tcPr>
            <w:tcW w:type="dxa" w:w="1814"/>
            <w:vAlign w:val="center"/>
            <w:shd w:fill="F3F6F8"/>
          </w:tcPr>
          <w:p>
            <w:pPr>
              <w:spacing w:after="0"/>
            </w:pPr>
            <w:r/>
            <w:r>
              <w:rPr>
                <w:rFonts w:ascii="Noto Serif CJK SC" w:hAnsi="Noto Serif CJK SC" w:eastAsia="Noto Serif CJK SC"/>
                <w:b w:val="0"/>
                <w:color w:val="222222"/>
                <w:sz w:val="17"/>
              </w:rPr>
              <w:t>生命周期</w:t>
            </w:r>
          </w:p>
        </w:tc>
        <w:tc>
          <w:tcPr>
            <w:tcW w:type="dxa" w:w="7483"/>
            <w:vAlign w:val="center"/>
            <w:shd w:fill="F3F6F8"/>
          </w:tcPr>
          <w:p>
            <w:pPr>
              <w:spacing w:after="0"/>
            </w:pPr>
            <w:r/>
            <w:r>
              <w:rPr>
                <w:rFonts w:ascii="Noto Serif CJK SC" w:hAnsi="Noto Serif CJK SC" w:eastAsia="Noto Serif CJK SC"/>
                <w:b w:val="0"/>
                <w:color w:val="222222"/>
                <w:sz w:val="17"/>
              </w:rPr>
              <w:t>库存事务写入与接口同步</w:t>
            </w:r>
          </w:p>
        </w:tc>
      </w:tr>
      <w:tr>
        <w:trPr>
          <w:cantSplit/>
        </w:trPr>
        <w:tc>
          <w:tcPr>
            <w:tcW w:type="dxa" w:w="1814"/>
            <w:vAlign w:val="center"/>
          </w:tcPr>
          <w:p>
            <w:pPr>
              <w:spacing w:after="0"/>
            </w:pPr>
            <w:r/>
            <w:r>
              <w:rPr>
                <w:rFonts w:ascii="Noto Serif CJK SC" w:hAnsi="Noto Serif CJK SC" w:eastAsia="Noto Serif CJK SC"/>
                <w:b w:val="0"/>
                <w:color w:val="222222"/>
                <w:sz w:val="17"/>
              </w:rPr>
              <w:t>治理措施</w:t>
            </w:r>
          </w:p>
        </w:tc>
        <w:tc>
          <w:tcPr>
            <w:tcW w:type="dxa" w:w="7483"/>
            <w:vAlign w:val="center"/>
          </w:tcPr>
          <w:p>
            <w:pPr>
              <w:spacing w:after="0"/>
            </w:pPr>
            <w:r>
              <w:t>修复孤儿；根据架构条件恢复物理外键，或补齐应用校验、审计、审批和性能证据</w:t>
            </w:r>
          </w:p>
        </w:tc>
      </w:tr>
      <w:tr>
        <w:trPr>
          <w:cantSplit/>
        </w:trPr>
        <w:tc>
          <w:tcPr>
            <w:tcW w:type="dxa" w:w="1814"/>
            <w:vAlign w:val="center"/>
            <w:shd w:fill="F3F6F8"/>
          </w:tcPr>
          <w:p>
            <w:pPr>
              <w:spacing w:after="0"/>
            </w:pPr>
            <w:r/>
            <w:r>
              <w:rPr>
                <w:rFonts w:ascii="Noto Serif CJK SC" w:hAnsi="Noto Serif CJK SC" w:eastAsia="Noto Serif CJK SC"/>
                <w:b w:val="0"/>
                <w:color w:val="222222"/>
                <w:sz w:val="17"/>
              </w:rPr>
              <w:t>责任主体</w:t>
            </w:r>
          </w:p>
        </w:tc>
        <w:tc>
          <w:tcPr>
            <w:tcW w:type="dxa" w:w="7483"/>
            <w:vAlign w:val="center"/>
            <w:shd w:fill="F3F6F8"/>
          </w:tcPr>
          <w:p>
            <w:pPr>
              <w:spacing w:after="0"/>
            </w:pPr>
            <w:r/>
            <w:r>
              <w:rPr>
                <w:rFonts w:ascii="Noto Serif CJK SC" w:hAnsi="Noto Serif CJK SC" w:eastAsia="Noto Serif CJK SC"/>
                <w:b w:val="0"/>
                <w:color w:val="222222"/>
                <w:sz w:val="17"/>
              </w:rPr>
              <w:t>数据库管理员＋航材主数据负责人</w:t>
            </w:r>
          </w:p>
        </w:tc>
      </w:tr>
      <w:tr>
        <w:trPr>
          <w:cantSplit/>
        </w:trPr>
        <w:tc>
          <w:tcPr>
            <w:tcW w:type="dxa" w:w="1814"/>
            <w:vAlign w:val="center"/>
          </w:tcPr>
          <w:p>
            <w:pPr>
              <w:spacing w:after="0"/>
            </w:pPr>
            <w:r/>
            <w:r>
              <w:rPr>
                <w:rFonts w:ascii="Noto Serif CJK SC" w:hAnsi="Noto Serif CJK SC" w:eastAsia="Noto Serif CJK SC"/>
                <w:b w:val="0"/>
                <w:color w:val="222222"/>
                <w:sz w:val="17"/>
              </w:rPr>
              <w:t>优先级</w:t>
            </w:r>
          </w:p>
        </w:tc>
        <w:tc>
          <w:tcPr>
            <w:tcW w:type="dxa" w:w="7483"/>
            <w:vAlign w:val="center"/>
          </w:tcPr>
          <w:p>
            <w:pPr>
              <w:spacing w:after="0"/>
            </w:pPr>
            <w:r/>
            <w:r>
              <w:rPr>
                <w:rFonts w:ascii="Noto Serif CJK SC" w:hAnsi="Noto Serif CJK SC" w:eastAsia="Noto Serif CJK SC"/>
                <w:b w:val="0"/>
                <w:color w:val="222222"/>
                <w:sz w:val="17"/>
              </w:rPr>
              <w:t>严重度×根因贡献×可信度×业务影响/成本</w:t>
            </w:r>
          </w:p>
        </w:tc>
      </w:tr>
      <w:tr>
        <w:trPr>
          <w:cantSplit/>
        </w:trPr>
        <w:tc>
          <w:tcPr>
            <w:tcW w:type="dxa" w:w="1814"/>
            <w:vAlign w:val="center"/>
            <w:shd w:fill="F3F6F8"/>
          </w:tcPr>
          <w:p>
            <w:pPr>
              <w:spacing w:after="0"/>
            </w:pPr>
            <w:r/>
            <w:r>
              <w:rPr>
                <w:rFonts w:ascii="Noto Serif CJK SC" w:hAnsi="Noto Serif CJK SC" w:eastAsia="Noto Serif CJK SC"/>
                <w:b w:val="0"/>
                <w:color w:val="222222"/>
                <w:sz w:val="17"/>
              </w:rPr>
              <w:t>验收指标</w:t>
            </w:r>
          </w:p>
        </w:tc>
        <w:tc>
          <w:tcPr>
            <w:tcW w:type="dxa" w:w="7483"/>
            <w:vAlign w:val="center"/>
            <w:shd w:fill="F3F6F8"/>
          </w:tcPr>
          <w:p>
            <w:pPr>
              <w:spacing w:after="0"/>
            </w:pPr>
            <w:r>
              <w:t>孤儿率=0、控制有效度达标、受控例外在有效期内、传播负载不再产生孤儿</w:t>
            </w:r>
          </w:p>
        </w:tc>
      </w:tr>
    </w:tbl>
    <w:p>
      <w:pPr>
        <w:spacing w:after="20"/>
      </w:pPr>
    </w:p>
    <w:p>
      <w:r>
        <w:t>任务分为数据修复、结构治理和机制治理三层，并考虑依赖关系。结构治理不能替代历史脏数据修复，数据修复也不能替代产生机制治理。</w:t>
      </w:r>
    </w:p>
    <w:p>
      <w:pPr>
        <w:pStyle w:val="Heading1"/>
      </w:pPr>
      <w:r>
        <w:t>10 稳健性、效度与治理复评</w:t>
      </w:r>
    </w:p>
    <w:p>
      <w:pPr>
        <w:pStyle w:val="Heading2"/>
      </w:pPr>
      <w:r>
        <w:t>10.1 对照与消融</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134"/>
            <w:vAlign w:val="center"/>
            <w:shd w:fill="365A7A"/>
          </w:tcPr>
          <w:p>
            <w:pPr>
              <w:spacing w:after="0"/>
            </w:pPr>
            <w:r/>
            <w:r>
              <w:rPr>
                <w:rFonts w:ascii="Noto Serif CJK SC" w:hAnsi="Noto Serif CJK SC" w:eastAsia="Noto Serif CJK SC"/>
                <w:b/>
                <w:color w:val="FFFFFF"/>
                <w:sz w:val="17"/>
              </w:rPr>
              <w:t>模型</w:t>
            </w:r>
          </w:p>
        </w:tc>
        <w:tc>
          <w:tcPr>
            <w:tcW w:type="dxa" w:w="4195"/>
            <w:vAlign w:val="center"/>
            <w:shd w:fill="365A7A"/>
          </w:tcPr>
          <w:p>
            <w:pPr>
              <w:spacing w:after="0"/>
            </w:pPr>
            <w:r/>
            <w:r>
              <w:rPr>
                <w:rFonts w:ascii="Noto Serif CJK SC" w:hAnsi="Noto Serif CJK SC" w:eastAsia="Noto Serif CJK SC"/>
                <w:b/>
                <w:color w:val="FFFFFF"/>
                <w:sz w:val="17"/>
              </w:rPr>
              <w:t>内容</w:t>
            </w:r>
          </w:p>
        </w:tc>
        <w:tc>
          <w:tcPr>
            <w:tcW w:type="dxa" w:w="3969"/>
            <w:vAlign w:val="center"/>
            <w:shd w:fill="365A7A"/>
          </w:tcPr>
          <w:p>
            <w:pPr>
              <w:spacing w:after="0"/>
            </w:pPr>
            <w:r/>
            <w:r>
              <w:rPr>
                <w:rFonts w:ascii="Noto Serif CJK SC" w:hAnsi="Noto Serif CJK SC" w:eastAsia="Noto Serif CJK SC"/>
                <w:b/>
                <w:color w:val="FFFFFF"/>
                <w:sz w:val="17"/>
              </w:rPr>
              <w:t>用于回答</w:t>
            </w:r>
          </w:p>
        </w:tc>
      </w:tr>
      <w:tr>
        <w:trPr>
          <w:cantSplit/>
        </w:trPr>
        <w:tc>
          <w:tcPr>
            <w:tcW w:type="dxa" w:w="1134"/>
            <w:vAlign w:val="center"/>
          </w:tcPr>
          <w:p>
            <w:pPr>
              <w:spacing w:after="0"/>
            </w:pPr>
            <w:r/>
            <w:r>
              <w:rPr>
                <w:rFonts w:ascii="Noto Serif CJK SC" w:hAnsi="Noto Serif CJK SC" w:eastAsia="Noto Serif CJK SC"/>
                <w:b w:val="0"/>
                <w:color w:val="222222"/>
                <w:sz w:val="17"/>
              </w:rPr>
              <w:t>M1</w:t>
            </w:r>
          </w:p>
        </w:tc>
        <w:tc>
          <w:tcPr>
            <w:tcW w:type="dxa" w:w="4195"/>
            <w:vAlign w:val="center"/>
          </w:tcPr>
          <w:p>
            <w:pPr>
              <w:spacing w:after="0"/>
            </w:pPr>
            <w:r/>
            <w:r>
              <w:rPr>
                <w:rFonts w:ascii="Noto Serif CJK SC" w:hAnsi="Noto Serif CJK SC" w:eastAsia="Noto Serif CJK SC"/>
                <w:b w:val="0"/>
                <w:color w:val="222222"/>
                <w:sz w:val="17"/>
              </w:rPr>
              <w:t>仅传统数据质量加权</w:t>
            </w:r>
          </w:p>
        </w:tc>
        <w:tc>
          <w:tcPr>
            <w:tcW w:type="dxa" w:w="3969"/>
            <w:vAlign w:val="center"/>
          </w:tcPr>
          <w:p>
            <w:pPr>
              <w:spacing w:after="0"/>
            </w:pPr>
            <w:r/>
            <w:r>
              <w:rPr>
                <w:rFonts w:ascii="Noto Serif CJK SC" w:hAnsi="Noto Serif CJK SC" w:eastAsia="Noto Serif CJK SC"/>
                <w:b w:val="0"/>
                <w:color w:val="222222"/>
                <w:sz w:val="17"/>
              </w:rPr>
              <w:t>双域是否必要</w:t>
            </w:r>
          </w:p>
        </w:tc>
      </w:tr>
      <w:tr>
        <w:trPr>
          <w:cantSplit/>
        </w:trPr>
        <w:tc>
          <w:tcPr>
            <w:tcW w:type="dxa" w:w="1134"/>
            <w:vAlign w:val="center"/>
            <w:shd w:fill="F3F6F8"/>
          </w:tcPr>
          <w:p>
            <w:pPr>
              <w:spacing w:after="0"/>
            </w:pPr>
            <w:r/>
            <w:r>
              <w:rPr>
                <w:rFonts w:ascii="Noto Serif CJK SC" w:hAnsi="Noto Serif CJK SC" w:eastAsia="Noto Serif CJK SC"/>
                <w:b w:val="0"/>
                <w:color w:val="222222"/>
                <w:sz w:val="17"/>
              </w:rPr>
              <w:t>M2</w:t>
            </w:r>
          </w:p>
        </w:tc>
        <w:tc>
          <w:tcPr>
            <w:tcW w:type="dxa" w:w="4195"/>
            <w:vAlign w:val="center"/>
            <w:shd w:fill="F3F6F8"/>
          </w:tcPr>
          <w:p>
            <w:pPr>
              <w:spacing w:after="0"/>
            </w:pPr>
            <w:r/>
            <w:r>
              <w:rPr>
                <w:rFonts w:ascii="Noto Serif CJK SC" w:hAnsi="Noto Serif CJK SC" w:eastAsia="Noto Serif CJK SC"/>
                <w:b w:val="0"/>
                <w:color w:val="222222"/>
                <w:sz w:val="17"/>
              </w:rPr>
              <w:t>Q+S但无耦合</w:t>
            </w:r>
          </w:p>
        </w:tc>
        <w:tc>
          <w:tcPr>
            <w:tcW w:type="dxa" w:w="3969"/>
            <w:vAlign w:val="center"/>
            <w:shd w:fill="F3F6F8"/>
          </w:tcPr>
          <w:p>
            <w:pPr>
              <w:spacing w:after="0"/>
            </w:pPr>
            <w:r/>
            <w:r>
              <w:rPr>
                <w:rFonts w:ascii="Noto Serif CJK SC" w:hAnsi="Noto Serif CJK SC" w:eastAsia="Noto Serif CJK SC"/>
                <w:b w:val="0"/>
                <w:color w:val="222222"/>
                <w:sz w:val="17"/>
              </w:rPr>
              <w:t>根因诊断是否增益</w:t>
            </w:r>
          </w:p>
        </w:tc>
      </w:tr>
      <w:tr>
        <w:trPr>
          <w:cantSplit/>
        </w:trPr>
        <w:tc>
          <w:tcPr>
            <w:tcW w:type="dxa" w:w="1134"/>
            <w:vAlign w:val="center"/>
          </w:tcPr>
          <w:p>
            <w:pPr>
              <w:spacing w:after="0"/>
            </w:pPr>
            <w:r/>
            <w:r>
              <w:rPr>
                <w:rFonts w:ascii="Noto Serif CJK SC" w:hAnsi="Noto Serif CJK SC" w:eastAsia="Noto Serif CJK SC"/>
                <w:b w:val="0"/>
                <w:color w:val="222222"/>
                <w:sz w:val="17"/>
              </w:rPr>
              <w:t>M3</w:t>
            </w:r>
          </w:p>
        </w:tc>
        <w:tc>
          <w:tcPr>
            <w:tcW w:type="dxa" w:w="4195"/>
            <w:vAlign w:val="center"/>
          </w:tcPr>
          <w:p>
            <w:pPr>
              <w:spacing w:after="0"/>
            </w:pPr>
            <w:r/>
            <w:r>
              <w:rPr>
                <w:rFonts w:ascii="Noto Serif CJK SC" w:hAnsi="Noto Serif CJK SC" w:eastAsia="Noto Serif CJK SC"/>
                <w:b w:val="0"/>
                <w:color w:val="222222"/>
                <w:sz w:val="17"/>
              </w:rPr>
              <w:t>双域+耦合但无可靠性/未知度</w:t>
            </w:r>
          </w:p>
        </w:tc>
        <w:tc>
          <w:tcPr>
            <w:tcW w:type="dxa" w:w="3969"/>
            <w:vAlign w:val="center"/>
          </w:tcPr>
          <w:p>
            <w:pPr>
              <w:spacing w:after="0"/>
            </w:pPr>
            <w:r/>
            <w:r>
              <w:rPr>
                <w:rFonts w:ascii="Noto Serif CJK SC" w:hAnsi="Noto Serif CJK SC" w:eastAsia="Noto Serif CJK SC"/>
                <w:b w:val="0"/>
                <w:color w:val="222222"/>
                <w:sz w:val="17"/>
              </w:rPr>
              <w:t>证据机制是否增益</w:t>
            </w:r>
          </w:p>
        </w:tc>
      </w:tr>
      <w:tr>
        <w:trPr>
          <w:cantSplit/>
        </w:trPr>
        <w:tc>
          <w:tcPr>
            <w:tcW w:type="dxa" w:w="1134"/>
            <w:vAlign w:val="center"/>
            <w:shd w:fill="F3F6F8"/>
          </w:tcPr>
          <w:p>
            <w:pPr>
              <w:spacing w:after="0"/>
            </w:pPr>
            <w:r/>
            <w:r>
              <w:rPr>
                <w:rFonts w:ascii="Noto Serif CJK SC" w:hAnsi="Noto Serif CJK SC" w:eastAsia="Noto Serif CJK SC"/>
                <w:b w:val="0"/>
                <w:color w:val="222222"/>
                <w:sz w:val="17"/>
              </w:rPr>
              <w:t>M4</w:t>
            </w:r>
          </w:p>
        </w:tc>
        <w:tc>
          <w:tcPr>
            <w:tcW w:type="dxa" w:w="4195"/>
            <w:vAlign w:val="center"/>
            <w:shd w:fill="F3F6F8"/>
          </w:tcPr>
          <w:p>
            <w:pPr>
              <w:spacing w:after="0"/>
            </w:pPr>
            <w:r>
              <w:t>完整EDQSG-U1.2</w:t>
            </w:r>
          </w:p>
        </w:tc>
        <w:tc>
          <w:tcPr>
            <w:tcW w:type="dxa" w:w="3969"/>
            <w:vAlign w:val="center"/>
            <w:shd w:fill="F3F6F8"/>
          </w:tcPr>
          <w:p>
            <w:pPr>
              <w:spacing w:after="0"/>
            </w:pPr>
            <w:r/>
            <w:r>
              <w:rPr>
                <w:rFonts w:ascii="Noto Serif CJK SC" w:hAnsi="Noto Serif CJK SC" w:eastAsia="Noto Serif CJK SC"/>
                <w:b w:val="0"/>
                <w:color w:val="222222"/>
                <w:sz w:val="17"/>
              </w:rPr>
              <w:t>综合模型</w:t>
            </w:r>
          </w:p>
        </w:tc>
      </w:tr>
      <w:tr>
        <w:trPr>
          <w:cantSplit/>
        </w:trPr>
        <w:tc>
          <w:tcPr>
            <w:tcW w:type="dxa" w:w="1134"/>
            <w:vAlign w:val="center"/>
          </w:tcPr>
          <w:p>
            <w:pPr>
              <w:spacing w:after="0"/>
            </w:pPr>
            <w:r/>
            <w:r>
              <w:rPr>
                <w:rFonts w:ascii="Noto Serif CJK SC" w:hAnsi="Noto Serif CJK SC" w:eastAsia="Noto Serif CJK SC"/>
                <w:b w:val="0"/>
                <w:color w:val="222222"/>
                <w:sz w:val="17"/>
              </w:rPr>
              <w:t>M5</w:t>
            </w:r>
          </w:p>
        </w:tc>
        <w:tc>
          <w:tcPr>
            <w:tcW w:type="dxa" w:w="4195"/>
            <w:vAlign w:val="center"/>
          </w:tcPr>
          <w:p>
            <w:pPr>
              <w:spacing w:after="0"/>
            </w:pPr>
            <w:r/>
            <w:r>
              <w:rPr>
                <w:rFonts w:ascii="Noto Serif CJK SC" w:hAnsi="Noto Serif CJK SC" w:eastAsia="Noto Serif CJK SC"/>
                <w:b w:val="0"/>
                <w:color w:val="222222"/>
                <w:sz w:val="17"/>
              </w:rPr>
              <w:t>专家人工审查</w:t>
            </w:r>
          </w:p>
        </w:tc>
        <w:tc>
          <w:tcPr>
            <w:tcW w:type="dxa" w:w="3969"/>
            <w:vAlign w:val="center"/>
          </w:tcPr>
          <w:p>
            <w:pPr>
              <w:spacing w:after="0"/>
            </w:pPr>
            <w:r/>
            <w:r>
              <w:rPr>
                <w:rFonts w:ascii="Noto Serif CJK SC" w:hAnsi="Noto Serif CJK SC" w:eastAsia="Noto Serif CJK SC"/>
                <w:b w:val="0"/>
                <w:color w:val="222222"/>
                <w:sz w:val="17"/>
              </w:rPr>
              <w:t>外部参照</w:t>
            </w:r>
          </w:p>
        </w:tc>
      </w:tr>
    </w:tbl>
    <w:p>
      <w:pPr>
        <w:spacing w:after="20"/>
      </w:pPr>
    </w:p>
    <w:p>
      <w:pPr>
        <w:pStyle w:val="Heading2"/>
      </w:pPr>
      <w:r>
        <w:t>10.2 单因素确定性敏感性（U1.2保留并扩展）</w:t>
      </w:r>
    </w:p>
    <w:p>
      <w:r>
        <w:t>对DQ/SG权重、域权重α、各指标证据可靠性、耦合强度/可信度、底线参数和冗余参数逐项进行0.8、0.9、1.1、1.2倍扰动。输出分数变化、等级反转、根因前K名重合度和治理任务前K名重合度。该分析用于定位最敏感参数。</w:t>
      </w:r>
    </w:p>
    <w:p>
      <w:pPr>
        <w:pStyle w:val="Heading2"/>
      </w:pPr>
      <w:r>
        <w:t>10.3 蒙特卡洛稳健性</w:t>
      </w:r>
    </w:p>
    <w:p>
      <w:r>
        <w:t>在给定分布或范围内同步扰动参数，报告分数均值、标准差、5%/50%/95%分位数、等级反转率、首要根因/任务/冗余反转率和出现概率。确定性敏感性负责解释“谁敏感”，蒙特卡洛负责评价“整体不确定性”。</w:t>
      </w:r>
    </w:p>
    <w:p>
      <w:pPr>
        <w:pStyle w:val="Heading2"/>
      </w:pPr>
      <w:r>
        <w:t>10.4 外部效度与治理复评</w:t>
      </w:r>
    </w:p>
    <w:p>
      <w:pPr>
        <w:pStyle w:val="ListBullet"/>
        <w:spacing w:after="40"/>
      </w:pPr>
      <w:r>
        <w:t>问题识别：单元格、记录、表和结构缺陷的Precision、Recall、F1。</w:t>
      </w:r>
    </w:p>
    <w:p>
      <w:pPr>
        <w:pStyle w:val="ListBullet"/>
        <w:spacing w:after="40"/>
      </w:pPr>
      <w:r>
        <w:t>排序效度：与注入严重度、专家评分的Spearman/Kendall相关。</w:t>
      </w:r>
    </w:p>
    <w:p>
      <w:pPr>
        <w:pStyle w:val="ListBullet"/>
        <w:spacing w:after="40"/>
      </w:pPr>
      <w:r>
        <w:t>业务效标：接口成功率、字段映射率、人工补录率、标准代码转换率、业务链追溯率。</w:t>
      </w:r>
    </w:p>
    <w:p>
      <w:pPr>
        <w:pStyle w:val="ListBullet"/>
        <w:spacing w:after="40"/>
      </w:pPr>
      <w:r>
        <w:t>治理复评：治理后重新采集证据，不允许按固定比例直接提升Q/S。</w:t>
      </w:r>
    </w:p>
    <w:p>
      <w:pPr>
        <w:pStyle w:val="ListBullet"/>
        <w:spacing w:after="40"/>
      </w:pPr>
      <w:r>
        <w:t>耦合验证：治理高RC结构问题后，相关Q指标应显著改善，非相关指标不应无差别上升。</w:t>
      </w:r>
    </w:p>
    <w:p>
      <w:pPr>
        <w:pStyle w:val="Heading1"/>
      </w:pPr>
      <w:r>
        <w:t>11 AeroMRO-EDQSG验证数据库设计</w:t>
      </w:r>
    </w:p>
    <w:p>
      <w:pPr>
        <w:pStyle w:val="Heading2"/>
      </w:pPr>
      <w:r>
        <w:t>11.1 设计目标</w:t>
      </w:r>
    </w:p>
    <w:p>
      <w:r>
        <w:t>AeroMRO-EDQSG是面向航空器材采购、接收、检验、库存、装机、寿命控制、送修与报废的合成SQL Server基准。它不是航空运营生产数据，而是为EDQSG的Q、S、证据、耦合、底线、治理和复评提供可重复真值。</w:t>
      </w:r>
    </w:p>
    <w:p>
      <w:pPr>
        <w:pStyle w:val="Heading2"/>
      </w:pPr>
      <w:r>
        <w:t>11.2 业务域与核心表</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701"/>
            <w:vAlign w:val="center"/>
            <w:shd w:fill="365A7A"/>
          </w:tcPr>
          <w:p>
            <w:pPr>
              <w:spacing w:after="0"/>
            </w:pPr>
            <w:r/>
            <w:r>
              <w:rPr>
                <w:rFonts w:ascii="Noto Serif CJK SC" w:hAnsi="Noto Serif CJK SC" w:eastAsia="Noto Serif CJK SC"/>
                <w:b/>
                <w:color w:val="FFFFFF"/>
                <w:sz w:val="16"/>
              </w:rPr>
              <w:t>业务域</w:t>
            </w:r>
          </w:p>
        </w:tc>
        <w:tc>
          <w:tcPr>
            <w:tcW w:type="dxa" w:w="4535"/>
            <w:vAlign w:val="center"/>
            <w:shd w:fill="365A7A"/>
          </w:tcPr>
          <w:p>
            <w:pPr>
              <w:spacing w:after="0"/>
            </w:pPr>
            <w:r/>
            <w:r>
              <w:rPr>
                <w:rFonts w:ascii="Noto Serif CJK SC" w:hAnsi="Noto Serif CJK SC" w:eastAsia="Noto Serif CJK SC"/>
                <w:b/>
                <w:color w:val="FFFFFF"/>
                <w:sz w:val="16"/>
              </w:rPr>
              <w:t>核心表</w:t>
            </w:r>
          </w:p>
        </w:tc>
        <w:tc>
          <w:tcPr>
            <w:tcW w:type="dxa" w:w="3118"/>
            <w:vAlign w:val="center"/>
            <w:shd w:fill="365A7A"/>
          </w:tcPr>
          <w:p>
            <w:pPr>
              <w:spacing w:after="0"/>
            </w:pPr>
            <w:r/>
            <w:r>
              <w:rPr>
                <w:rFonts w:ascii="Noto Serif CJK SC" w:hAnsi="Noto Serif CJK SC" w:eastAsia="Noto Serif CJK SC"/>
                <w:b/>
                <w:color w:val="FFFFFF"/>
                <w:sz w:val="16"/>
              </w:rPr>
              <w:t>关键关系/质量点</w:t>
            </w:r>
          </w:p>
        </w:tc>
      </w:tr>
      <w:tr>
        <w:trPr>
          <w:cantSplit/>
        </w:trPr>
        <w:tc>
          <w:tcPr>
            <w:tcW w:type="dxa" w:w="1701"/>
            <w:vAlign w:val="center"/>
          </w:tcPr>
          <w:p>
            <w:pPr>
              <w:spacing w:after="0"/>
            </w:pPr>
            <w:r/>
            <w:r>
              <w:rPr>
                <w:rFonts w:ascii="Noto Serif CJK SC" w:hAnsi="Noto Serif CJK SC" w:eastAsia="Noto Serif CJK SC"/>
                <w:b w:val="0"/>
                <w:color w:val="222222"/>
                <w:sz w:val="16"/>
              </w:rPr>
              <w:t>基础主数据</w:t>
            </w:r>
          </w:p>
        </w:tc>
        <w:tc>
          <w:tcPr>
            <w:tcW w:type="dxa" w:w="4535"/>
            <w:vAlign w:val="center"/>
          </w:tcPr>
          <w:p>
            <w:pPr>
              <w:spacing w:after="0"/>
            </w:pPr>
            <w:r/>
            <w:r>
              <w:rPr>
                <w:rFonts w:ascii="Noto Serif CJK SC" w:hAnsi="Noto Serif CJK SC" w:eastAsia="Noto Serif CJK SC"/>
                <w:b w:val="0"/>
                <w:color w:val="222222"/>
                <w:sz w:val="16"/>
              </w:rPr>
              <w:t>manufacturer、ata_chapter、aircraft_type、aircraft、supplier、part_master</w:t>
            </w:r>
          </w:p>
        </w:tc>
        <w:tc>
          <w:tcPr>
            <w:tcW w:type="dxa" w:w="3118"/>
            <w:vAlign w:val="center"/>
          </w:tcPr>
          <w:p>
            <w:pPr>
              <w:spacing w:after="0"/>
            </w:pPr>
            <w:r/>
            <w:r>
              <w:rPr>
                <w:rFonts w:ascii="Noto Serif CJK SC" w:hAnsi="Noto Serif CJK SC" w:eastAsia="Noto Serif CJK SC"/>
                <w:b w:val="0"/>
                <w:color w:val="222222"/>
                <w:sz w:val="16"/>
              </w:rPr>
              <w:t>件号、ATA、机型、供应商权威源</w:t>
            </w:r>
          </w:p>
        </w:tc>
      </w:tr>
      <w:tr>
        <w:trPr>
          <w:cantSplit/>
        </w:trPr>
        <w:tc>
          <w:tcPr>
            <w:tcW w:type="dxa" w:w="1701"/>
            <w:vAlign w:val="center"/>
            <w:shd w:fill="F3F6F8"/>
          </w:tcPr>
          <w:p>
            <w:pPr>
              <w:spacing w:after="0"/>
            </w:pPr>
            <w:r/>
            <w:r>
              <w:rPr>
                <w:rFonts w:ascii="Noto Serif CJK SC" w:hAnsi="Noto Serif CJK SC" w:eastAsia="Noto Serif CJK SC"/>
                <w:b w:val="0"/>
                <w:color w:val="222222"/>
                <w:sz w:val="16"/>
              </w:rPr>
              <w:t>适用与替代</w:t>
            </w:r>
          </w:p>
        </w:tc>
        <w:tc>
          <w:tcPr>
            <w:tcW w:type="dxa" w:w="4535"/>
            <w:vAlign w:val="center"/>
            <w:shd w:fill="F3F6F8"/>
          </w:tcPr>
          <w:p>
            <w:pPr>
              <w:spacing w:after="0"/>
            </w:pPr>
            <w:r/>
            <w:r>
              <w:rPr>
                <w:rFonts w:ascii="Noto Serif CJK SC" w:hAnsi="Noto Serif CJK SC" w:eastAsia="Noto Serif CJK SC"/>
                <w:b w:val="0"/>
                <w:color w:val="222222"/>
                <w:sz w:val="16"/>
              </w:rPr>
              <w:t>part_applicability、part_alternative</w:t>
            </w:r>
          </w:p>
        </w:tc>
        <w:tc>
          <w:tcPr>
            <w:tcW w:type="dxa" w:w="3118"/>
            <w:vAlign w:val="center"/>
            <w:shd w:fill="F3F6F8"/>
          </w:tcPr>
          <w:p>
            <w:pPr>
              <w:spacing w:after="0"/>
            </w:pPr>
            <w:r/>
            <w:r>
              <w:rPr>
                <w:rFonts w:ascii="Noto Serif CJK SC" w:hAnsi="Noto Serif CJK SC" w:eastAsia="Noto Serif CJK SC"/>
                <w:b w:val="0"/>
                <w:color w:val="222222"/>
                <w:sz w:val="16"/>
              </w:rPr>
              <w:t>适用机型、替代链、有效期</w:t>
            </w:r>
          </w:p>
        </w:tc>
      </w:tr>
      <w:tr>
        <w:trPr>
          <w:cantSplit/>
        </w:trPr>
        <w:tc>
          <w:tcPr>
            <w:tcW w:type="dxa" w:w="1701"/>
            <w:vAlign w:val="center"/>
          </w:tcPr>
          <w:p>
            <w:pPr>
              <w:spacing w:after="0"/>
            </w:pPr>
            <w:r/>
            <w:r>
              <w:rPr>
                <w:rFonts w:ascii="Noto Serif CJK SC" w:hAnsi="Noto Serif CJK SC" w:eastAsia="Noto Serif CJK SC"/>
                <w:b w:val="0"/>
                <w:color w:val="222222"/>
                <w:sz w:val="16"/>
              </w:rPr>
              <w:t>库存</w:t>
            </w:r>
          </w:p>
        </w:tc>
        <w:tc>
          <w:tcPr>
            <w:tcW w:type="dxa" w:w="4535"/>
            <w:vAlign w:val="center"/>
          </w:tcPr>
          <w:p>
            <w:pPr>
              <w:spacing w:after="0"/>
            </w:pPr>
            <w:r/>
            <w:r>
              <w:rPr>
                <w:rFonts w:ascii="Noto Serif CJK SC" w:hAnsi="Noto Serif CJK SC" w:eastAsia="Noto Serif CJK SC"/>
                <w:b w:val="0"/>
                <w:color w:val="222222"/>
                <w:sz w:val="16"/>
              </w:rPr>
              <w:t>warehouse、storage_location、part_instance、inventory_balance、inventory_transaction</w:t>
            </w:r>
          </w:p>
        </w:tc>
        <w:tc>
          <w:tcPr>
            <w:tcW w:type="dxa" w:w="3118"/>
            <w:vAlign w:val="center"/>
          </w:tcPr>
          <w:p>
            <w:pPr>
              <w:spacing w:after="0"/>
            </w:pPr>
            <w:r/>
            <w:r>
              <w:rPr>
                <w:rFonts w:ascii="Noto Serif CJK SC" w:hAnsi="Noto Serif CJK SC" w:eastAsia="Noto Serif CJK SC"/>
                <w:b w:val="0"/>
                <w:color w:val="222222"/>
                <w:sz w:val="16"/>
              </w:rPr>
              <w:t>序列/批次、库位、余额、事务追溯</w:t>
            </w:r>
          </w:p>
        </w:tc>
      </w:tr>
      <w:tr>
        <w:trPr>
          <w:cantSplit/>
        </w:trPr>
        <w:tc>
          <w:tcPr>
            <w:tcW w:type="dxa" w:w="1701"/>
            <w:vAlign w:val="center"/>
            <w:shd w:fill="F3F6F8"/>
          </w:tcPr>
          <w:p>
            <w:pPr>
              <w:spacing w:after="0"/>
            </w:pPr>
            <w:r/>
            <w:r>
              <w:rPr>
                <w:rFonts w:ascii="Noto Serif CJK SC" w:hAnsi="Noto Serif CJK SC" w:eastAsia="Noto Serif CJK SC"/>
                <w:b w:val="0"/>
                <w:color w:val="222222"/>
                <w:sz w:val="16"/>
              </w:rPr>
              <w:t>采购接收</w:t>
            </w:r>
          </w:p>
        </w:tc>
        <w:tc>
          <w:tcPr>
            <w:tcW w:type="dxa" w:w="4535"/>
            <w:vAlign w:val="center"/>
            <w:shd w:fill="F3F6F8"/>
          </w:tcPr>
          <w:p>
            <w:pPr>
              <w:spacing w:after="0"/>
            </w:pPr>
            <w:r/>
            <w:r>
              <w:rPr>
                <w:rFonts w:ascii="Noto Serif CJK SC" w:hAnsi="Noto Serif CJK SC" w:eastAsia="Noto Serif CJK SC"/>
                <w:b w:val="0"/>
                <w:color w:val="222222"/>
                <w:sz w:val="16"/>
              </w:rPr>
              <w:t>purchase_order、purchase_order_line、receipt、receipt_line、certificate_document、inspection_record</w:t>
            </w:r>
          </w:p>
        </w:tc>
        <w:tc>
          <w:tcPr>
            <w:tcW w:type="dxa" w:w="3118"/>
            <w:vAlign w:val="center"/>
            <w:shd w:fill="F3F6F8"/>
          </w:tcPr>
          <w:p>
            <w:pPr>
              <w:spacing w:after="0"/>
            </w:pPr>
            <w:r/>
            <w:r>
              <w:rPr>
                <w:rFonts w:ascii="Noto Serif CJK SC" w:hAnsi="Noto Serif CJK SC" w:eastAsia="Noto Serif CJK SC"/>
                <w:b w:val="0"/>
                <w:color w:val="222222"/>
                <w:sz w:val="16"/>
              </w:rPr>
              <w:t>采购—收货—证书—检验链</w:t>
            </w:r>
          </w:p>
        </w:tc>
      </w:tr>
      <w:tr>
        <w:trPr>
          <w:cantSplit/>
        </w:trPr>
        <w:tc>
          <w:tcPr>
            <w:tcW w:type="dxa" w:w="1701"/>
            <w:vAlign w:val="center"/>
          </w:tcPr>
          <w:p>
            <w:pPr>
              <w:spacing w:after="0"/>
            </w:pPr>
            <w:r/>
            <w:r>
              <w:rPr>
                <w:rFonts w:ascii="Noto Serif CJK SC" w:hAnsi="Noto Serif CJK SC" w:eastAsia="Noto Serif CJK SC"/>
                <w:b w:val="0"/>
                <w:color w:val="222222"/>
                <w:sz w:val="16"/>
              </w:rPr>
              <w:t>维修装机</w:t>
            </w:r>
          </w:p>
        </w:tc>
        <w:tc>
          <w:tcPr>
            <w:tcW w:type="dxa" w:w="4535"/>
            <w:vAlign w:val="center"/>
          </w:tcPr>
          <w:p>
            <w:pPr>
              <w:spacing w:after="0"/>
            </w:pPr>
            <w:r/>
            <w:r>
              <w:rPr>
                <w:rFonts w:ascii="Noto Serif CJK SC" w:hAnsi="Noto Serif CJK SC" w:eastAsia="Noto Serif CJK SC"/>
                <w:b w:val="0"/>
                <w:color w:val="222222"/>
                <w:sz w:val="16"/>
              </w:rPr>
              <w:t>maintenance_work_order、install_remove_event、usage_snapshot、life_limit_control、repair_order、scrap_record</w:t>
            </w:r>
          </w:p>
        </w:tc>
        <w:tc>
          <w:tcPr>
            <w:tcW w:type="dxa" w:w="3118"/>
            <w:vAlign w:val="center"/>
          </w:tcPr>
          <w:p>
            <w:pPr>
              <w:spacing w:after="0"/>
            </w:pPr>
            <w:r/>
            <w:r>
              <w:rPr>
                <w:rFonts w:ascii="Noto Serif CJK SC" w:hAnsi="Noto Serif CJK SC" w:eastAsia="Noto Serif CJK SC"/>
                <w:b w:val="0"/>
                <w:color w:val="222222"/>
                <w:sz w:val="16"/>
              </w:rPr>
              <w:t>装拆时序、寿命、修理和报废</w:t>
            </w:r>
          </w:p>
        </w:tc>
      </w:tr>
      <w:tr>
        <w:trPr>
          <w:cantSplit/>
        </w:trPr>
        <w:tc>
          <w:tcPr>
            <w:tcW w:type="dxa" w:w="1701"/>
            <w:vAlign w:val="center"/>
            <w:shd w:fill="F3F6F8"/>
          </w:tcPr>
          <w:p>
            <w:pPr>
              <w:spacing w:after="0"/>
            </w:pPr>
            <w:r/>
            <w:r>
              <w:rPr>
                <w:rFonts w:ascii="Noto Serif CJK SC" w:hAnsi="Noto Serif CJK SC" w:eastAsia="Noto Serif CJK SC"/>
                <w:b w:val="0"/>
                <w:color w:val="222222"/>
                <w:sz w:val="16"/>
              </w:rPr>
              <w:t>实验管理</w:t>
            </w:r>
          </w:p>
        </w:tc>
        <w:tc>
          <w:tcPr>
            <w:tcW w:type="dxa" w:w="4535"/>
            <w:vAlign w:val="center"/>
            <w:shd w:fill="F3F6F8"/>
          </w:tcPr>
          <w:p>
            <w:pPr>
              <w:spacing w:after="0"/>
            </w:pPr>
            <w:r/>
            <w:r>
              <w:rPr>
                <w:rFonts w:ascii="Noto Serif CJK SC" w:hAnsi="Noto Serif CJK SC" w:eastAsia="Noto Serif CJK SC"/>
                <w:b w:val="0"/>
                <w:color w:val="222222"/>
                <w:sz w:val="16"/>
              </w:rPr>
              <w:t>dq.quality_rule、quality_run、quality_issue、benchmark_defect_label</w:t>
            </w:r>
          </w:p>
        </w:tc>
        <w:tc>
          <w:tcPr>
            <w:tcW w:type="dxa" w:w="3118"/>
            <w:vAlign w:val="center"/>
            <w:shd w:fill="F3F6F8"/>
          </w:tcPr>
          <w:p>
            <w:pPr>
              <w:spacing w:after="0"/>
            </w:pPr>
            <w:r/>
            <w:r>
              <w:rPr>
                <w:rFonts w:ascii="Noto Serif CJK SC" w:hAnsi="Noto Serif CJK SC" w:eastAsia="Noto Serif CJK SC"/>
                <w:b w:val="0"/>
                <w:color w:val="222222"/>
                <w:sz w:val="16"/>
              </w:rPr>
              <w:t>规则、运行、问题和真值标签</w:t>
            </w:r>
          </w:p>
        </w:tc>
      </w:tr>
    </w:tbl>
    <w:p>
      <w:pPr>
        <w:spacing w:after="20"/>
      </w:pPr>
    </w:p>
    <w:p>
      <w:pPr>
        <w:pStyle w:val="Heading2"/>
      </w:pPr>
      <w:r>
        <w:t>11.3 干净基线结构原则</w:t>
      </w:r>
    </w:p>
    <w:p>
      <w:pPr>
        <w:pStyle w:val="ListBullet"/>
        <w:spacing w:after="40"/>
      </w:pPr>
      <w:r>
        <w:t>主键、业务唯一索引、外键、CHECK约束和必要索引齐全；关键关系同时在逻辑关系配置中保留。</w:t>
      </w:r>
    </w:p>
    <w:p>
      <w:pPr>
        <w:pStyle w:val="ListBullet"/>
        <w:spacing w:after="40"/>
      </w:pPr>
      <w:r>
        <w:t>序列化件一件一实例；批次件通过批次号和数量管理；已安装、可用、隔离、送修、报废状态有明确域。</w:t>
      </w:r>
    </w:p>
    <w:p>
      <w:pPr>
        <w:pStyle w:val="ListBullet"/>
        <w:spacing w:after="40"/>
      </w:pPr>
      <w:r>
        <w:t>库存余额保存当前状态，库存事务保存完整变动历史；事务保存件号/名称快照用于历史可读性，但必须受主数据一致性规则监控。</w:t>
      </w:r>
    </w:p>
    <w:p>
      <w:pPr>
        <w:pStyle w:val="ListBullet"/>
        <w:spacing w:after="40"/>
      </w:pPr>
      <w:r>
        <w:t>关键表包含创建、修改、责任人和rowversion等审计/并发字段；互操作字段使用明确代码。</w:t>
      </w:r>
    </w:p>
    <w:p>
      <w:pPr>
        <w:pStyle w:val="ListBullet"/>
        <w:spacing w:after="40"/>
      </w:pPr>
      <w:r>
        <w:t>数据生成使用固定随机种子，small/medium/large三档可重复生成。</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rPr>
        <w:tc>
          <w:tcPr>
            <w:tcW w:type="dxa" w:w="1417"/>
            <w:vAlign w:val="center"/>
            <w:shd w:fill="365A7A"/>
          </w:tcPr>
          <w:p>
            <w:pPr>
              <w:spacing w:after="0"/>
            </w:pPr>
            <w:r/>
            <w:r>
              <w:rPr>
                <w:rFonts w:ascii="Noto Serif CJK SC" w:hAnsi="Noto Serif CJK SC" w:eastAsia="Noto Serif CJK SC"/>
                <w:b/>
                <w:color w:val="FFFFFF"/>
                <w:sz w:val="18"/>
              </w:rPr>
              <w:t>规模</w:t>
            </w:r>
          </w:p>
        </w:tc>
        <w:tc>
          <w:tcPr>
            <w:tcW w:type="dxa" w:w="1928"/>
            <w:vAlign w:val="center"/>
            <w:shd w:fill="365A7A"/>
          </w:tcPr>
          <w:p>
            <w:pPr>
              <w:spacing w:after="0"/>
            </w:pPr>
            <w:r/>
            <w:r>
              <w:rPr>
                <w:rFonts w:ascii="Noto Serif CJK SC" w:hAnsi="Noto Serif CJK SC" w:eastAsia="Noto Serif CJK SC"/>
                <w:b/>
                <w:color w:val="FFFFFF"/>
                <w:sz w:val="18"/>
              </w:rPr>
              <w:t>器材主数据</w:t>
            </w:r>
          </w:p>
        </w:tc>
        <w:tc>
          <w:tcPr>
            <w:tcW w:type="dxa" w:w="1928"/>
            <w:vAlign w:val="center"/>
            <w:shd w:fill="365A7A"/>
          </w:tcPr>
          <w:p>
            <w:pPr>
              <w:spacing w:after="0"/>
            </w:pPr>
            <w:r/>
            <w:r>
              <w:rPr>
                <w:rFonts w:ascii="Noto Serif CJK SC" w:hAnsi="Noto Serif CJK SC" w:eastAsia="Noto Serif CJK SC"/>
                <w:b/>
                <w:color w:val="FFFFFF"/>
                <w:sz w:val="18"/>
              </w:rPr>
              <w:t>器材实例</w:t>
            </w:r>
          </w:p>
        </w:tc>
        <w:tc>
          <w:tcPr>
            <w:tcW w:type="dxa" w:w="1701"/>
            <w:vAlign w:val="center"/>
            <w:shd w:fill="365A7A"/>
          </w:tcPr>
          <w:p>
            <w:pPr>
              <w:spacing w:after="0"/>
            </w:pPr>
            <w:r/>
            <w:r>
              <w:rPr>
                <w:rFonts w:ascii="Noto Serif CJK SC" w:hAnsi="Noto Serif CJK SC" w:eastAsia="Noto Serif CJK SC"/>
                <w:b/>
                <w:color w:val="FFFFFF"/>
                <w:sz w:val="18"/>
              </w:rPr>
              <w:t>采购单</w:t>
            </w:r>
          </w:p>
        </w:tc>
        <w:tc>
          <w:tcPr>
            <w:tcW w:type="dxa" w:w="2438"/>
            <w:vAlign w:val="center"/>
            <w:shd w:fill="365A7A"/>
          </w:tcPr>
          <w:p>
            <w:pPr>
              <w:spacing w:after="0"/>
            </w:pPr>
            <w:r/>
            <w:r>
              <w:rPr>
                <w:rFonts w:ascii="Noto Serif CJK SC" w:hAnsi="Noto Serif CJK SC" w:eastAsia="Noto Serif CJK SC"/>
                <w:b/>
                <w:color w:val="FFFFFF"/>
                <w:sz w:val="18"/>
              </w:rPr>
              <w:t>用途</w:t>
            </w:r>
          </w:p>
        </w:tc>
      </w:tr>
      <w:tr>
        <w:trPr>
          <w:cantSplit/>
        </w:trPr>
        <w:tc>
          <w:tcPr>
            <w:tcW w:type="dxa" w:w="1417"/>
            <w:vAlign w:val="center"/>
          </w:tcPr>
          <w:p>
            <w:pPr>
              <w:spacing w:after="0"/>
            </w:pPr>
            <w:r/>
            <w:r>
              <w:rPr>
                <w:rFonts w:ascii="Noto Serif CJK SC" w:hAnsi="Noto Serif CJK SC" w:eastAsia="Noto Serif CJK SC"/>
                <w:b w:val="0"/>
                <w:color w:val="222222"/>
                <w:sz w:val="18"/>
              </w:rPr>
              <w:t>small</w:t>
            </w:r>
          </w:p>
        </w:tc>
        <w:tc>
          <w:tcPr>
            <w:tcW w:type="dxa" w:w="1928"/>
            <w:vAlign w:val="center"/>
          </w:tcPr>
          <w:p>
            <w:pPr>
              <w:spacing w:after="0"/>
            </w:pPr>
            <w:r/>
            <w:r>
              <w:rPr>
                <w:rFonts w:ascii="Noto Serif CJK SC" w:hAnsi="Noto Serif CJK SC" w:eastAsia="Noto Serif CJK SC"/>
                <w:b w:val="0"/>
                <w:color w:val="222222"/>
                <w:sz w:val="18"/>
              </w:rPr>
              <w:t>80</w:t>
            </w:r>
          </w:p>
        </w:tc>
        <w:tc>
          <w:tcPr>
            <w:tcW w:type="dxa" w:w="1928"/>
            <w:vAlign w:val="center"/>
          </w:tcPr>
          <w:p>
            <w:pPr>
              <w:spacing w:after="0"/>
            </w:pPr>
            <w:r/>
            <w:r>
              <w:rPr>
                <w:rFonts w:ascii="Noto Serif CJK SC" w:hAnsi="Noto Serif CJK SC" w:eastAsia="Noto Serif CJK SC"/>
                <w:b w:val="0"/>
                <w:color w:val="222222"/>
                <w:sz w:val="18"/>
              </w:rPr>
              <w:t>300</w:t>
            </w:r>
          </w:p>
        </w:tc>
        <w:tc>
          <w:tcPr>
            <w:tcW w:type="dxa" w:w="1701"/>
            <w:vAlign w:val="center"/>
          </w:tcPr>
          <w:p>
            <w:pPr>
              <w:spacing w:after="0"/>
            </w:pPr>
            <w:r/>
            <w:r>
              <w:rPr>
                <w:rFonts w:ascii="Noto Serif CJK SC" w:hAnsi="Noto Serif CJK SC" w:eastAsia="Noto Serif CJK SC"/>
                <w:b w:val="0"/>
                <w:color w:val="222222"/>
                <w:sz w:val="18"/>
              </w:rPr>
              <w:t>30</w:t>
            </w:r>
          </w:p>
        </w:tc>
        <w:tc>
          <w:tcPr>
            <w:tcW w:type="dxa" w:w="2438"/>
            <w:vAlign w:val="center"/>
          </w:tcPr>
          <w:p>
            <w:pPr>
              <w:spacing w:after="0"/>
            </w:pPr>
            <w:r/>
            <w:r>
              <w:rPr>
                <w:rFonts w:ascii="Noto Serif CJK SC" w:hAnsi="Noto Serif CJK SC" w:eastAsia="Noto Serif CJK SC"/>
                <w:b w:val="0"/>
                <w:color w:val="222222"/>
                <w:sz w:val="18"/>
              </w:rPr>
              <w:t>调试、单元实验和演示</w:t>
            </w:r>
          </w:p>
        </w:tc>
      </w:tr>
      <w:tr>
        <w:trPr>
          <w:cantSplit/>
        </w:trPr>
        <w:tc>
          <w:tcPr>
            <w:tcW w:type="dxa" w:w="1417"/>
            <w:vAlign w:val="center"/>
            <w:shd w:fill="F3F6F8"/>
          </w:tcPr>
          <w:p>
            <w:pPr>
              <w:spacing w:after="0"/>
            </w:pPr>
            <w:r/>
            <w:r>
              <w:rPr>
                <w:rFonts w:ascii="Noto Serif CJK SC" w:hAnsi="Noto Serif CJK SC" w:eastAsia="Noto Serif CJK SC"/>
                <w:b w:val="0"/>
                <w:color w:val="222222"/>
                <w:sz w:val="18"/>
              </w:rPr>
              <w:t>medium</w:t>
            </w:r>
          </w:p>
        </w:tc>
        <w:tc>
          <w:tcPr>
            <w:tcW w:type="dxa" w:w="1928"/>
            <w:vAlign w:val="center"/>
            <w:shd w:fill="F3F6F8"/>
          </w:tcPr>
          <w:p>
            <w:pPr>
              <w:spacing w:after="0"/>
            </w:pPr>
            <w:r/>
            <w:r>
              <w:rPr>
                <w:rFonts w:ascii="Noto Serif CJK SC" w:hAnsi="Noto Serif CJK SC" w:eastAsia="Noto Serif CJK SC"/>
                <w:b w:val="0"/>
                <w:color w:val="222222"/>
                <w:sz w:val="18"/>
              </w:rPr>
              <w:t>800</w:t>
            </w:r>
          </w:p>
        </w:tc>
        <w:tc>
          <w:tcPr>
            <w:tcW w:type="dxa" w:w="1928"/>
            <w:vAlign w:val="center"/>
            <w:shd w:fill="F3F6F8"/>
          </w:tcPr>
          <w:p>
            <w:pPr>
              <w:spacing w:after="0"/>
            </w:pPr>
            <w:r/>
            <w:r>
              <w:rPr>
                <w:rFonts w:ascii="Noto Serif CJK SC" w:hAnsi="Noto Serif CJK SC" w:eastAsia="Noto Serif CJK SC"/>
                <w:b w:val="0"/>
                <w:color w:val="222222"/>
                <w:sz w:val="18"/>
              </w:rPr>
              <w:t>8,000</w:t>
            </w:r>
          </w:p>
        </w:tc>
        <w:tc>
          <w:tcPr>
            <w:tcW w:type="dxa" w:w="1701"/>
            <w:vAlign w:val="center"/>
            <w:shd w:fill="F3F6F8"/>
          </w:tcPr>
          <w:p>
            <w:pPr>
              <w:spacing w:after="0"/>
            </w:pPr>
            <w:r/>
            <w:r>
              <w:rPr>
                <w:rFonts w:ascii="Noto Serif CJK SC" w:hAnsi="Noto Serif CJK SC" w:eastAsia="Noto Serif CJK SC"/>
                <w:b w:val="0"/>
                <w:color w:val="222222"/>
                <w:sz w:val="18"/>
              </w:rPr>
              <w:t>500</w:t>
            </w:r>
          </w:p>
        </w:tc>
        <w:tc>
          <w:tcPr>
            <w:tcW w:type="dxa" w:w="2438"/>
            <w:vAlign w:val="center"/>
            <w:shd w:fill="F3F6F8"/>
          </w:tcPr>
          <w:p>
            <w:pPr>
              <w:spacing w:after="0"/>
            </w:pPr>
            <w:r/>
            <w:r>
              <w:rPr>
                <w:rFonts w:ascii="Noto Serif CJK SC" w:hAnsi="Noto Serif CJK SC" w:eastAsia="Noto Serif CJK SC"/>
                <w:b w:val="0"/>
                <w:color w:val="222222"/>
                <w:sz w:val="18"/>
              </w:rPr>
              <w:t>论文主实验</w:t>
            </w:r>
          </w:p>
        </w:tc>
      </w:tr>
      <w:tr>
        <w:trPr>
          <w:cantSplit/>
        </w:trPr>
        <w:tc>
          <w:tcPr>
            <w:tcW w:type="dxa" w:w="1417"/>
            <w:vAlign w:val="center"/>
          </w:tcPr>
          <w:p>
            <w:pPr>
              <w:spacing w:after="0"/>
            </w:pPr>
            <w:r/>
            <w:r>
              <w:rPr>
                <w:rFonts w:ascii="Noto Serif CJK SC" w:hAnsi="Noto Serif CJK SC" w:eastAsia="Noto Serif CJK SC"/>
                <w:b w:val="0"/>
                <w:color w:val="222222"/>
                <w:sz w:val="18"/>
              </w:rPr>
              <w:t>large</w:t>
            </w:r>
          </w:p>
        </w:tc>
        <w:tc>
          <w:tcPr>
            <w:tcW w:type="dxa" w:w="1928"/>
            <w:vAlign w:val="center"/>
          </w:tcPr>
          <w:p>
            <w:pPr>
              <w:spacing w:after="0"/>
            </w:pPr>
            <w:r/>
            <w:r>
              <w:rPr>
                <w:rFonts w:ascii="Noto Serif CJK SC" w:hAnsi="Noto Serif CJK SC" w:eastAsia="Noto Serif CJK SC"/>
                <w:b w:val="0"/>
                <w:color w:val="222222"/>
                <w:sz w:val="18"/>
              </w:rPr>
              <w:t>5,000</w:t>
            </w:r>
          </w:p>
        </w:tc>
        <w:tc>
          <w:tcPr>
            <w:tcW w:type="dxa" w:w="1928"/>
            <w:vAlign w:val="center"/>
          </w:tcPr>
          <w:p>
            <w:pPr>
              <w:spacing w:after="0"/>
            </w:pPr>
            <w:r/>
            <w:r>
              <w:rPr>
                <w:rFonts w:ascii="Noto Serif CJK SC" w:hAnsi="Noto Serif CJK SC" w:eastAsia="Noto Serif CJK SC"/>
                <w:b w:val="0"/>
                <w:color w:val="222222"/>
                <w:sz w:val="18"/>
              </w:rPr>
              <w:t>100,000</w:t>
            </w:r>
          </w:p>
        </w:tc>
        <w:tc>
          <w:tcPr>
            <w:tcW w:type="dxa" w:w="1701"/>
            <w:vAlign w:val="center"/>
          </w:tcPr>
          <w:p>
            <w:pPr>
              <w:spacing w:after="0"/>
            </w:pPr>
            <w:r/>
            <w:r>
              <w:rPr>
                <w:rFonts w:ascii="Noto Serif CJK SC" w:hAnsi="Noto Serif CJK SC" w:eastAsia="Noto Serif CJK SC"/>
                <w:b w:val="0"/>
                <w:color w:val="222222"/>
                <w:sz w:val="18"/>
              </w:rPr>
              <w:t>5,000</w:t>
            </w:r>
          </w:p>
        </w:tc>
        <w:tc>
          <w:tcPr>
            <w:tcW w:type="dxa" w:w="2438"/>
            <w:vAlign w:val="center"/>
          </w:tcPr>
          <w:p>
            <w:pPr>
              <w:spacing w:after="0"/>
            </w:pPr>
            <w:r/>
            <w:r>
              <w:rPr>
                <w:rFonts w:ascii="Noto Serif CJK SC" w:hAnsi="Noto Serif CJK SC" w:eastAsia="Noto Serif CJK SC"/>
                <w:b w:val="0"/>
                <w:color w:val="222222"/>
                <w:sz w:val="18"/>
              </w:rPr>
              <w:t>性能和可扩展性</w:t>
            </w:r>
          </w:p>
        </w:tc>
      </w:tr>
    </w:tbl>
    <w:p>
      <w:pPr>
        <w:spacing w:after="20"/>
      </w:pPr>
    </w:p>
    <w:p>
      <w:pPr>
        <w:pStyle w:val="Heading1"/>
      </w:pPr>
      <w:r>
        <w:t>12 缺陷注入、传播负载与真值体系</w:t>
      </w:r>
    </w:p>
    <w:p>
      <w:pPr>
        <w:pStyle w:val="Heading2"/>
      </w:pPr>
      <w:r>
        <w:t>12.1 四层真值</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701"/>
            <w:vAlign w:val="center"/>
            <w:shd w:fill="365A7A"/>
          </w:tcPr>
          <w:p>
            <w:pPr>
              <w:spacing w:after="0"/>
            </w:pPr>
            <w:r/>
            <w:r>
              <w:rPr>
                <w:rFonts w:ascii="Noto Serif CJK SC" w:hAnsi="Noto Serif CJK SC" w:eastAsia="Noto Serif CJK SC"/>
                <w:b/>
                <w:color w:val="FFFFFF"/>
                <w:sz w:val="17"/>
              </w:rPr>
              <w:t>真值层</w:t>
            </w:r>
          </w:p>
        </w:tc>
        <w:tc>
          <w:tcPr>
            <w:tcW w:type="dxa" w:w="4535"/>
            <w:vAlign w:val="center"/>
            <w:shd w:fill="365A7A"/>
          </w:tcPr>
          <w:p>
            <w:pPr>
              <w:spacing w:after="0"/>
            </w:pPr>
            <w:r/>
            <w:r>
              <w:rPr>
                <w:rFonts w:ascii="Noto Serif CJK SC" w:hAnsi="Noto Serif CJK SC" w:eastAsia="Noto Serif CJK SC"/>
                <w:b/>
                <w:color w:val="FFFFFF"/>
                <w:sz w:val="17"/>
              </w:rPr>
              <w:t>内容</w:t>
            </w:r>
          </w:p>
        </w:tc>
        <w:tc>
          <w:tcPr>
            <w:tcW w:type="dxa" w:w="3118"/>
            <w:vAlign w:val="center"/>
            <w:shd w:fill="365A7A"/>
          </w:tcPr>
          <w:p>
            <w:pPr>
              <w:spacing w:after="0"/>
            </w:pPr>
            <w:r/>
            <w:r>
              <w:rPr>
                <w:rFonts w:ascii="Noto Serif CJK SC" w:hAnsi="Noto Serif CJK SC" w:eastAsia="Noto Serif CJK SC"/>
                <w:b/>
                <w:color w:val="FFFFFF"/>
                <w:sz w:val="17"/>
              </w:rPr>
              <w:t>用途</w:t>
            </w:r>
          </w:p>
        </w:tc>
      </w:tr>
      <w:tr>
        <w:trPr>
          <w:cantSplit/>
        </w:trPr>
        <w:tc>
          <w:tcPr>
            <w:tcW w:type="dxa" w:w="1701"/>
            <w:vAlign w:val="center"/>
          </w:tcPr>
          <w:p>
            <w:pPr>
              <w:spacing w:after="0"/>
            </w:pPr>
            <w:r/>
            <w:r>
              <w:rPr>
                <w:rFonts w:ascii="Noto Serif CJK SC" w:hAnsi="Noto Serif CJK SC" w:eastAsia="Noto Serif CJK SC"/>
                <w:b w:val="0"/>
                <w:color w:val="222222"/>
                <w:sz w:val="17"/>
              </w:rPr>
              <w:t>数据缺陷真值</w:t>
            </w:r>
          </w:p>
        </w:tc>
        <w:tc>
          <w:tcPr>
            <w:tcW w:type="dxa" w:w="4535"/>
            <w:vAlign w:val="center"/>
          </w:tcPr>
          <w:p>
            <w:pPr>
              <w:spacing w:after="0"/>
            </w:pPr>
            <w:r/>
            <w:r>
              <w:rPr>
                <w:rFonts w:ascii="Noto Serif CJK SC" w:hAnsi="Noto Serif CJK SC" w:eastAsia="Noto Serif CJK SC"/>
                <w:b w:val="0"/>
                <w:color w:val="222222"/>
                <w:sz w:val="17"/>
              </w:rPr>
              <w:t>表、字段、行键、缺陷类型、严重度、随机种子</w:t>
            </w:r>
          </w:p>
        </w:tc>
        <w:tc>
          <w:tcPr>
            <w:tcW w:type="dxa" w:w="3118"/>
            <w:vAlign w:val="center"/>
          </w:tcPr>
          <w:p>
            <w:pPr>
              <w:spacing w:after="0"/>
            </w:pPr>
            <w:r/>
            <w:r>
              <w:rPr>
                <w:rFonts w:ascii="Noto Serif CJK SC" w:hAnsi="Noto Serif CJK SC" w:eastAsia="Noto Serif CJK SC"/>
                <w:b w:val="0"/>
                <w:color w:val="222222"/>
                <w:sz w:val="17"/>
              </w:rPr>
              <w:t>评价错误检测与评分单调性</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结构缺陷真值</w:t>
            </w:r>
          </w:p>
        </w:tc>
        <w:tc>
          <w:tcPr>
            <w:tcW w:type="dxa" w:w="4535"/>
            <w:vAlign w:val="center"/>
            <w:shd w:fill="F3F6F8"/>
          </w:tcPr>
          <w:p>
            <w:pPr>
              <w:spacing w:after="0"/>
            </w:pPr>
            <w:r/>
            <w:r>
              <w:rPr>
                <w:rFonts w:ascii="Noto Serif CJK SC" w:hAnsi="Noto Serif CJK SC" w:eastAsia="Noto Serif CJK SC"/>
                <w:b w:val="0"/>
                <w:color w:val="222222"/>
                <w:sz w:val="17"/>
              </w:rPr>
              <w:t>约束/关系/字段/表的变异及预期SG指标</w:t>
            </w:r>
          </w:p>
        </w:tc>
        <w:tc>
          <w:tcPr>
            <w:tcW w:type="dxa" w:w="3118"/>
            <w:vAlign w:val="center"/>
            <w:shd w:fill="F3F6F8"/>
          </w:tcPr>
          <w:p>
            <w:pPr>
              <w:spacing w:after="0"/>
            </w:pPr>
            <w:r/>
            <w:r>
              <w:rPr>
                <w:rFonts w:ascii="Noto Serif CJK SC" w:hAnsi="Noto Serif CJK SC" w:eastAsia="Noto Serif CJK SC"/>
                <w:b w:val="0"/>
                <w:color w:val="222222"/>
                <w:sz w:val="17"/>
              </w:rPr>
              <w:t>评价结构识别</w:t>
            </w:r>
          </w:p>
        </w:tc>
      </w:tr>
      <w:tr>
        <w:trPr>
          <w:cantSplit/>
        </w:trPr>
        <w:tc>
          <w:tcPr>
            <w:tcW w:type="dxa" w:w="1701"/>
            <w:vAlign w:val="center"/>
          </w:tcPr>
          <w:p>
            <w:pPr>
              <w:spacing w:after="0"/>
            </w:pPr>
            <w:r/>
            <w:r>
              <w:rPr>
                <w:rFonts w:ascii="Noto Serif CJK SC" w:hAnsi="Noto Serif CJK SC" w:eastAsia="Noto Serif CJK SC"/>
                <w:b w:val="0"/>
                <w:color w:val="222222"/>
                <w:sz w:val="17"/>
              </w:rPr>
              <w:t>证据真值</w:t>
            </w:r>
          </w:p>
        </w:tc>
        <w:tc>
          <w:tcPr>
            <w:tcW w:type="dxa" w:w="4535"/>
            <w:vAlign w:val="center"/>
          </w:tcPr>
          <w:p>
            <w:pPr>
              <w:spacing w:after="0"/>
            </w:pPr>
            <w:r/>
            <w:r>
              <w:rPr>
                <w:rFonts w:ascii="Noto Serif CJK SC" w:hAnsi="Noto Serif CJK SC" w:eastAsia="Noto Serif CJK SC"/>
                <w:b w:val="0"/>
                <w:color w:val="222222"/>
                <w:sz w:val="17"/>
              </w:rPr>
              <w:t>证据来源、覆盖、可靠性、未知和冲突</w:t>
            </w:r>
          </w:p>
        </w:tc>
        <w:tc>
          <w:tcPr>
            <w:tcW w:type="dxa" w:w="3118"/>
            <w:vAlign w:val="center"/>
          </w:tcPr>
          <w:p>
            <w:pPr>
              <w:spacing w:after="0"/>
            </w:pPr>
            <w:r/>
            <w:r>
              <w:rPr>
                <w:rFonts w:ascii="Noto Serif CJK SC" w:hAnsi="Noto Serif CJK SC" w:eastAsia="Noto Serif CJK SC"/>
                <w:b w:val="0"/>
                <w:color w:val="222222"/>
                <w:sz w:val="17"/>
              </w:rPr>
              <w:t>评价ER与双报告</w:t>
            </w:r>
          </w:p>
        </w:tc>
      </w:tr>
      <w:tr>
        <w:trPr>
          <w:cantSplit/>
        </w:trPr>
        <w:tc>
          <w:tcPr>
            <w:tcW w:type="dxa" w:w="1701"/>
            <w:vAlign w:val="center"/>
            <w:shd w:fill="F3F6F8"/>
          </w:tcPr>
          <w:p>
            <w:pPr>
              <w:spacing w:after="0"/>
            </w:pPr>
            <w:r/>
            <w:r>
              <w:rPr>
                <w:rFonts w:ascii="Noto Serif CJK SC" w:hAnsi="Noto Serif CJK SC" w:eastAsia="Noto Serif CJK SC"/>
                <w:b w:val="0"/>
                <w:color w:val="222222"/>
                <w:sz w:val="17"/>
              </w:rPr>
              <w:t>Q-S传播真值</w:t>
            </w:r>
          </w:p>
        </w:tc>
        <w:tc>
          <w:tcPr>
            <w:tcW w:type="dxa" w:w="4535"/>
            <w:vAlign w:val="center"/>
            <w:shd w:fill="F3F6F8"/>
          </w:tcPr>
          <w:p>
            <w:pPr>
              <w:spacing w:after="0"/>
            </w:pPr>
            <w:r/>
            <w:r>
              <w:rPr>
                <w:rFonts w:ascii="Noto Serif CJK SC" w:hAnsi="Noto Serif CJK SC" w:eastAsia="Noto Serif CJK SC"/>
                <w:b w:val="0"/>
                <w:color w:val="222222"/>
                <w:sz w:val="17"/>
              </w:rPr>
              <w:t>结构父场景、业务负载、目标DQ和预期路径</w:t>
            </w:r>
          </w:p>
        </w:tc>
        <w:tc>
          <w:tcPr>
            <w:tcW w:type="dxa" w:w="3118"/>
            <w:vAlign w:val="center"/>
            <w:shd w:fill="F3F6F8"/>
          </w:tcPr>
          <w:p>
            <w:pPr>
              <w:spacing w:after="0"/>
            </w:pPr>
            <w:r/>
            <w:r>
              <w:rPr>
                <w:rFonts w:ascii="Noto Serif CJK SC" w:hAnsi="Noto Serif CJK SC" w:eastAsia="Noto Serif CJK SC"/>
                <w:b w:val="0"/>
                <w:color w:val="222222"/>
                <w:sz w:val="17"/>
              </w:rPr>
              <w:t>评价根因诊断与治理建议</w:t>
            </w:r>
          </w:p>
        </w:tc>
      </w:tr>
    </w:tbl>
    <w:p>
      <w:pPr>
        <w:spacing w:after="20"/>
      </w:pPr>
    </w:p>
    <w:p>
      <w:pPr>
        <w:pStyle w:val="Heading2"/>
      </w:pPr>
      <w:r>
        <w:t>12.2 单缺陷场景</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2835"/>
            <w:vAlign w:val="center"/>
            <w:shd w:fill="365A7A"/>
          </w:tcPr>
          <w:p>
            <w:pPr>
              <w:spacing w:after="0"/>
            </w:pPr>
            <w:r/>
            <w:r>
              <w:rPr>
                <w:rFonts w:ascii="Noto Serif CJK SC" w:hAnsi="Noto Serif CJK SC" w:eastAsia="Noto Serif CJK SC"/>
                <w:b/>
                <w:color w:val="FFFFFF"/>
                <w:sz w:val="16"/>
              </w:rPr>
              <w:t>场景</w:t>
            </w:r>
          </w:p>
        </w:tc>
        <w:tc>
          <w:tcPr>
            <w:tcW w:type="dxa" w:w="1814"/>
            <w:vAlign w:val="center"/>
            <w:shd w:fill="365A7A"/>
          </w:tcPr>
          <w:p>
            <w:pPr>
              <w:spacing w:after="0"/>
            </w:pPr>
            <w:r/>
            <w:r>
              <w:rPr>
                <w:rFonts w:ascii="Noto Serif CJK SC" w:hAnsi="Noto Serif CJK SC" w:eastAsia="Noto Serif CJK SC"/>
                <w:b/>
                <w:color w:val="FFFFFF"/>
                <w:sz w:val="16"/>
              </w:rPr>
              <w:t>主要指标</w:t>
            </w:r>
          </w:p>
        </w:tc>
        <w:tc>
          <w:tcPr>
            <w:tcW w:type="dxa" w:w="4706"/>
            <w:vAlign w:val="center"/>
            <w:shd w:fill="365A7A"/>
          </w:tcPr>
          <w:p>
            <w:pPr>
              <w:spacing w:after="0"/>
            </w:pPr>
            <w:r/>
            <w:r>
              <w:rPr>
                <w:rFonts w:ascii="Noto Serif CJK SC" w:hAnsi="Noto Serif CJK SC" w:eastAsia="Noto Serif CJK SC"/>
                <w:b/>
                <w:color w:val="FFFFFF"/>
                <w:sz w:val="16"/>
              </w:rPr>
              <w:t>缺陷</w:t>
            </w:r>
          </w:p>
        </w:tc>
      </w:tr>
      <w:tr>
        <w:trPr>
          <w:cantSplit/>
        </w:trPr>
        <w:tc>
          <w:tcPr>
            <w:tcW w:type="dxa" w:w="2835"/>
            <w:vAlign w:val="center"/>
          </w:tcPr>
          <w:p>
            <w:pPr>
              <w:spacing w:after="0"/>
            </w:pPr>
            <w:r/>
            <w:r>
              <w:rPr>
                <w:rFonts w:ascii="Noto Serif CJK SC" w:hAnsi="Noto Serif CJK SC" w:eastAsia="Noto Serif CJK SC"/>
                <w:b w:val="0"/>
                <w:color w:val="222222"/>
                <w:sz w:val="16"/>
              </w:rPr>
              <w:t>DQ1-MISSING-CERT</w:t>
            </w:r>
          </w:p>
        </w:tc>
        <w:tc>
          <w:tcPr>
            <w:tcW w:type="dxa" w:w="1814"/>
            <w:vAlign w:val="center"/>
          </w:tcPr>
          <w:p>
            <w:pPr>
              <w:spacing w:after="0"/>
            </w:pPr>
            <w:r/>
            <w:r>
              <w:rPr>
                <w:rFonts w:ascii="Noto Serif CJK SC" w:hAnsi="Noto Serif CJK SC" w:eastAsia="Noto Serif CJK SC"/>
                <w:b w:val="0"/>
                <w:color w:val="222222"/>
                <w:sz w:val="16"/>
              </w:rPr>
              <w:t>DQ1/DQ8</w:t>
            </w:r>
          </w:p>
        </w:tc>
        <w:tc>
          <w:tcPr>
            <w:tcW w:type="dxa" w:w="4706"/>
            <w:vAlign w:val="center"/>
          </w:tcPr>
          <w:p>
            <w:pPr>
              <w:spacing w:after="0"/>
            </w:pPr>
            <w:r/>
            <w:r>
              <w:rPr>
                <w:rFonts w:ascii="Noto Serif CJK SC" w:hAnsi="Noto Serif CJK SC" w:eastAsia="Noto Serif CJK SC"/>
                <w:b w:val="0"/>
                <w:color w:val="222222"/>
                <w:sz w:val="16"/>
              </w:rPr>
              <w:t>应附证书的收货行证书号缺失</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DQ2-INACCURATE-SNAPSHOT</w:t>
            </w:r>
          </w:p>
        </w:tc>
        <w:tc>
          <w:tcPr>
            <w:tcW w:type="dxa" w:w="1814"/>
            <w:vAlign w:val="center"/>
            <w:shd w:fill="F3F6F8"/>
          </w:tcPr>
          <w:p>
            <w:pPr>
              <w:spacing w:after="0"/>
            </w:pPr>
            <w:r/>
            <w:r>
              <w:rPr>
                <w:rFonts w:ascii="Noto Serif CJK SC" w:hAnsi="Noto Serif CJK SC" w:eastAsia="Noto Serif CJK SC"/>
                <w:b w:val="0"/>
                <w:color w:val="222222"/>
                <w:sz w:val="16"/>
              </w:rPr>
              <w:t>DQ2/SG7</w:t>
            </w:r>
          </w:p>
        </w:tc>
        <w:tc>
          <w:tcPr>
            <w:tcW w:type="dxa" w:w="4706"/>
            <w:vAlign w:val="center"/>
            <w:shd w:fill="F3F6F8"/>
          </w:tcPr>
          <w:p>
            <w:pPr>
              <w:spacing w:after="0"/>
            </w:pPr>
            <w:r/>
            <w:r>
              <w:rPr>
                <w:rFonts w:ascii="Noto Serif CJK SC" w:hAnsi="Noto Serif CJK SC" w:eastAsia="Noto Serif CJK SC"/>
                <w:b w:val="0"/>
                <w:color w:val="222222"/>
                <w:sz w:val="16"/>
              </w:rPr>
              <w:t>业务快照与权威器材名称不匹配</w:t>
            </w:r>
          </w:p>
        </w:tc>
      </w:tr>
      <w:tr>
        <w:trPr>
          <w:cantSplit/>
        </w:trPr>
        <w:tc>
          <w:tcPr>
            <w:tcW w:type="dxa" w:w="2835"/>
            <w:vAlign w:val="center"/>
          </w:tcPr>
          <w:p>
            <w:pPr>
              <w:spacing w:after="0"/>
            </w:pPr>
            <w:r/>
            <w:r>
              <w:rPr>
                <w:rFonts w:ascii="Noto Serif CJK SC" w:hAnsi="Noto Serif CJK SC" w:eastAsia="Noto Serif CJK SC"/>
                <w:b w:val="0"/>
                <w:color w:val="222222"/>
                <w:sz w:val="16"/>
              </w:rPr>
              <w:t>DQ3-INVALID-COUNTRY</w:t>
            </w:r>
          </w:p>
        </w:tc>
        <w:tc>
          <w:tcPr>
            <w:tcW w:type="dxa" w:w="1814"/>
            <w:vAlign w:val="center"/>
          </w:tcPr>
          <w:p>
            <w:pPr>
              <w:spacing w:after="0"/>
            </w:pPr>
            <w:r/>
            <w:r>
              <w:rPr>
                <w:rFonts w:ascii="Noto Serif CJK SC" w:hAnsi="Noto Serif CJK SC" w:eastAsia="Noto Serif CJK SC"/>
                <w:b w:val="0"/>
                <w:color w:val="222222"/>
                <w:sz w:val="16"/>
              </w:rPr>
              <w:t>DQ3</w:t>
            </w:r>
          </w:p>
        </w:tc>
        <w:tc>
          <w:tcPr>
            <w:tcW w:type="dxa" w:w="4706"/>
            <w:vAlign w:val="center"/>
          </w:tcPr>
          <w:p>
            <w:pPr>
              <w:spacing w:after="0"/>
            </w:pPr>
            <w:r/>
            <w:r>
              <w:rPr>
                <w:rFonts w:ascii="Noto Serif CJK SC" w:hAnsi="Noto Serif CJK SC" w:eastAsia="Noto Serif CJK SC"/>
                <w:b w:val="0"/>
                <w:color w:val="222222"/>
                <w:sz w:val="16"/>
              </w:rPr>
              <w:t>非法国家代码</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DQ4-DUP-CERT</w:t>
            </w:r>
          </w:p>
        </w:tc>
        <w:tc>
          <w:tcPr>
            <w:tcW w:type="dxa" w:w="1814"/>
            <w:vAlign w:val="center"/>
            <w:shd w:fill="F3F6F8"/>
          </w:tcPr>
          <w:p>
            <w:pPr>
              <w:spacing w:after="0"/>
            </w:pPr>
            <w:r/>
            <w:r>
              <w:rPr>
                <w:rFonts w:ascii="Noto Serif CJK SC" w:hAnsi="Noto Serif CJK SC" w:eastAsia="Noto Serif CJK SC"/>
                <w:b w:val="0"/>
                <w:color w:val="222222"/>
                <w:sz w:val="16"/>
              </w:rPr>
              <w:t>DQ4</w:t>
            </w:r>
          </w:p>
        </w:tc>
        <w:tc>
          <w:tcPr>
            <w:tcW w:type="dxa" w:w="4706"/>
            <w:vAlign w:val="center"/>
            <w:shd w:fill="F3F6F8"/>
          </w:tcPr>
          <w:p>
            <w:pPr>
              <w:spacing w:after="0"/>
            </w:pPr>
            <w:r/>
            <w:r>
              <w:rPr>
                <w:rFonts w:ascii="Noto Serif CJK SC" w:hAnsi="Noto Serif CJK SC" w:eastAsia="Noto Serif CJK SC"/>
                <w:b w:val="0"/>
                <w:color w:val="222222"/>
                <w:sz w:val="16"/>
              </w:rPr>
              <w:t>收货证书业务编号重复</w:t>
            </w:r>
          </w:p>
        </w:tc>
      </w:tr>
      <w:tr>
        <w:trPr>
          <w:cantSplit/>
        </w:trPr>
        <w:tc>
          <w:tcPr>
            <w:tcW w:type="dxa" w:w="2835"/>
            <w:vAlign w:val="center"/>
          </w:tcPr>
          <w:p>
            <w:pPr>
              <w:spacing w:after="0"/>
            </w:pPr>
            <w:r/>
            <w:r>
              <w:rPr>
                <w:rFonts w:ascii="Noto Serif CJK SC" w:hAnsi="Noto Serif CJK SC" w:eastAsia="Noto Serif CJK SC"/>
                <w:b w:val="0"/>
                <w:color w:val="222222"/>
                <w:sz w:val="16"/>
              </w:rPr>
              <w:t>DQ5-MASTER-CONFLICT</w:t>
            </w:r>
          </w:p>
        </w:tc>
        <w:tc>
          <w:tcPr>
            <w:tcW w:type="dxa" w:w="1814"/>
            <w:vAlign w:val="center"/>
          </w:tcPr>
          <w:p>
            <w:pPr>
              <w:spacing w:after="0"/>
            </w:pPr>
            <w:r/>
            <w:r>
              <w:rPr>
                <w:rFonts w:ascii="Noto Serif CJK SC" w:hAnsi="Noto Serif CJK SC" w:eastAsia="Noto Serif CJK SC"/>
                <w:b w:val="0"/>
                <w:color w:val="222222"/>
                <w:sz w:val="16"/>
              </w:rPr>
              <w:t>DQ5/SG7</w:t>
            </w:r>
          </w:p>
        </w:tc>
        <w:tc>
          <w:tcPr>
            <w:tcW w:type="dxa" w:w="4706"/>
            <w:vAlign w:val="center"/>
          </w:tcPr>
          <w:p>
            <w:pPr>
              <w:spacing w:after="0"/>
            </w:pPr>
            <w:r/>
            <w:r>
              <w:rPr>
                <w:rFonts w:ascii="Noto Serif CJK SC" w:hAnsi="Noto Serif CJK SC" w:eastAsia="Noto Serif CJK SC"/>
                <w:b w:val="0"/>
                <w:color w:val="222222"/>
                <w:sz w:val="16"/>
              </w:rPr>
              <w:t>跨表器材编号快照冲突</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DQ6-ORPHAN-REFERENCE</w:t>
            </w:r>
          </w:p>
        </w:tc>
        <w:tc>
          <w:tcPr>
            <w:tcW w:type="dxa" w:w="1814"/>
            <w:vAlign w:val="center"/>
            <w:shd w:fill="F3F6F8"/>
          </w:tcPr>
          <w:p>
            <w:pPr>
              <w:spacing w:after="0"/>
            </w:pPr>
            <w:r/>
            <w:r>
              <w:rPr>
                <w:rFonts w:ascii="Noto Serif CJK SC" w:hAnsi="Noto Serif CJK SC" w:eastAsia="Noto Serif CJK SC"/>
                <w:b w:val="0"/>
                <w:color w:val="222222"/>
                <w:sz w:val="16"/>
              </w:rPr>
              <w:t>DQ6/SG4</w:t>
            </w:r>
          </w:p>
        </w:tc>
        <w:tc>
          <w:tcPr>
            <w:tcW w:type="dxa" w:w="4706"/>
            <w:vAlign w:val="center"/>
            <w:shd w:fill="F3F6F8"/>
          </w:tcPr>
          <w:p>
            <w:pPr>
              <w:spacing w:after="0"/>
            </w:pPr>
            <w:r/>
            <w:r>
              <w:rPr>
                <w:rFonts w:ascii="Noto Serif CJK SC" w:hAnsi="Noto Serif CJK SC" w:eastAsia="Noto Serif CJK SC"/>
                <w:b w:val="0"/>
                <w:color w:val="222222"/>
                <w:sz w:val="16"/>
              </w:rPr>
              <w:t>多态业务单据逻辑孤儿</w:t>
            </w:r>
          </w:p>
        </w:tc>
      </w:tr>
      <w:tr>
        <w:trPr>
          <w:cantSplit/>
        </w:trPr>
        <w:tc>
          <w:tcPr>
            <w:tcW w:type="dxa" w:w="2835"/>
            <w:vAlign w:val="center"/>
          </w:tcPr>
          <w:p>
            <w:pPr>
              <w:spacing w:after="0"/>
            </w:pPr>
            <w:r/>
            <w:r>
              <w:rPr>
                <w:rFonts w:ascii="Noto Serif CJK SC" w:hAnsi="Noto Serif CJK SC" w:eastAsia="Noto Serif CJK SC"/>
                <w:b w:val="0"/>
                <w:color w:val="222222"/>
                <w:sz w:val="16"/>
              </w:rPr>
              <w:t>DQ7-STALE-PART</w:t>
            </w:r>
          </w:p>
        </w:tc>
        <w:tc>
          <w:tcPr>
            <w:tcW w:type="dxa" w:w="1814"/>
            <w:vAlign w:val="center"/>
          </w:tcPr>
          <w:p>
            <w:pPr>
              <w:spacing w:after="0"/>
            </w:pPr>
            <w:r/>
            <w:r>
              <w:rPr>
                <w:rFonts w:ascii="Noto Serif CJK SC" w:hAnsi="Noto Serif CJK SC" w:eastAsia="Noto Serif CJK SC"/>
                <w:b w:val="0"/>
                <w:color w:val="222222"/>
                <w:sz w:val="16"/>
              </w:rPr>
              <w:t>DQ7</w:t>
            </w:r>
          </w:p>
        </w:tc>
        <w:tc>
          <w:tcPr>
            <w:tcW w:type="dxa" w:w="4706"/>
            <w:vAlign w:val="center"/>
          </w:tcPr>
          <w:p>
            <w:pPr>
              <w:spacing w:after="0"/>
            </w:pPr>
            <w:r/>
            <w:r>
              <w:rPr>
                <w:rFonts w:ascii="Noto Serif CJK SC" w:hAnsi="Noto Serif CJK SC" w:eastAsia="Noto Serif CJK SC"/>
                <w:b w:val="0"/>
                <w:color w:val="222222"/>
                <w:sz w:val="16"/>
              </w:rPr>
              <w:t>主数据更新超期</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DQ8-MISSING-OPERATOR</w:t>
            </w:r>
          </w:p>
        </w:tc>
        <w:tc>
          <w:tcPr>
            <w:tcW w:type="dxa" w:w="1814"/>
            <w:vAlign w:val="center"/>
            <w:shd w:fill="F3F6F8"/>
          </w:tcPr>
          <w:p>
            <w:pPr>
              <w:spacing w:after="0"/>
            </w:pPr>
            <w:r/>
            <w:r>
              <w:rPr>
                <w:rFonts w:ascii="Noto Serif CJK SC" w:hAnsi="Noto Serif CJK SC" w:eastAsia="Noto Serif CJK SC"/>
                <w:b w:val="0"/>
                <w:color w:val="222222"/>
                <w:sz w:val="16"/>
              </w:rPr>
              <w:t>DQ8/SG8</w:t>
            </w:r>
          </w:p>
        </w:tc>
        <w:tc>
          <w:tcPr>
            <w:tcW w:type="dxa" w:w="4706"/>
            <w:vAlign w:val="center"/>
            <w:shd w:fill="F3F6F8"/>
          </w:tcPr>
          <w:p>
            <w:pPr>
              <w:spacing w:after="0"/>
            </w:pPr>
            <w:r/>
            <w:r>
              <w:rPr>
                <w:rFonts w:ascii="Noto Serif CJK SC" w:hAnsi="Noto Serif CJK SC" w:eastAsia="Noto Serif CJK SC"/>
                <w:b w:val="0"/>
                <w:color w:val="222222"/>
                <w:sz w:val="16"/>
              </w:rPr>
              <w:t>库存事务操作人缺失</w:t>
            </w:r>
          </w:p>
        </w:tc>
      </w:tr>
      <w:tr>
        <w:trPr>
          <w:cantSplit/>
        </w:trPr>
        <w:tc>
          <w:tcPr>
            <w:tcW w:type="dxa" w:w="2835"/>
            <w:vAlign w:val="center"/>
          </w:tcPr>
          <w:p>
            <w:pPr>
              <w:spacing w:after="0"/>
            </w:pPr>
            <w:r/>
            <w:r>
              <w:rPr>
                <w:rFonts w:ascii="Noto Serif CJK SC" w:hAnsi="Noto Serif CJK SC" w:eastAsia="Noto Serif CJK SC"/>
                <w:b w:val="0"/>
                <w:color w:val="222222"/>
                <w:sz w:val="16"/>
              </w:rPr>
              <w:t>SG2-MULTIVALUE</w:t>
            </w:r>
          </w:p>
        </w:tc>
        <w:tc>
          <w:tcPr>
            <w:tcW w:type="dxa" w:w="1814"/>
            <w:vAlign w:val="center"/>
          </w:tcPr>
          <w:p>
            <w:pPr>
              <w:spacing w:after="0"/>
            </w:pPr>
            <w:r/>
            <w:r>
              <w:rPr>
                <w:rFonts w:ascii="Noto Serif CJK SC" w:hAnsi="Noto Serif CJK SC" w:eastAsia="Noto Serif CJK SC"/>
                <w:b w:val="0"/>
                <w:color w:val="222222"/>
                <w:sz w:val="16"/>
              </w:rPr>
              <w:t>SG2/DQ5</w:t>
            </w:r>
          </w:p>
        </w:tc>
        <w:tc>
          <w:tcPr>
            <w:tcW w:type="dxa" w:w="4706"/>
            <w:vAlign w:val="center"/>
          </w:tcPr>
          <w:p>
            <w:pPr>
              <w:spacing w:after="0"/>
            </w:pPr>
            <w:r/>
            <w:r>
              <w:rPr>
                <w:rFonts w:ascii="Noto Serif CJK SC" w:hAnsi="Noto Serif CJK SC" w:eastAsia="Noto Serif CJK SC"/>
                <w:b w:val="0"/>
                <w:color w:val="222222"/>
                <w:sz w:val="16"/>
              </w:rPr>
              <w:t>在part_master增加多值适用机型字段</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SG3-DROP-SERIAL-UQ</w:t>
            </w:r>
          </w:p>
        </w:tc>
        <w:tc>
          <w:tcPr>
            <w:tcW w:type="dxa" w:w="1814"/>
            <w:vAlign w:val="center"/>
            <w:shd w:fill="F3F6F8"/>
          </w:tcPr>
          <w:p>
            <w:pPr>
              <w:spacing w:after="0"/>
            </w:pPr>
            <w:r/>
            <w:r>
              <w:rPr>
                <w:rFonts w:ascii="Noto Serif CJK SC" w:hAnsi="Noto Serif CJK SC" w:eastAsia="Noto Serif CJK SC"/>
                <w:b w:val="0"/>
                <w:color w:val="222222"/>
                <w:sz w:val="16"/>
              </w:rPr>
              <w:t>SG3/DQ4</w:t>
            </w:r>
          </w:p>
        </w:tc>
        <w:tc>
          <w:tcPr>
            <w:tcW w:type="dxa" w:w="4706"/>
            <w:vAlign w:val="center"/>
            <w:shd w:fill="F3F6F8"/>
          </w:tcPr>
          <w:p>
            <w:pPr>
              <w:spacing w:after="0"/>
            </w:pPr>
            <w:r/>
            <w:r>
              <w:rPr>
                <w:rFonts w:ascii="Noto Serif CJK SC" w:hAnsi="Noto Serif CJK SC" w:eastAsia="Noto Serif CJK SC"/>
                <w:b w:val="0"/>
                <w:color w:val="222222"/>
                <w:sz w:val="16"/>
              </w:rPr>
              <w:t>删除序列号唯一索引</w:t>
            </w:r>
          </w:p>
        </w:tc>
      </w:tr>
      <w:tr>
        <w:trPr>
          <w:cantSplit/>
        </w:trPr>
        <w:tc>
          <w:tcPr>
            <w:tcW w:type="dxa" w:w="2835"/>
            <w:vAlign w:val="center"/>
          </w:tcPr>
          <w:p>
            <w:pPr>
              <w:spacing w:after="0"/>
            </w:pPr>
            <w:r>
              <w:t>SG3-UNCONTROLLED-NO-FK</w:t>
            </w:r>
          </w:p>
        </w:tc>
        <w:tc>
          <w:tcPr>
            <w:tcW w:type="dxa" w:w="1814"/>
            <w:vAlign w:val="center"/>
          </w:tcPr>
          <w:p>
            <w:pPr>
              <w:spacing w:after="0"/>
            </w:pPr>
            <w:r/>
            <w:r>
              <w:rPr>
                <w:rFonts w:ascii="Noto Serif CJK SC" w:hAnsi="Noto Serif CJK SC" w:eastAsia="Noto Serif CJK SC"/>
                <w:b w:val="0"/>
                <w:color w:val="222222"/>
                <w:sz w:val="16"/>
              </w:rPr>
              <w:t>SG3/DQ6</w:t>
            </w:r>
          </w:p>
        </w:tc>
        <w:tc>
          <w:tcPr>
            <w:tcW w:type="dxa" w:w="4706"/>
            <w:vAlign w:val="center"/>
          </w:tcPr>
          <w:p>
            <w:pPr>
              <w:spacing w:after="0"/>
            </w:pPr>
            <w:r>
              <w:t>删除事务—器材物理外键，且仅保留文档约定，无有效替代控制</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SG4-DROP-RELATION</w:t>
            </w:r>
          </w:p>
        </w:tc>
        <w:tc>
          <w:tcPr>
            <w:tcW w:type="dxa" w:w="1814"/>
            <w:vAlign w:val="center"/>
            <w:shd w:fill="F3F6F8"/>
          </w:tcPr>
          <w:p>
            <w:pPr>
              <w:spacing w:after="0"/>
            </w:pPr>
            <w:r/>
            <w:r>
              <w:rPr>
                <w:rFonts w:ascii="Noto Serif CJK SC" w:hAnsi="Noto Serif CJK SC" w:eastAsia="Noto Serif CJK SC"/>
                <w:b w:val="0"/>
                <w:color w:val="222222"/>
                <w:sz w:val="16"/>
              </w:rPr>
              <w:t>SG4/DQ6</w:t>
            </w:r>
          </w:p>
        </w:tc>
        <w:tc>
          <w:tcPr>
            <w:tcW w:type="dxa" w:w="4706"/>
            <w:vAlign w:val="center"/>
            <w:shd w:fill="F3F6F8"/>
          </w:tcPr>
          <w:p>
            <w:pPr>
              <w:spacing w:after="0"/>
            </w:pPr>
            <w:r/>
            <w:r>
              <w:rPr>
                <w:rFonts w:ascii="Noto Serif CJK SC" w:hAnsi="Noto Serif CJK SC" w:eastAsia="Noto Serif CJK SC"/>
                <w:b w:val="0"/>
                <w:color w:val="222222"/>
                <w:sz w:val="16"/>
              </w:rPr>
              <w:t>删除收货行—实例关系</w:t>
            </w:r>
          </w:p>
        </w:tc>
      </w:tr>
      <w:tr>
        <w:trPr>
          <w:cantSplit/>
        </w:trPr>
        <w:tc>
          <w:tcPr>
            <w:tcW w:type="dxa" w:w="2835"/>
            <w:vAlign w:val="center"/>
          </w:tcPr>
          <w:p>
            <w:pPr>
              <w:spacing w:after="0"/>
            </w:pPr>
            <w:r/>
            <w:r>
              <w:rPr>
                <w:rFonts w:ascii="Noto Serif CJK SC" w:hAnsi="Noto Serif CJK SC" w:eastAsia="Noto Serif CJK SC"/>
                <w:b w:val="0"/>
                <w:color w:val="222222"/>
                <w:sz w:val="16"/>
              </w:rPr>
              <w:t>SG6-DUPLICATE-TABLE</w:t>
            </w:r>
          </w:p>
        </w:tc>
        <w:tc>
          <w:tcPr>
            <w:tcW w:type="dxa" w:w="1814"/>
            <w:vAlign w:val="center"/>
          </w:tcPr>
          <w:p>
            <w:pPr>
              <w:spacing w:after="0"/>
            </w:pPr>
            <w:r/>
            <w:r>
              <w:rPr>
                <w:rFonts w:ascii="Noto Serif CJK SC" w:hAnsi="Noto Serif CJK SC" w:eastAsia="Noto Serif CJK SC"/>
                <w:b w:val="0"/>
                <w:color w:val="222222"/>
                <w:sz w:val="16"/>
              </w:rPr>
              <w:t>SG6/DQ5</w:t>
            </w:r>
          </w:p>
        </w:tc>
        <w:tc>
          <w:tcPr>
            <w:tcW w:type="dxa" w:w="4706"/>
            <w:vAlign w:val="center"/>
          </w:tcPr>
          <w:p>
            <w:pPr>
              <w:spacing w:after="0"/>
            </w:pPr>
            <w:r/>
            <w:r>
              <w:rPr>
                <w:rFonts w:ascii="Noto Serif CJK SC" w:hAnsi="Noto Serif CJK SC" w:eastAsia="Noto Serif CJK SC"/>
                <w:b w:val="0"/>
                <w:color w:val="222222"/>
                <w:sz w:val="16"/>
              </w:rPr>
              <w:t>复制器材主数据表并独立维护</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SG8-REMOVE-AUDIT</w:t>
            </w:r>
          </w:p>
        </w:tc>
        <w:tc>
          <w:tcPr>
            <w:tcW w:type="dxa" w:w="1814"/>
            <w:vAlign w:val="center"/>
            <w:shd w:fill="F3F6F8"/>
          </w:tcPr>
          <w:p>
            <w:pPr>
              <w:spacing w:after="0"/>
            </w:pPr>
            <w:r/>
            <w:r>
              <w:rPr>
                <w:rFonts w:ascii="Noto Serif CJK SC" w:hAnsi="Noto Serif CJK SC" w:eastAsia="Noto Serif CJK SC"/>
                <w:b w:val="0"/>
                <w:color w:val="222222"/>
                <w:sz w:val="16"/>
              </w:rPr>
              <w:t>SG8/DQ8</w:t>
            </w:r>
          </w:p>
        </w:tc>
        <w:tc>
          <w:tcPr>
            <w:tcW w:type="dxa" w:w="4706"/>
            <w:vAlign w:val="center"/>
            <w:shd w:fill="F3F6F8"/>
          </w:tcPr>
          <w:p>
            <w:pPr>
              <w:spacing w:after="0"/>
            </w:pPr>
            <w:r/>
            <w:r>
              <w:rPr>
                <w:rFonts w:ascii="Noto Serif CJK SC" w:hAnsi="Noto Serif CJK SC" w:eastAsia="Noto Serif CJK SC"/>
                <w:b w:val="0"/>
                <w:color w:val="222222"/>
                <w:sz w:val="16"/>
              </w:rPr>
              <w:t>删除仓库审计字段</w:t>
            </w:r>
          </w:p>
        </w:tc>
      </w:tr>
      <w:tr>
        <w:trPr>
          <w:cantSplit/>
        </w:trPr>
        <w:tc>
          <w:tcPr>
            <w:tcW w:type="dxa" w:w="3211"/>
          </w:tcPr>
          <w:p>
            <w:pPr>
              <w:spacing w:after="0"/>
            </w:pPr>
            <w:r>
              <w:t>SG3-CONTROLLED-NO-FK</w:t>
            </w:r>
          </w:p>
        </w:tc>
        <w:tc>
          <w:tcPr>
            <w:tcW w:type="dxa" w:w="3211"/>
          </w:tcPr>
          <w:p>
            <w:pPr>
              <w:spacing w:after="0"/>
            </w:pPr>
            <w:r>
              <w:t>SG3/DQ6</w:t>
            </w:r>
          </w:p>
        </w:tc>
        <w:tc>
          <w:tcPr>
            <w:tcW w:type="dxa" w:w="3211"/>
          </w:tcPr>
          <w:p>
            <w:pPr>
              <w:spacing w:after="0"/>
            </w:pPr>
            <w:r>
              <w:t>删除物理外键，但启用应用实时校验、小时审计、审批和性能证据；作为非缺陷对照</w:t>
            </w:r>
          </w:p>
        </w:tc>
      </w:tr>
    </w:tbl>
    <w:p>
      <w:pPr>
        <w:spacing w:after="20"/>
      </w:pPr>
    </w:p>
    <w:p>
      <w:pPr>
        <w:pStyle w:val="Heading2"/>
      </w:pPr>
      <w:r>
        <w:t>12.3 传播负载</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2665"/>
            <w:vAlign w:val="center"/>
            <w:shd w:fill="365A7A"/>
          </w:tcPr>
          <w:p>
            <w:pPr>
              <w:spacing w:after="0"/>
            </w:pPr>
            <w:r/>
            <w:r>
              <w:rPr>
                <w:rFonts w:ascii="Noto Serif CJK SC" w:hAnsi="Noto Serif CJK SC" w:eastAsia="Noto Serif CJK SC"/>
                <w:b/>
                <w:color w:val="FFFFFF"/>
                <w:sz w:val="17"/>
              </w:rPr>
              <w:t>结构父场景</w:t>
            </w:r>
          </w:p>
        </w:tc>
        <w:tc>
          <w:tcPr>
            <w:tcW w:type="dxa" w:w="3175"/>
            <w:vAlign w:val="center"/>
            <w:shd w:fill="365A7A"/>
          </w:tcPr>
          <w:p>
            <w:pPr>
              <w:spacing w:after="0"/>
            </w:pPr>
            <w:r/>
            <w:r>
              <w:rPr>
                <w:rFonts w:ascii="Noto Serif CJK SC" w:hAnsi="Noto Serif CJK SC" w:eastAsia="Noto Serif CJK SC"/>
                <w:b/>
                <w:color w:val="FFFFFF"/>
                <w:sz w:val="17"/>
              </w:rPr>
              <w:t>业务负载</w:t>
            </w:r>
          </w:p>
        </w:tc>
        <w:tc>
          <w:tcPr>
            <w:tcW w:type="dxa" w:w="3515"/>
            <w:vAlign w:val="center"/>
            <w:shd w:fill="365A7A"/>
          </w:tcPr>
          <w:p>
            <w:pPr>
              <w:spacing w:after="0"/>
            </w:pPr>
            <w:r/>
            <w:r>
              <w:rPr>
                <w:rFonts w:ascii="Noto Serif CJK SC" w:hAnsi="Noto Serif CJK SC" w:eastAsia="Noto Serif CJK SC"/>
                <w:b/>
                <w:color w:val="FFFFFF"/>
                <w:sz w:val="17"/>
              </w:rPr>
              <w:t>预期结果</w:t>
            </w:r>
          </w:p>
        </w:tc>
      </w:tr>
      <w:tr>
        <w:trPr>
          <w:cantSplit/>
        </w:trPr>
        <w:tc>
          <w:tcPr>
            <w:tcW w:type="dxa" w:w="2665"/>
            <w:vAlign w:val="center"/>
          </w:tcPr>
          <w:p>
            <w:pPr>
              <w:spacing w:after="0"/>
            </w:pPr>
            <w:r/>
            <w:r>
              <w:rPr>
                <w:rFonts w:ascii="Noto Serif CJK SC" w:hAnsi="Noto Serif CJK SC" w:eastAsia="Noto Serif CJK SC"/>
                <w:b w:val="0"/>
                <w:color w:val="222222"/>
                <w:sz w:val="17"/>
              </w:rPr>
              <w:t>SG3-DROP-SERIAL-UQ</w:t>
            </w:r>
          </w:p>
        </w:tc>
        <w:tc>
          <w:tcPr>
            <w:tcW w:type="dxa" w:w="3175"/>
            <w:vAlign w:val="center"/>
          </w:tcPr>
          <w:p>
            <w:pPr>
              <w:spacing w:after="0"/>
            </w:pPr>
            <w:r/>
            <w:r>
              <w:rPr>
                <w:rFonts w:ascii="Noto Serif CJK SC" w:hAnsi="Noto Serif CJK SC" w:eastAsia="Noto Serif CJK SC"/>
                <w:b w:val="0"/>
                <w:color w:val="222222"/>
                <w:sz w:val="17"/>
              </w:rPr>
              <w:t>插入重复序列号器材实例</w:t>
            </w:r>
          </w:p>
        </w:tc>
        <w:tc>
          <w:tcPr>
            <w:tcW w:type="dxa" w:w="3515"/>
            <w:vAlign w:val="center"/>
          </w:tcPr>
          <w:p>
            <w:pPr>
              <w:spacing w:after="0"/>
            </w:pPr>
            <w:r/>
            <w:r>
              <w:rPr>
                <w:rFonts w:ascii="Noto Serif CJK SC" w:hAnsi="Noto Serif CJK SC" w:eastAsia="Noto Serif CJK SC"/>
                <w:b w:val="0"/>
                <w:color w:val="222222"/>
                <w:sz w:val="17"/>
              </w:rPr>
              <w:t>SG3先下降；运行后DQ4下降；SG3成为DQ4高贡献根因</w:t>
            </w:r>
          </w:p>
        </w:tc>
      </w:tr>
      <w:tr>
        <w:trPr>
          <w:cantSplit/>
        </w:trPr>
        <w:tc>
          <w:tcPr>
            <w:tcW w:type="dxa" w:w="2665"/>
            <w:vAlign w:val="center"/>
            <w:shd w:fill="F3F6F8"/>
          </w:tcPr>
          <w:p>
            <w:pPr>
              <w:spacing w:after="0"/>
            </w:pPr>
            <w:r>
              <w:t>SG3-UNCONTROLLED-NO-FK</w:t>
            </w:r>
          </w:p>
        </w:tc>
        <w:tc>
          <w:tcPr>
            <w:tcW w:type="dxa" w:w="3175"/>
            <w:vAlign w:val="center"/>
            <w:shd w:fill="F3F6F8"/>
          </w:tcPr>
          <w:p>
            <w:pPr>
              <w:spacing w:after="0"/>
            </w:pPr>
            <w:r>
              <w:t>插入不存在part_id的库存事务</w:t>
            </w:r>
          </w:p>
        </w:tc>
        <w:tc>
          <w:tcPr>
            <w:tcW w:type="dxa" w:w="3515"/>
            <w:vAlign w:val="center"/>
            <w:shd w:fill="F3F6F8"/>
          </w:tcPr>
          <w:p>
            <w:pPr>
              <w:spacing w:after="0"/>
            </w:pPr>
            <w:r>
              <w:t>SG3关系控制有效度先下降并触发底线；运行后DQ6下降；检测入口由预期关系保留</w:t>
            </w:r>
          </w:p>
        </w:tc>
      </w:tr>
      <w:tr>
        <w:trPr>
          <w:cantSplit/>
        </w:trPr>
        <w:tc>
          <w:tcPr>
            <w:tcW w:type="dxa" w:w="2665"/>
            <w:vAlign w:val="center"/>
          </w:tcPr>
          <w:p>
            <w:pPr>
              <w:spacing w:after="0"/>
            </w:pPr>
            <w:r/>
            <w:r>
              <w:rPr>
                <w:rFonts w:ascii="Noto Serif CJK SC" w:hAnsi="Noto Serif CJK SC" w:eastAsia="Noto Serif CJK SC"/>
                <w:b w:val="0"/>
                <w:color w:val="222222"/>
                <w:sz w:val="17"/>
              </w:rPr>
              <w:t>SG6-DUPLICATE-PART-TABLE</w:t>
            </w:r>
          </w:p>
        </w:tc>
        <w:tc>
          <w:tcPr>
            <w:tcW w:type="dxa" w:w="3175"/>
            <w:vAlign w:val="center"/>
          </w:tcPr>
          <w:p>
            <w:pPr>
              <w:spacing w:after="0"/>
            </w:pPr>
            <w:r/>
            <w:r>
              <w:rPr>
                <w:rFonts w:ascii="Noto Serif CJK SC" w:hAnsi="Noto Serif CJK SC" w:eastAsia="Noto Serif CJK SC"/>
                <w:b w:val="0"/>
                <w:color w:val="222222"/>
                <w:sz w:val="17"/>
              </w:rPr>
              <w:t>独立修改复制表的器材名称</w:t>
            </w:r>
          </w:p>
        </w:tc>
        <w:tc>
          <w:tcPr>
            <w:tcW w:type="dxa" w:w="3515"/>
            <w:vAlign w:val="center"/>
          </w:tcPr>
          <w:p>
            <w:pPr>
              <w:spacing w:after="0"/>
            </w:pPr>
            <w:r/>
            <w:r>
              <w:rPr>
                <w:rFonts w:ascii="Noto Serif CJK SC" w:hAnsi="Noto Serif CJK SC" w:eastAsia="Noto Serif CJK SC"/>
                <w:b w:val="0"/>
                <w:color w:val="222222"/>
                <w:sz w:val="17"/>
              </w:rPr>
              <w:t>SG6上升为冗余风险；运行后DQ5冲突增加</w:t>
            </w:r>
          </w:p>
        </w:tc>
      </w:tr>
      <w:tr>
        <w:trPr>
          <w:cantSplit/>
        </w:trPr>
        <w:tc>
          <w:tcPr>
            <w:tcW w:type="dxa" w:w="3211"/>
          </w:tcPr>
          <w:p>
            <w:pPr>
              <w:spacing w:after="0"/>
            </w:pPr>
            <w:r>
              <w:t>SG3-CONTROLLED-NO-FK</w:t>
            </w:r>
          </w:p>
        </w:tc>
        <w:tc>
          <w:tcPr>
            <w:tcW w:type="dxa" w:w="3211"/>
          </w:tcPr>
          <w:p>
            <w:pPr>
              <w:spacing w:after="0"/>
            </w:pPr>
            <w:r>
              <w:t>执行仅包含有效part_id的受控写入负载</w:t>
            </w:r>
          </w:p>
        </w:tc>
        <w:tc>
          <w:tcPr>
            <w:tcW w:type="dxa" w:w="3211"/>
          </w:tcPr>
          <w:p>
            <w:pPr>
              <w:spacing w:after="0"/>
            </w:pPr>
            <w:r>
              <w:t>SG3维持可接受水平；DQ6孤儿率保持0；不触发关系底线</w:t>
            </w:r>
          </w:p>
        </w:tc>
      </w:tr>
    </w:tbl>
    <w:p>
      <w:pPr>
        <w:spacing w:after="20"/>
      </w:pPr>
    </w:p>
    <w:p>
      <w:pPr>
        <w:pStyle w:val="Heading2"/>
      </w:pPr>
      <w:r>
        <w:t>12.4 污染率和重复实验</w:t>
      </w:r>
    </w:p>
    <w:p>
      <w:r>
        <w:t>数据场景默认提供@RatePct和@Seed。建议污染率设置为1%、3%、5%、10%、20%，每档至少5个随机种子。单缺陷实验必须在独立数据库副本执行；混合缺陷另设组合实验，不能把连续叠加后的数据库误当作单缺陷结果。</w:t>
      </w:r>
    </w:p>
    <w:p>
      <w:pPr>
        <w:spacing w:before="80" w:after="100"/>
        <w:jc w:val="center"/>
      </w:pPr>
      <w:r>
        <w:rPr>
          <w:rFonts w:ascii="Cambria Math" w:hAnsi="Cambria Math"/>
          <w:sz w:val="22"/>
        </w:rPr>
        <w:t>Q_{0%} &gt; Q_{1%} &gt; Q_{3%} &gt; Q_{5%} &gt; Q_{10%} &gt; Q_{20%}</w:t>
      </w:r>
      <w:r>
        <w:rPr>
          <w:sz w:val="18"/>
        </w:rPr>
        <w:t xml:space="preserve">    （13）</w:t>
      </w:r>
    </w:p>
    <w:p>
      <w:pPr>
        <w:pStyle w:val="Heading1"/>
      </w:pPr>
      <w:r>
        <w:t>13 代码实现映射与测试结果</w:t>
      </w:r>
    </w:p>
    <w:p>
      <w:pPr>
        <w:pStyle w:val="Heading2"/>
      </w:pPr>
      <w:r>
        <w:t>13.1 U1.2主要代码调整</w:t>
      </w:r>
    </w:p>
    <w:tbl>
      <w:tblPr>
        <w:tblStyle w:val="TableGrid"/>
        <w:tblW w:type="auto" w:w="0"/>
        <w:jc w:val="center"/>
        <w:tblLook w:firstColumn="1" w:firstRow="1" w:lastColumn="0" w:lastRow="0" w:noHBand="0" w:noVBand="1" w:val="04A0"/>
      </w:tblPr>
      <w:tblGrid>
        <w:gridCol w:w="4816"/>
        <w:gridCol w:w="4816"/>
      </w:tblGrid>
      <w:tr>
        <w:trPr>
          <w:cantSplit/>
        </w:trPr>
        <w:tc>
          <w:tcPr>
            <w:tcW w:type="dxa" w:w="2835"/>
            <w:vAlign w:val="center"/>
            <w:shd w:fill="365A7A"/>
          </w:tcPr>
          <w:p>
            <w:pPr>
              <w:spacing w:after="0"/>
            </w:pPr>
            <w:r/>
            <w:r>
              <w:rPr>
                <w:rFonts w:ascii="Noto Serif CJK SC" w:hAnsi="Noto Serif CJK SC" w:eastAsia="Noto Serif CJK SC"/>
                <w:b/>
                <w:color w:val="FFFFFF"/>
                <w:sz w:val="16"/>
              </w:rPr>
              <w:t>文件/模块</w:t>
            </w:r>
          </w:p>
        </w:tc>
        <w:tc>
          <w:tcPr>
            <w:tcW w:type="dxa" w:w="6520"/>
            <w:vAlign w:val="center"/>
            <w:shd w:fill="365A7A"/>
          </w:tcPr>
          <w:p>
            <w:pPr>
              <w:spacing w:after="0"/>
            </w:pPr>
            <w:r/>
            <w:r>
              <w:rPr>
                <w:rFonts w:ascii="Noto Serif CJK SC" w:hAnsi="Noto Serif CJK SC" w:eastAsia="Noto Serif CJK SC"/>
                <w:b/>
                <w:color w:val="FFFFFF"/>
                <w:sz w:val="16"/>
              </w:rPr>
              <w:t>修改内容</w:t>
            </w:r>
          </w:p>
        </w:tc>
      </w:tr>
      <w:tr>
        <w:trPr>
          <w:cantSplit/>
        </w:trPr>
        <w:tc>
          <w:tcPr>
            <w:tcW w:type="dxa" w:w="2835"/>
            <w:vAlign w:val="center"/>
          </w:tcPr>
          <w:p>
            <w:pPr>
              <w:spacing w:after="0"/>
            </w:pPr>
            <w:r/>
            <w:r>
              <w:rPr>
                <w:rFonts w:ascii="Noto Serif CJK SC" w:hAnsi="Noto Serif CJK SC" w:eastAsia="Noto Serif CJK SC"/>
                <w:b w:val="0"/>
                <w:color w:val="222222"/>
                <w:sz w:val="16"/>
              </w:rPr>
              <w:t>sqlserver/config.py</w:t>
            </w:r>
          </w:p>
        </w:tc>
        <w:tc>
          <w:tcPr>
            <w:tcW w:type="dxa" w:w="6520"/>
            <w:vAlign w:val="center"/>
          </w:tcPr>
          <w:p>
            <w:pPr>
              <w:spacing w:after="0"/>
            </w:pPr>
            <w:r>
              <w:t>新增RelationshipControlRule，支持预期关系、替代控制、受控例外、重要度、控制阈值；保留LogicalForeignKeyRule兼容</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sqlserver/profiler.py</w:t>
            </w:r>
          </w:p>
        </w:tc>
        <w:tc>
          <w:tcPr>
            <w:tcW w:type="dxa" w:w="6520"/>
            <w:vAlign w:val="center"/>
            <w:shd w:fill="F3F6F8"/>
          </w:tcPr>
          <w:p>
            <w:pPr>
              <w:spacing w:after="0"/>
            </w:pPr>
            <w:r>
              <w:t>匹配可信物理外键；计算机制强度、控制有效度、语义完整度、例外治理分和孤儿率</w:t>
            </w:r>
          </w:p>
        </w:tc>
      </w:tr>
      <w:tr>
        <w:trPr>
          <w:cantSplit/>
        </w:trPr>
        <w:tc>
          <w:tcPr>
            <w:tcW w:type="dxa" w:w="2835"/>
            <w:vAlign w:val="center"/>
          </w:tcPr>
          <w:p>
            <w:pPr>
              <w:spacing w:after="0"/>
            </w:pPr>
            <w:r/>
            <w:r>
              <w:rPr>
                <w:rFonts w:ascii="Noto Serif CJK SC" w:hAnsi="Noto Serif CJK SC" w:eastAsia="Noto Serif CJK SC"/>
                <w:b w:val="0"/>
                <w:color w:val="222222"/>
                <w:sz w:val="16"/>
              </w:rPr>
              <w:t>sqlserver/analyzer.py</w:t>
            </w:r>
          </w:p>
        </w:tc>
        <w:tc>
          <w:tcPr>
            <w:tcW w:type="dxa" w:w="6520"/>
            <w:vAlign w:val="center"/>
          </w:tcPr>
          <w:p>
            <w:pPr>
              <w:spacing w:after="0"/>
            </w:pPr>
            <w:r>
              <w:t>重构DQ6、SG3、SG4和关系底线；无物理外键不再自动记零分，根因统一为关系完整性控制不足</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robustness.py</w:t>
            </w:r>
          </w:p>
        </w:tc>
        <w:tc>
          <w:tcPr>
            <w:tcW w:type="dxa" w:w="6520"/>
            <w:vAlign w:val="center"/>
            <w:shd w:fill="F3F6F8"/>
          </w:tcPr>
          <w:p>
            <w:pPr>
              <w:spacing w:after="0"/>
            </w:pPr>
            <w:r/>
            <w:r>
              <w:rPr>
                <w:rFonts w:ascii="Noto Serif CJK SC" w:hAnsi="Noto Serif CJK SC" w:eastAsia="Noto Serif CJK SC"/>
                <w:b w:val="0"/>
                <w:color w:val="222222"/>
                <w:sz w:val="16"/>
              </w:rPr>
              <w:t>冗余扰动后重算风险等级；新增DeterministicSensitivityAnalyzer</w:t>
            </w:r>
          </w:p>
        </w:tc>
      </w:tr>
      <w:tr>
        <w:trPr>
          <w:cantSplit/>
        </w:trPr>
        <w:tc>
          <w:tcPr>
            <w:tcW w:type="dxa" w:w="2835"/>
            <w:vAlign w:val="center"/>
          </w:tcPr>
          <w:p>
            <w:pPr>
              <w:spacing w:after="0"/>
            </w:pPr>
            <w:r/>
            <w:r>
              <w:rPr>
                <w:rFonts w:ascii="Noto Serif CJK SC" w:hAnsi="Noto Serif CJK SC" w:eastAsia="Noto Serif CJK SC"/>
                <w:b w:val="0"/>
                <w:color w:val="222222"/>
                <w:sz w:val="16"/>
              </w:rPr>
              <w:t>core.py / models.py</w:t>
            </w:r>
          </w:p>
        </w:tc>
        <w:tc>
          <w:tcPr>
            <w:tcW w:type="dxa" w:w="6520"/>
            <w:vAlign w:val="center"/>
          </w:tcPr>
          <w:p>
            <w:pPr>
              <w:spacing w:after="0"/>
            </w:pPr>
            <w:r/>
            <w:r>
              <w:rPr>
                <w:rFonts w:ascii="Noto Serif CJK SC" w:hAnsi="Noto Serif CJK SC" w:eastAsia="Noto Serif CJK SC"/>
                <w:b w:val="0"/>
                <w:color w:val="222222"/>
                <w:sz w:val="16"/>
              </w:rPr>
              <w:t>新增sensitivity入口及SensitivityCase/SensitivityReport</w:t>
            </w:r>
          </w:p>
        </w:tc>
      </w:tr>
      <w:tr>
        <w:trPr>
          <w:cantSplit/>
        </w:trPr>
        <w:tc>
          <w:tcPr>
            <w:tcW w:type="dxa" w:w="2835"/>
            <w:vAlign w:val="center"/>
            <w:shd w:fill="F3F6F8"/>
          </w:tcPr>
          <w:p>
            <w:pPr>
              <w:spacing w:after="0"/>
            </w:pPr>
            <w:r/>
            <w:r>
              <w:rPr>
                <w:rFonts w:ascii="Noto Serif CJK SC" w:hAnsi="Noto Serif CJK SC" w:eastAsia="Noto Serif CJK SC"/>
                <w:b w:val="0"/>
                <w:color w:val="222222"/>
                <w:sz w:val="16"/>
              </w:rPr>
              <w:t>config/sqlserver/aeromro_benchmark.yaml</w:t>
            </w:r>
          </w:p>
        </w:tc>
        <w:tc>
          <w:tcPr>
            <w:tcW w:type="dxa" w:w="6520"/>
            <w:vAlign w:val="center"/>
            <w:shd w:fill="F3F6F8"/>
          </w:tcPr>
          <w:p>
            <w:pPr>
              <w:spacing w:after="0"/>
            </w:pPr>
            <w:r>
              <w:t>形成物理外键基线、受控无外键和非受控无外键三份关系控制配置</w:t>
            </w:r>
          </w:p>
        </w:tc>
      </w:tr>
      <w:tr>
        <w:trPr>
          <w:cantSplit/>
        </w:trPr>
        <w:tc>
          <w:tcPr>
            <w:tcW w:type="dxa" w:w="2835"/>
            <w:vAlign w:val="center"/>
          </w:tcPr>
          <w:p>
            <w:pPr>
              <w:spacing w:after="0"/>
            </w:pPr>
            <w:r/>
            <w:r>
              <w:rPr>
                <w:rFonts w:ascii="Noto Serif CJK SC" w:hAnsi="Noto Serif CJK SC" w:eastAsia="Noto Serif CJK SC"/>
                <w:b w:val="0"/>
                <w:color w:val="222222"/>
                <w:sz w:val="16"/>
              </w:rPr>
              <w:t>benchmark/aeromro</w:t>
            </w:r>
          </w:p>
        </w:tc>
        <w:tc>
          <w:tcPr>
            <w:tcW w:type="dxa" w:w="6520"/>
            <w:vAlign w:val="center"/>
          </w:tcPr>
          <w:p>
            <w:pPr>
              <w:spacing w:after="0"/>
            </w:pPr>
            <w:r>
              <w:t>新增relationship_control_registry、两类无外键场景、阴性对照/传播负载和关系控制真值矩阵</w:t>
            </w:r>
          </w:p>
        </w:tc>
      </w:tr>
    </w:tbl>
    <w:p>
      <w:pPr>
        <w:spacing w:after="20"/>
      </w:pPr>
    </w:p>
    <w:p>
      <w:pPr>
        <w:pStyle w:val="Heading2"/>
      </w:pPr>
      <w:r>
        <w:t>13.2 当前测试状态</w:t>
      </w:r>
    </w:p>
    <w:tbl>
      <w:tblPr>
        <w:tblStyle w:val="TableGrid"/>
        <w:tblW w:type="auto" w:w="0"/>
        <w:jc w:val="center"/>
        <w:tblLook w:firstColumn="1" w:firstRow="1" w:lastColumn="0" w:lastRow="0" w:noHBand="0" w:noVBand="1" w:val="04A0"/>
      </w:tblPr>
      <w:tblGrid>
        <w:gridCol w:w="9632"/>
      </w:tblGrid>
      <w:tr>
        <w:trPr>
          <w:cantSplit/>
        </w:trPr>
        <w:tc>
          <w:tcPr>
            <w:tcW w:type="dxa" w:w="9632"/>
            <w:shd w:fill="E9F7EF"/>
          </w:tcPr>
          <w:p>
            <w:pPr>
              <w:spacing w:after="0"/>
            </w:pPr>
            <w:r>
              <w:t>已完成：Python测试共32项，全部通过；新增覆盖关系控制配置解析、可信物理外键识别、受控无外键不自动误罚、非受控无外键触发底线，以及AeroMRO关系控制场景与真值矩阵检查。当前环境未连接真实SQL Server，DDL兼容性、执行计划和大规模负载仍需在SQL Server 2019及以上实例验证。</w:t>
            </w:r>
          </w:p>
        </w:tc>
      </w:tr>
    </w:tbl>
    <w:p>
      <w:pPr>
        <w:spacing w:after="20"/>
      </w:pPr>
    </w:p>
    <w:tbl>
      <w:tblPr>
        <w:tblStyle w:val="TableGrid"/>
        <w:tblW w:type="auto" w:w="0"/>
        <w:jc w:val="center"/>
        <w:tblLook w:firstColumn="1" w:firstRow="1" w:lastColumn="0" w:lastRow="0" w:noHBand="0" w:noVBand="1" w:val="04A0"/>
      </w:tblPr>
      <w:tblGrid>
        <w:gridCol w:w="9632"/>
      </w:tblGrid>
      <w:tr>
        <w:trPr>
          <w:cantSplit/>
        </w:trPr>
        <w:tc>
          <w:tcPr>
            <w:tcW w:type="dxa" w:w="9632"/>
            <w:shd w:fill="FFF0F0"/>
          </w:tcPr>
          <w:p>
            <w:pPr>
              <w:spacing w:after="40"/>
            </w:pPr>
            <w:r/>
            <w:r>
              <w:rPr>
                <w:b/>
                <w:color w:val="274D6B"/>
              </w:rPr>
              <w:t>尚未完成：</w:t>
            </w:r>
            <w:r>
              <w:t>当前环境没有可用SQL Server实例，因此尚未实际执行建库脚本、污染脚本和真实数据库端到端评价。交付包提供SQL Server 2019+脚本和运行说明，正式论文结果必须在真实实例上补做兼容性、性能和分值校准。</w:t>
            </w:r>
          </w:p>
        </w:tc>
      </w:tr>
    </w:tbl>
    <w:p>
      <w:pPr>
        <w:spacing w:after="20"/>
      </w:pPr>
    </w:p>
    <w:p>
      <w:pPr>
        <w:pStyle w:val="Heading2"/>
      </w:pPr>
      <w:r>
        <w:t>13.3 关键新增API</w:t>
      </w:r>
    </w:p>
    <w:p>
      <w:pPr>
        <w:pStyle w:val="CodeBlock"/>
      </w:pPr>
      <w:r>
        <w:t>report = model.sensitivity(</w:t>
        <w:br/>
        <w:t xml:space="preserve">    indicators=indicators,</w:t>
        <w:br/>
        <w:t xml:space="preserve">    dq_weights=dq_weights,</w:t>
        <w:br/>
        <w:t xml:space="preserve">    sg_weights=sg_weights,</w:t>
        <w:br/>
        <w:t xml:space="preserve">    coupling_relations=relations,</w:t>
        <w:br/>
        <w:t xml:space="preserve">    perturbations=(0.8, 0.9, 1.1, 1.2),</w:t>
        <w:br/>
        <w:t xml:space="preserve">    top_k=5,</w:t>
        <w:br/>
        <w:t>)</w:t>
      </w:r>
    </w:p>
    <w:p>
      <w:pPr>
        <w:pStyle w:val="Heading1"/>
      </w:pPr>
      <w:r>
        <w:t>14 推荐实验实施流程</w:t>
      </w:r>
    </w:p>
    <w:p>
      <w:pPr>
        <w:pStyle w:val="ListNumber"/>
        <w:spacing w:after="40"/>
      </w:pPr>
      <w:r>
        <w:t>在SQL Server 2019+创建干净基准库，执行00_create_database.sql、01_clean_schema.sql和02_seed_clean_small.sql。</w:t>
      </w:r>
    </w:p>
    <w:p>
      <w:pPr>
        <w:pStyle w:val="ListNumber"/>
        <w:spacing w:after="40"/>
      </w:pPr>
      <w:r>
        <w:t>创建最小权限只读评价账号，配置EDQSG_DB_PASSWORD，运行aeromro_benchmark.yaml并保存可信物理外键基线。随后分别使用controlled_no_fk与uncontrolled_no_fk配置完成关系控制对照。</w:t>
      </w:r>
    </w:p>
    <w:p>
      <w:pPr>
        <w:pStyle w:val="ListNumber"/>
        <w:spacing w:after="40"/>
      </w:pPr>
      <w:r>
        <w:t>先进行配置/证据消融：分别移除预期关系控制、过程证据、专家证据和显式SG规则，观察未知度、SG3/SG4和根因变化。</w:t>
      </w:r>
    </w:p>
    <w:p>
      <w:pPr>
        <w:pStyle w:val="ListNumber"/>
        <w:spacing w:after="40"/>
      </w:pPr>
      <w:r>
        <w:t>对每个数据缺陷场景按五档污染率和多个随机种子建立独立副本，评价分数单调性、识别F1和底线触发。</w:t>
      </w:r>
    </w:p>
    <w:p>
      <w:pPr>
        <w:pStyle w:val="ListNumber"/>
        <w:spacing w:after="40"/>
      </w:pPr>
      <w:r>
        <w:t>对每个结构缺陷场景先评价一次S，再执行传播负载后评价Q、根因和治理任务。</w:t>
      </w:r>
    </w:p>
    <w:p>
      <w:pPr>
        <w:pStyle w:val="ListNumber"/>
        <w:spacing w:after="40"/>
      </w:pPr>
      <w:r>
        <w:t>运行M1—M5对照与消融，计算与真值和专家评价的一致性。</w:t>
      </w:r>
    </w:p>
    <w:p>
      <w:pPr>
        <w:pStyle w:val="ListNumber"/>
        <w:spacing w:after="40"/>
      </w:pPr>
      <w:r>
        <w:t>运行单因素±10%/±20%确定性敏感性和蒙特卡洛稳健性，报告等级、根因和任务反转。</w:t>
      </w:r>
    </w:p>
    <w:p>
      <w:pPr>
        <w:pStyle w:val="ListNumber"/>
        <w:spacing w:after="40"/>
      </w:pPr>
      <w:r>
        <w:t>选择1—2个高根因贡献问题实施真实治理，重新采集证据并复评，形成论文最关键的闭环证据。</w:t>
      </w:r>
    </w:p>
    <w:p>
      <w:pPr>
        <w:pStyle w:val="Heading2"/>
      </w:pPr>
      <w:r>
        <w:t>14.1 建议的论文主实验矩阵</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2041"/>
            <w:vAlign w:val="center"/>
            <w:shd w:fill="365A7A"/>
          </w:tcPr>
          <w:p>
            <w:pPr>
              <w:spacing w:after="0"/>
            </w:pPr>
            <w:r/>
            <w:r>
              <w:rPr>
                <w:rFonts w:ascii="Noto Serif CJK SC" w:hAnsi="Noto Serif CJK SC" w:eastAsia="Noto Serif CJK SC"/>
                <w:b/>
                <w:color w:val="FFFFFF"/>
                <w:sz w:val="17"/>
              </w:rPr>
              <w:t>实验组</w:t>
            </w:r>
          </w:p>
        </w:tc>
        <w:tc>
          <w:tcPr>
            <w:tcW w:type="dxa" w:w="3628"/>
            <w:vAlign w:val="center"/>
            <w:shd w:fill="365A7A"/>
          </w:tcPr>
          <w:p>
            <w:pPr>
              <w:spacing w:after="0"/>
            </w:pPr>
            <w:r/>
            <w:r>
              <w:rPr>
                <w:rFonts w:ascii="Noto Serif CJK SC" w:hAnsi="Noto Serif CJK SC" w:eastAsia="Noto Serif CJK SC"/>
                <w:b/>
                <w:color w:val="FFFFFF"/>
                <w:sz w:val="17"/>
              </w:rPr>
              <w:t>自变量</w:t>
            </w:r>
          </w:p>
        </w:tc>
        <w:tc>
          <w:tcPr>
            <w:tcW w:type="dxa" w:w="3685"/>
            <w:vAlign w:val="center"/>
            <w:shd w:fill="365A7A"/>
          </w:tcPr>
          <w:p>
            <w:pPr>
              <w:spacing w:after="0"/>
            </w:pPr>
            <w:r/>
            <w:r>
              <w:rPr>
                <w:rFonts w:ascii="Noto Serif CJK SC" w:hAnsi="Noto Serif CJK SC" w:eastAsia="Noto Serif CJK SC"/>
                <w:b/>
                <w:color w:val="FFFFFF"/>
                <w:sz w:val="17"/>
              </w:rPr>
              <w:t>主要因变量</w:t>
            </w:r>
          </w:p>
        </w:tc>
      </w:tr>
      <w:tr>
        <w:trPr>
          <w:cantSplit/>
        </w:trPr>
        <w:tc>
          <w:tcPr>
            <w:tcW w:type="dxa" w:w="2041"/>
            <w:vAlign w:val="center"/>
          </w:tcPr>
          <w:p>
            <w:pPr>
              <w:spacing w:after="0"/>
            </w:pPr>
            <w:r/>
            <w:r>
              <w:rPr>
                <w:rFonts w:ascii="Noto Serif CJK SC" w:hAnsi="Noto Serif CJK SC" w:eastAsia="Noto Serif CJK SC"/>
                <w:b w:val="0"/>
                <w:color w:val="222222"/>
                <w:sz w:val="17"/>
              </w:rPr>
              <w:t>E1 数据污染</w:t>
            </w:r>
          </w:p>
        </w:tc>
        <w:tc>
          <w:tcPr>
            <w:tcW w:type="dxa" w:w="3628"/>
            <w:vAlign w:val="center"/>
          </w:tcPr>
          <w:p>
            <w:pPr>
              <w:spacing w:after="0"/>
            </w:pPr>
            <w:r/>
            <w:r>
              <w:rPr>
                <w:rFonts w:ascii="Noto Serif CJK SC" w:hAnsi="Noto Serif CJK SC" w:eastAsia="Noto Serif CJK SC"/>
                <w:b w:val="0"/>
                <w:color w:val="222222"/>
                <w:sz w:val="17"/>
              </w:rPr>
              <w:t>缺陷类型×污染率×规模</w:t>
            </w:r>
          </w:p>
        </w:tc>
        <w:tc>
          <w:tcPr>
            <w:tcW w:type="dxa" w:w="3685"/>
            <w:vAlign w:val="center"/>
          </w:tcPr>
          <w:p>
            <w:pPr>
              <w:spacing w:after="0"/>
            </w:pPr>
            <w:r/>
            <w:r>
              <w:rPr>
                <w:rFonts w:ascii="Noto Serif CJK SC" w:hAnsi="Noto Serif CJK SC" w:eastAsia="Noto Serif CJK SC"/>
                <w:b w:val="0"/>
                <w:color w:val="222222"/>
                <w:sz w:val="17"/>
              </w:rPr>
              <w:t>DQ分数、F1、底线、单调性</w:t>
            </w:r>
          </w:p>
        </w:tc>
      </w:tr>
      <w:tr>
        <w:trPr>
          <w:cantSplit/>
        </w:trPr>
        <w:tc>
          <w:tcPr>
            <w:tcW w:type="dxa" w:w="2041"/>
            <w:vAlign w:val="center"/>
            <w:shd w:fill="F3F6F8"/>
          </w:tcPr>
          <w:p>
            <w:pPr>
              <w:spacing w:after="0"/>
            </w:pPr>
            <w:r/>
            <w:r>
              <w:rPr>
                <w:rFonts w:ascii="Noto Serif CJK SC" w:hAnsi="Noto Serif CJK SC" w:eastAsia="Noto Serif CJK SC"/>
                <w:b w:val="0"/>
                <w:color w:val="222222"/>
                <w:sz w:val="17"/>
              </w:rPr>
              <w:t>E2 结构变异</w:t>
            </w:r>
          </w:p>
        </w:tc>
        <w:tc>
          <w:tcPr>
            <w:tcW w:type="dxa" w:w="3628"/>
            <w:vAlign w:val="center"/>
            <w:shd w:fill="F3F6F8"/>
          </w:tcPr>
          <w:p>
            <w:pPr>
              <w:spacing w:after="0"/>
            </w:pPr>
            <w:r/>
            <w:r>
              <w:rPr>
                <w:rFonts w:ascii="Noto Serif CJK SC" w:hAnsi="Noto Serif CJK SC" w:eastAsia="Noto Serif CJK SC"/>
                <w:b w:val="0"/>
                <w:color w:val="222222"/>
                <w:sz w:val="17"/>
              </w:rPr>
              <w:t>结构缺陷类型×规模</w:t>
            </w:r>
          </w:p>
        </w:tc>
        <w:tc>
          <w:tcPr>
            <w:tcW w:type="dxa" w:w="3685"/>
            <w:vAlign w:val="center"/>
            <w:shd w:fill="F3F6F8"/>
          </w:tcPr>
          <w:p>
            <w:pPr>
              <w:spacing w:after="0"/>
            </w:pPr>
            <w:r/>
            <w:r>
              <w:rPr>
                <w:rFonts w:ascii="Noto Serif CJK SC" w:hAnsi="Noto Serif CJK SC" w:eastAsia="Noto Serif CJK SC"/>
                <w:b w:val="0"/>
                <w:color w:val="222222"/>
                <w:sz w:val="17"/>
              </w:rPr>
              <w:t>SG分数、结构识别、治理建议</w:t>
            </w:r>
          </w:p>
        </w:tc>
      </w:tr>
      <w:tr>
        <w:trPr>
          <w:cantSplit/>
        </w:trPr>
        <w:tc>
          <w:tcPr>
            <w:tcW w:type="dxa" w:w="2041"/>
            <w:vAlign w:val="center"/>
          </w:tcPr>
          <w:p>
            <w:pPr>
              <w:spacing w:after="0"/>
            </w:pPr>
            <w:r/>
            <w:r>
              <w:rPr>
                <w:rFonts w:ascii="Noto Serif CJK SC" w:hAnsi="Noto Serif CJK SC" w:eastAsia="Noto Serif CJK SC"/>
                <w:b w:val="0"/>
                <w:color w:val="222222"/>
                <w:sz w:val="17"/>
              </w:rPr>
              <w:t>E3 传播实验</w:t>
            </w:r>
          </w:p>
        </w:tc>
        <w:tc>
          <w:tcPr>
            <w:tcW w:type="dxa" w:w="3628"/>
            <w:vAlign w:val="center"/>
          </w:tcPr>
          <w:p>
            <w:pPr>
              <w:spacing w:after="0"/>
            </w:pPr>
            <w:r/>
            <w:r>
              <w:rPr>
                <w:rFonts w:ascii="Noto Serif CJK SC" w:hAnsi="Noto Serif CJK SC" w:eastAsia="Noto Serif CJK SC"/>
                <w:b w:val="0"/>
                <w:color w:val="222222"/>
                <w:sz w:val="17"/>
              </w:rPr>
              <w:t>结构变异×业务负载时间/次数</w:t>
            </w:r>
          </w:p>
        </w:tc>
        <w:tc>
          <w:tcPr>
            <w:tcW w:type="dxa" w:w="3685"/>
            <w:vAlign w:val="center"/>
          </w:tcPr>
          <w:p>
            <w:pPr>
              <w:spacing w:after="0"/>
            </w:pPr>
            <w:r/>
            <w:r>
              <w:rPr>
                <w:rFonts w:ascii="Noto Serif CJK SC" w:hAnsi="Noto Serif CJK SC" w:eastAsia="Noto Serif CJK SC"/>
                <w:b w:val="0"/>
                <w:color w:val="222222"/>
                <w:sz w:val="17"/>
              </w:rPr>
              <w:t>关联DQ下降、RC排序、路径命中</w:t>
            </w:r>
          </w:p>
        </w:tc>
      </w:tr>
      <w:tr>
        <w:trPr>
          <w:cantSplit/>
        </w:trPr>
        <w:tc>
          <w:tcPr>
            <w:tcW w:type="dxa" w:w="2041"/>
            <w:vAlign w:val="center"/>
            <w:shd w:fill="F3F6F8"/>
          </w:tcPr>
          <w:p>
            <w:pPr>
              <w:spacing w:after="0"/>
            </w:pPr>
            <w:r/>
            <w:r>
              <w:rPr>
                <w:rFonts w:ascii="Noto Serif CJK SC" w:hAnsi="Noto Serif CJK SC" w:eastAsia="Noto Serif CJK SC"/>
                <w:b w:val="0"/>
                <w:color w:val="222222"/>
                <w:sz w:val="17"/>
              </w:rPr>
              <w:t>E4 证据实验</w:t>
            </w:r>
          </w:p>
        </w:tc>
        <w:tc>
          <w:tcPr>
            <w:tcW w:type="dxa" w:w="3628"/>
            <w:vAlign w:val="center"/>
            <w:shd w:fill="F3F6F8"/>
          </w:tcPr>
          <w:p>
            <w:pPr>
              <w:spacing w:after="0"/>
            </w:pPr>
            <w:r/>
            <w:r>
              <w:rPr>
                <w:rFonts w:ascii="Noto Serif CJK SC" w:hAnsi="Noto Serif CJK SC" w:eastAsia="Noto Serif CJK SC"/>
                <w:b w:val="0"/>
                <w:color w:val="222222"/>
                <w:sz w:val="17"/>
              </w:rPr>
              <w:t>覆盖/可靠性/冲突组合</w:t>
            </w:r>
          </w:p>
        </w:tc>
        <w:tc>
          <w:tcPr>
            <w:tcW w:type="dxa" w:w="3685"/>
            <w:vAlign w:val="center"/>
            <w:shd w:fill="F3F6F8"/>
          </w:tcPr>
          <w:p>
            <w:pPr>
              <w:spacing w:after="0"/>
            </w:pPr>
            <w:r/>
            <w:r>
              <w:rPr>
                <w:rFonts w:ascii="Noto Serif CJK SC" w:hAnsi="Noto Serif CJK SC" w:eastAsia="Noto Serif CJK SC"/>
                <w:b w:val="0"/>
                <w:color w:val="222222"/>
                <w:sz w:val="17"/>
              </w:rPr>
              <w:t>分数、可信度、未知、复核率</w:t>
            </w:r>
          </w:p>
        </w:tc>
      </w:tr>
      <w:tr>
        <w:trPr>
          <w:cantSplit/>
        </w:trPr>
        <w:tc>
          <w:tcPr>
            <w:tcW w:type="dxa" w:w="2041"/>
            <w:vAlign w:val="center"/>
          </w:tcPr>
          <w:p>
            <w:pPr>
              <w:spacing w:after="0"/>
            </w:pPr>
            <w:r/>
            <w:r>
              <w:rPr>
                <w:rFonts w:ascii="Noto Serif CJK SC" w:hAnsi="Noto Serif CJK SC" w:eastAsia="Noto Serif CJK SC"/>
                <w:b w:val="0"/>
                <w:color w:val="222222"/>
                <w:sz w:val="17"/>
              </w:rPr>
              <w:t>E5 消融</w:t>
            </w:r>
          </w:p>
        </w:tc>
        <w:tc>
          <w:tcPr>
            <w:tcW w:type="dxa" w:w="3628"/>
            <w:vAlign w:val="center"/>
          </w:tcPr>
          <w:p>
            <w:pPr>
              <w:spacing w:after="0"/>
            </w:pPr>
            <w:r/>
            <w:r>
              <w:rPr>
                <w:rFonts w:ascii="Noto Serif CJK SC" w:hAnsi="Noto Serif CJK SC" w:eastAsia="Noto Serif CJK SC"/>
                <w:b w:val="0"/>
                <w:color w:val="222222"/>
                <w:sz w:val="17"/>
              </w:rPr>
              <w:t>M1—M5</w:t>
            </w:r>
          </w:p>
        </w:tc>
        <w:tc>
          <w:tcPr>
            <w:tcW w:type="dxa" w:w="3685"/>
            <w:vAlign w:val="center"/>
          </w:tcPr>
          <w:p>
            <w:pPr>
              <w:spacing w:after="0"/>
            </w:pPr>
            <w:r/>
            <w:r>
              <w:rPr>
                <w:rFonts w:ascii="Noto Serif CJK SC" w:hAnsi="Noto Serif CJK SC" w:eastAsia="Noto Serif CJK SC"/>
                <w:b w:val="0"/>
                <w:color w:val="222222"/>
                <w:sz w:val="17"/>
              </w:rPr>
              <w:t>准确率、根因率、采纳率、外部效度</w:t>
            </w:r>
          </w:p>
        </w:tc>
      </w:tr>
      <w:tr>
        <w:trPr>
          <w:cantSplit/>
        </w:trPr>
        <w:tc>
          <w:tcPr>
            <w:tcW w:type="dxa" w:w="2041"/>
            <w:vAlign w:val="center"/>
            <w:shd w:fill="F3F6F8"/>
          </w:tcPr>
          <w:p>
            <w:pPr>
              <w:spacing w:after="0"/>
            </w:pPr>
            <w:r/>
            <w:r>
              <w:rPr>
                <w:rFonts w:ascii="Noto Serif CJK SC" w:hAnsi="Noto Serif CJK SC" w:eastAsia="Noto Serif CJK SC"/>
                <w:b w:val="0"/>
                <w:color w:val="222222"/>
                <w:sz w:val="17"/>
              </w:rPr>
              <w:t>E6 稳健性</w:t>
            </w:r>
          </w:p>
        </w:tc>
        <w:tc>
          <w:tcPr>
            <w:tcW w:type="dxa" w:w="3628"/>
            <w:vAlign w:val="center"/>
            <w:shd w:fill="F3F6F8"/>
          </w:tcPr>
          <w:p>
            <w:pPr>
              <w:spacing w:after="0"/>
            </w:pPr>
            <w:r/>
            <w:r>
              <w:rPr>
                <w:rFonts w:ascii="Noto Serif CJK SC" w:hAnsi="Noto Serif CJK SC" w:eastAsia="Noto Serif CJK SC"/>
                <w:b w:val="0"/>
                <w:color w:val="222222"/>
                <w:sz w:val="17"/>
              </w:rPr>
              <w:t>参数±10%/±20%＋蒙特卡洛</w:t>
            </w:r>
          </w:p>
        </w:tc>
        <w:tc>
          <w:tcPr>
            <w:tcW w:type="dxa" w:w="3685"/>
            <w:vAlign w:val="center"/>
            <w:shd w:fill="F3F6F8"/>
          </w:tcPr>
          <w:p>
            <w:pPr>
              <w:spacing w:after="0"/>
            </w:pPr>
            <w:r/>
            <w:r>
              <w:rPr>
                <w:rFonts w:ascii="Noto Serif CJK SC" w:hAnsi="Noto Serif CJK SC" w:eastAsia="Noto Serif CJK SC"/>
                <w:b w:val="0"/>
                <w:color w:val="222222"/>
                <w:sz w:val="17"/>
              </w:rPr>
              <w:t>分数区间、等级/前K反转</w:t>
            </w:r>
          </w:p>
        </w:tc>
      </w:tr>
    </w:tbl>
    <w:p>
      <w:pPr>
        <w:spacing w:after="20"/>
      </w:pPr>
    </w:p>
    <w:p>
      <w:pPr>
        <w:pStyle w:val="Heading1"/>
      </w:pPr>
      <w:r>
        <w:t>15 适用边界与后续研究</w:t>
      </w:r>
    </w:p>
    <w:p>
      <w:pPr>
        <w:pStyle w:val="ListBullet"/>
        <w:spacing w:after="40"/>
      </w:pPr>
      <w:r>
        <w:t>本模型是评价和治理决策支持模型，不等同于因果发现算法。Q-S路径必须经过机制、专家和历史证据共同校准。</w:t>
      </w:r>
    </w:p>
    <w:p>
      <w:pPr>
        <w:pStyle w:val="ListBullet"/>
        <w:spacing w:after="40"/>
      </w:pPr>
      <w:r>
        <w:t>合成基准用于验证可识别性和控制变量，不替代真实器材系统证据；正式结论需在真实系统复评。</w:t>
      </w:r>
    </w:p>
    <w:p>
      <w:pPr>
        <w:pStyle w:val="ListBullet"/>
        <w:spacing w:after="40"/>
      </w:pPr>
      <w:r>
        <w:t>SG2的实体边界、规范化必要性和受控反规范化仍需要专家确认；自动规则只能提供可追溯候选。</w:t>
      </w:r>
    </w:p>
    <w:p>
      <w:pPr>
        <w:pStyle w:val="ListBullet"/>
        <w:spacing w:after="40"/>
      </w:pPr>
      <w:r>
        <w:t>过程和专家证据在基准配置中为synthetic baseline，不能在论文中冒充真实访谈或运行日志。</w:t>
      </w:r>
    </w:p>
    <w:p>
      <w:pPr>
        <w:pStyle w:val="ListBullet"/>
        <w:spacing w:after="40"/>
      </w:pPr>
      <w:r>
        <w:t>大型库的全量剖析可能影响生产系统，应使用只读副本、采样、分批和超时控制。</w:t>
      </w:r>
    </w:p>
    <w:p>
      <w:pPr>
        <w:pStyle w:val="ListBullet"/>
        <w:spacing w:after="40"/>
      </w:pPr>
      <w:r>
        <w:t>后续可研究耦合关系在线更新、治理任务推荐学习和跨系统字段语义映射，但应与当前模型主线分阶段发表。</w:t>
      </w:r>
    </w:p>
    <w:tbl>
      <w:tblPr>
        <w:tblStyle w:val="TableGrid"/>
        <w:tblW w:type="auto" w:w="0"/>
        <w:jc w:val="center"/>
        <w:tblLook w:firstColumn="1" w:firstRow="1" w:lastColumn="0" w:lastRow="0" w:noHBand="0" w:noVBand="1" w:val="04A0"/>
      </w:tblPr>
      <w:tblGrid>
        <w:gridCol w:w="9632"/>
      </w:tblGrid>
      <w:tr>
        <w:trPr>
          <w:cantSplit/>
        </w:trPr>
        <w:tc>
          <w:tcPr>
            <w:tcW w:type="dxa" w:w="9632"/>
            <w:shd w:fill="EAF3FB"/>
          </w:tcPr>
          <w:p>
            <w:pPr>
              <w:spacing w:after="40"/>
            </w:pPr>
            <w:r/>
            <w:r>
              <w:rPr>
                <w:b/>
                <w:color w:val="274D6B"/>
              </w:rPr>
              <w:t>推荐论文重点：</w:t>
            </w:r>
            <w:r>
              <w:t>第一篇论文聚焦：模型构建＋文档—代码一致性＋AeroMRO双域基准＋真实系统小规模复评。智能推荐和自动学习不宜在本阶段同时扩张，以避免主线过散。</w:t>
            </w:r>
          </w:p>
        </w:tc>
      </w:tr>
    </w:tbl>
    <w:p>
      <w:pPr>
        <w:spacing w:after="20"/>
      </w:pPr>
    </w:p>
    <w:p>
      <w:pPr>
        <w:pStyle w:val="Heading1"/>
      </w:pPr>
      <w:r>
        <w:t>附录A 指标—证据—代码—数据对照</w:t>
      </w:r>
    </w:p>
    <w:tbl>
      <w:tblPr>
        <w:tblStyle w:val="TableGrid"/>
        <w:tblW w:type="auto" w:w="0"/>
        <w:jc w:val="center"/>
        <w:tblLook w:firstColumn="1" w:firstRow="1" w:lastColumn="0" w:lastRow="0" w:noHBand="0" w:noVBand="1" w:val="04A0"/>
      </w:tblPr>
      <w:tblGrid>
        <w:gridCol w:w="2408"/>
        <w:gridCol w:w="2408"/>
        <w:gridCol w:w="2408"/>
        <w:gridCol w:w="2408"/>
      </w:tblGrid>
      <w:tr>
        <w:trPr>
          <w:cantSplit/>
        </w:trPr>
        <w:tc>
          <w:tcPr>
            <w:tcW w:type="dxa" w:w="1134"/>
            <w:vAlign w:val="center"/>
            <w:shd w:fill="365A7A"/>
          </w:tcPr>
          <w:p>
            <w:pPr>
              <w:spacing w:after="0"/>
            </w:pPr>
            <w:r/>
            <w:r>
              <w:rPr>
                <w:rFonts w:ascii="Noto Serif CJK SC" w:hAnsi="Noto Serif CJK SC" w:eastAsia="Noto Serif CJK SC"/>
                <w:b/>
                <w:color w:val="FFFFFF"/>
                <w:sz w:val="15"/>
              </w:rPr>
              <w:t>指标</w:t>
            </w:r>
          </w:p>
        </w:tc>
        <w:tc>
          <w:tcPr>
            <w:tcW w:type="dxa" w:w="2268"/>
            <w:vAlign w:val="center"/>
            <w:shd w:fill="365A7A"/>
          </w:tcPr>
          <w:p>
            <w:pPr>
              <w:spacing w:after="0"/>
            </w:pPr>
            <w:r/>
            <w:r>
              <w:rPr>
                <w:rFonts w:ascii="Noto Serif CJK SC" w:hAnsi="Noto Serif CJK SC" w:eastAsia="Noto Serif CJK SC"/>
                <w:b/>
                <w:color w:val="FFFFFF"/>
                <w:sz w:val="15"/>
              </w:rPr>
              <w:t>主要证据</w:t>
            </w:r>
          </w:p>
        </w:tc>
        <w:tc>
          <w:tcPr>
            <w:tcW w:type="dxa" w:w="2835"/>
            <w:vAlign w:val="center"/>
            <w:shd w:fill="365A7A"/>
          </w:tcPr>
          <w:p>
            <w:pPr>
              <w:spacing w:after="0"/>
            </w:pPr>
            <w:r/>
            <w:r>
              <w:rPr>
                <w:rFonts w:ascii="Noto Serif CJK SC" w:hAnsi="Noto Serif CJK SC" w:eastAsia="Noto Serif CJK SC"/>
                <w:b/>
                <w:color w:val="FFFFFF"/>
                <w:sz w:val="15"/>
              </w:rPr>
              <w:t>代码配置/模块</w:t>
            </w:r>
          </w:p>
        </w:tc>
        <w:tc>
          <w:tcPr>
            <w:tcW w:type="dxa" w:w="3118"/>
            <w:vAlign w:val="center"/>
            <w:shd w:fill="365A7A"/>
          </w:tcPr>
          <w:p>
            <w:pPr>
              <w:spacing w:after="0"/>
            </w:pPr>
            <w:r/>
            <w:r>
              <w:rPr>
                <w:rFonts w:ascii="Noto Serif CJK SC" w:hAnsi="Noto Serif CJK SC" w:eastAsia="Noto Serif CJK SC"/>
                <w:b/>
                <w:color w:val="FFFFFF"/>
                <w:sz w:val="15"/>
              </w:rPr>
              <w:t>基准对象</w:t>
            </w:r>
          </w:p>
        </w:tc>
      </w:tr>
      <w:tr>
        <w:trPr>
          <w:cantSplit/>
        </w:trPr>
        <w:tc>
          <w:tcPr>
            <w:tcW w:type="dxa" w:w="1134"/>
            <w:vAlign w:val="center"/>
          </w:tcPr>
          <w:p>
            <w:pPr>
              <w:spacing w:after="0"/>
            </w:pPr>
            <w:r/>
            <w:r>
              <w:rPr>
                <w:rFonts w:ascii="Noto Serif CJK SC" w:hAnsi="Noto Serif CJK SC" w:eastAsia="Noto Serif CJK SC"/>
                <w:b w:val="0"/>
                <w:color w:val="222222"/>
                <w:sz w:val="15"/>
              </w:rPr>
              <w:t>DQ1</w:t>
            </w:r>
          </w:p>
        </w:tc>
        <w:tc>
          <w:tcPr>
            <w:tcW w:type="dxa" w:w="2268"/>
            <w:vAlign w:val="center"/>
          </w:tcPr>
          <w:p>
            <w:pPr>
              <w:spacing w:after="0"/>
            </w:pPr>
            <w:r/>
            <w:r>
              <w:rPr>
                <w:rFonts w:ascii="Noto Serif CJK SC" w:hAnsi="Noto Serif CJK SC" w:eastAsia="Noto Serif CJK SC"/>
                <w:b w:val="0"/>
                <w:color w:val="222222"/>
                <w:sz w:val="15"/>
              </w:rPr>
              <w:t>必填/条件必填</w:t>
            </w:r>
          </w:p>
        </w:tc>
        <w:tc>
          <w:tcPr>
            <w:tcW w:type="dxa" w:w="2835"/>
            <w:vAlign w:val="center"/>
          </w:tcPr>
          <w:p>
            <w:pPr>
              <w:spacing w:after="0"/>
            </w:pPr>
            <w:r/>
            <w:r>
              <w:rPr>
                <w:rFonts w:ascii="Noto Serif CJK SC" w:hAnsi="Noto Serif CJK SC" w:eastAsia="Noto Serif CJK SC"/>
                <w:b w:val="0"/>
                <w:color w:val="222222"/>
                <w:sz w:val="15"/>
              </w:rPr>
              <w:t>required_columns</w:t>
            </w:r>
          </w:p>
        </w:tc>
        <w:tc>
          <w:tcPr>
            <w:tcW w:type="dxa" w:w="3118"/>
            <w:vAlign w:val="center"/>
          </w:tcPr>
          <w:p>
            <w:pPr>
              <w:spacing w:after="0"/>
            </w:pPr>
            <w:r/>
            <w:r>
              <w:rPr>
                <w:rFonts w:ascii="Noto Serif CJK SC" w:hAnsi="Noto Serif CJK SC" w:eastAsia="Noto Serif CJK SC"/>
                <w:b w:val="0"/>
                <w:color w:val="222222"/>
                <w:sz w:val="15"/>
              </w:rPr>
              <w:t>receipt_line.certificate_no_received</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DQ2</w:t>
            </w:r>
          </w:p>
        </w:tc>
        <w:tc>
          <w:tcPr>
            <w:tcW w:type="dxa" w:w="2268"/>
            <w:vAlign w:val="center"/>
            <w:shd w:fill="F3F6F8"/>
          </w:tcPr>
          <w:p>
            <w:pPr>
              <w:spacing w:after="0"/>
            </w:pPr>
            <w:r/>
            <w:r>
              <w:rPr>
                <w:rFonts w:ascii="Noto Serif CJK SC" w:hAnsi="Noto Serif CJK SC" w:eastAsia="Noto Serif CJK SC"/>
                <w:b w:val="0"/>
                <w:color w:val="222222"/>
                <w:sz w:val="15"/>
              </w:rPr>
              <w:t>权威值/业务规则</w:t>
            </w:r>
          </w:p>
        </w:tc>
        <w:tc>
          <w:tcPr>
            <w:tcW w:type="dxa" w:w="2835"/>
            <w:vAlign w:val="center"/>
            <w:shd w:fill="F3F6F8"/>
          </w:tcPr>
          <w:p>
            <w:pPr>
              <w:spacing w:after="0"/>
            </w:pPr>
            <w:r/>
            <w:r>
              <w:rPr>
                <w:rFonts w:ascii="Noto Serif CJK SC" w:hAnsi="Noto Serif CJK SC" w:eastAsia="Noto Serif CJK SC"/>
                <w:b w:val="0"/>
                <w:color w:val="222222"/>
                <w:sz w:val="15"/>
              </w:rPr>
              <w:t>custom rules + master consistency</w:t>
            </w:r>
          </w:p>
        </w:tc>
        <w:tc>
          <w:tcPr>
            <w:tcW w:type="dxa" w:w="3118"/>
            <w:vAlign w:val="center"/>
            <w:shd w:fill="F3F6F8"/>
          </w:tcPr>
          <w:p>
            <w:pPr>
              <w:spacing w:after="0"/>
            </w:pPr>
            <w:r/>
            <w:r>
              <w:rPr>
                <w:rFonts w:ascii="Noto Serif CJK SC" w:hAnsi="Noto Serif CJK SC" w:eastAsia="Noto Serif CJK SC"/>
                <w:b w:val="0"/>
                <w:color w:val="222222"/>
                <w:sz w:val="15"/>
              </w:rPr>
              <w:t>part_name_snapshot</w:t>
            </w:r>
          </w:p>
        </w:tc>
      </w:tr>
      <w:tr>
        <w:trPr>
          <w:cantSplit/>
        </w:trPr>
        <w:tc>
          <w:tcPr>
            <w:tcW w:type="dxa" w:w="1134"/>
            <w:vAlign w:val="center"/>
          </w:tcPr>
          <w:p>
            <w:pPr>
              <w:spacing w:after="0"/>
            </w:pPr>
            <w:r/>
            <w:r>
              <w:rPr>
                <w:rFonts w:ascii="Noto Serif CJK SC" w:hAnsi="Noto Serif CJK SC" w:eastAsia="Noto Serif CJK SC"/>
                <w:b w:val="0"/>
                <w:color w:val="222222"/>
                <w:sz w:val="15"/>
              </w:rPr>
              <w:t>DQ3</w:t>
            </w:r>
          </w:p>
        </w:tc>
        <w:tc>
          <w:tcPr>
            <w:tcW w:type="dxa" w:w="2268"/>
            <w:vAlign w:val="center"/>
          </w:tcPr>
          <w:p>
            <w:pPr>
              <w:spacing w:after="0"/>
            </w:pPr>
            <w:r/>
            <w:r>
              <w:rPr>
                <w:rFonts w:ascii="Noto Serif CJK SC" w:hAnsi="Noto Serif CJK SC" w:eastAsia="Noto Serif CJK SC"/>
                <w:b w:val="0"/>
                <w:color w:val="222222"/>
                <w:sz w:val="15"/>
              </w:rPr>
              <w:t>值域/格式</w:t>
            </w:r>
          </w:p>
        </w:tc>
        <w:tc>
          <w:tcPr>
            <w:tcW w:type="dxa" w:w="2835"/>
            <w:vAlign w:val="center"/>
          </w:tcPr>
          <w:p>
            <w:pPr>
              <w:spacing w:after="0"/>
            </w:pPr>
            <w:r/>
            <w:r>
              <w:rPr>
                <w:rFonts w:ascii="Noto Serif CJK SC" w:hAnsi="Noto Serif CJK SC" w:eastAsia="Noto Serif CJK SC"/>
                <w:b w:val="0"/>
                <w:color w:val="222222"/>
                <w:sz w:val="15"/>
              </w:rPr>
              <w:t>domain_rules</w:t>
            </w:r>
          </w:p>
        </w:tc>
        <w:tc>
          <w:tcPr>
            <w:tcW w:type="dxa" w:w="3118"/>
            <w:vAlign w:val="center"/>
          </w:tcPr>
          <w:p>
            <w:pPr>
              <w:spacing w:after="0"/>
            </w:pPr>
            <w:r/>
            <w:r>
              <w:rPr>
                <w:rFonts w:ascii="Noto Serif CJK SC" w:hAnsi="Noto Serif CJK SC" w:eastAsia="Noto Serif CJK SC"/>
                <w:b w:val="0"/>
                <w:color w:val="222222"/>
                <w:sz w:val="15"/>
              </w:rPr>
              <w:t>manufacturer.country_code</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DQ4</w:t>
            </w:r>
          </w:p>
        </w:tc>
        <w:tc>
          <w:tcPr>
            <w:tcW w:type="dxa" w:w="2268"/>
            <w:vAlign w:val="center"/>
            <w:shd w:fill="F3F6F8"/>
          </w:tcPr>
          <w:p>
            <w:pPr>
              <w:spacing w:after="0"/>
            </w:pPr>
            <w:r/>
            <w:r>
              <w:rPr>
                <w:rFonts w:ascii="Noto Serif CJK SC" w:hAnsi="Noto Serif CJK SC" w:eastAsia="Noto Serif CJK SC"/>
                <w:b w:val="0"/>
                <w:color w:val="222222"/>
                <w:sz w:val="15"/>
              </w:rPr>
              <w:t>业务键重复</w:t>
            </w:r>
          </w:p>
        </w:tc>
        <w:tc>
          <w:tcPr>
            <w:tcW w:type="dxa" w:w="2835"/>
            <w:vAlign w:val="center"/>
            <w:shd w:fill="F3F6F8"/>
          </w:tcPr>
          <w:p>
            <w:pPr>
              <w:spacing w:after="0"/>
            </w:pPr>
            <w:r/>
            <w:r>
              <w:rPr>
                <w:rFonts w:ascii="Noto Serif CJK SC" w:hAnsi="Noto Serif CJK SC" w:eastAsia="Noto Serif CJK SC"/>
                <w:b w:val="0"/>
                <w:color w:val="222222"/>
                <w:sz w:val="15"/>
              </w:rPr>
              <w:t>business_keys</w:t>
            </w:r>
          </w:p>
        </w:tc>
        <w:tc>
          <w:tcPr>
            <w:tcW w:type="dxa" w:w="3118"/>
            <w:vAlign w:val="center"/>
            <w:shd w:fill="F3F6F8"/>
          </w:tcPr>
          <w:p>
            <w:pPr>
              <w:spacing w:after="0"/>
            </w:pPr>
            <w:r/>
            <w:r>
              <w:rPr>
                <w:rFonts w:ascii="Noto Serif CJK SC" w:hAnsi="Noto Serif CJK SC" w:eastAsia="Noto Serif CJK SC"/>
                <w:b w:val="0"/>
                <w:color w:val="222222"/>
                <w:sz w:val="15"/>
              </w:rPr>
              <w:t>part_id+serial_number / certificate_no</w:t>
            </w:r>
          </w:p>
        </w:tc>
      </w:tr>
      <w:tr>
        <w:trPr>
          <w:cantSplit/>
        </w:trPr>
        <w:tc>
          <w:tcPr>
            <w:tcW w:type="dxa" w:w="1134"/>
            <w:vAlign w:val="center"/>
          </w:tcPr>
          <w:p>
            <w:pPr>
              <w:spacing w:after="0"/>
            </w:pPr>
            <w:r/>
            <w:r>
              <w:rPr>
                <w:rFonts w:ascii="Noto Serif CJK SC" w:hAnsi="Noto Serif CJK SC" w:eastAsia="Noto Serif CJK SC"/>
                <w:b w:val="0"/>
                <w:color w:val="222222"/>
                <w:sz w:val="15"/>
              </w:rPr>
              <w:t>DQ5</w:t>
            </w:r>
          </w:p>
        </w:tc>
        <w:tc>
          <w:tcPr>
            <w:tcW w:type="dxa" w:w="2268"/>
            <w:vAlign w:val="center"/>
          </w:tcPr>
          <w:p>
            <w:pPr>
              <w:spacing w:after="0"/>
            </w:pPr>
            <w:r/>
            <w:r>
              <w:rPr>
                <w:rFonts w:ascii="Noto Serif CJK SC" w:hAnsi="Noto Serif CJK SC" w:eastAsia="Noto Serif CJK SC"/>
                <w:b w:val="0"/>
                <w:color w:val="222222"/>
                <w:sz w:val="15"/>
              </w:rPr>
              <w:t>跨表/快照一致</w:t>
            </w:r>
          </w:p>
        </w:tc>
        <w:tc>
          <w:tcPr>
            <w:tcW w:type="dxa" w:w="2835"/>
            <w:vAlign w:val="center"/>
          </w:tcPr>
          <w:p>
            <w:pPr>
              <w:spacing w:after="0"/>
            </w:pPr>
            <w:r/>
            <w:r>
              <w:rPr>
                <w:rFonts w:ascii="Noto Serif CJK SC" w:hAnsi="Noto Serif CJK SC" w:eastAsia="Noto Serif CJK SC"/>
                <w:b w:val="0"/>
                <w:color w:val="222222"/>
                <w:sz w:val="15"/>
              </w:rPr>
              <w:t>master consistency</w:t>
            </w:r>
          </w:p>
        </w:tc>
        <w:tc>
          <w:tcPr>
            <w:tcW w:type="dxa" w:w="3118"/>
            <w:vAlign w:val="center"/>
          </w:tcPr>
          <w:p>
            <w:pPr>
              <w:spacing w:after="0"/>
            </w:pPr>
            <w:r/>
            <w:r>
              <w:rPr>
                <w:rFonts w:ascii="Noto Serif CJK SC" w:hAnsi="Noto Serif CJK SC" w:eastAsia="Noto Serif CJK SC"/>
                <w:b w:val="0"/>
                <w:color w:val="222222"/>
                <w:sz w:val="15"/>
              </w:rPr>
              <w:t>part_number_snapshot</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DQ6</w:t>
            </w:r>
          </w:p>
        </w:tc>
        <w:tc>
          <w:tcPr>
            <w:tcW w:type="dxa" w:w="2268"/>
            <w:vAlign w:val="center"/>
            <w:shd w:fill="F3F6F8"/>
          </w:tcPr>
          <w:p>
            <w:pPr>
              <w:spacing w:after="0"/>
            </w:pPr>
            <w:r>
              <w:t>预期关系孤儿检测</w:t>
            </w:r>
          </w:p>
        </w:tc>
        <w:tc>
          <w:tcPr>
            <w:tcW w:type="dxa" w:w="2835"/>
            <w:vAlign w:val="center"/>
            <w:shd w:fill="F3F6F8"/>
          </w:tcPr>
          <w:p>
            <w:r>
              <w:t>relationship_controls（兼容旧逻辑外键）</w:t>
            </w:r>
          </w:p>
        </w:tc>
        <w:tc>
          <w:tcPr>
            <w:tcW w:type="dxa" w:w="3118"/>
            <w:vAlign w:val="center"/>
            <w:shd w:fill="F3F6F8"/>
          </w:tcPr>
          <w:p>
            <w:pPr>
              <w:spacing w:after="0"/>
            </w:pPr>
            <w:r>
              <w:t>transaction.part_id/reference_id</w:t>
            </w:r>
          </w:p>
        </w:tc>
      </w:tr>
      <w:tr>
        <w:trPr>
          <w:cantSplit/>
        </w:trPr>
        <w:tc>
          <w:tcPr>
            <w:tcW w:type="dxa" w:w="1134"/>
            <w:vAlign w:val="center"/>
          </w:tcPr>
          <w:p>
            <w:pPr>
              <w:spacing w:after="0"/>
            </w:pPr>
            <w:r/>
            <w:r>
              <w:rPr>
                <w:rFonts w:ascii="Noto Serif CJK SC" w:hAnsi="Noto Serif CJK SC" w:eastAsia="Noto Serif CJK SC"/>
                <w:b w:val="0"/>
                <w:color w:val="222222"/>
                <w:sz w:val="15"/>
              </w:rPr>
              <w:t>DQ7</w:t>
            </w:r>
          </w:p>
        </w:tc>
        <w:tc>
          <w:tcPr>
            <w:tcW w:type="dxa" w:w="2268"/>
            <w:vAlign w:val="center"/>
          </w:tcPr>
          <w:p>
            <w:pPr>
              <w:spacing w:after="0"/>
            </w:pPr>
            <w:r/>
            <w:r>
              <w:rPr>
                <w:rFonts w:ascii="Noto Serif CJK SC" w:hAnsi="Noto Serif CJK SC" w:eastAsia="Noto Serif CJK SC"/>
                <w:b w:val="0"/>
                <w:color w:val="222222"/>
                <w:sz w:val="15"/>
              </w:rPr>
              <w:t>更新时间+过程日志</w:t>
            </w:r>
          </w:p>
        </w:tc>
        <w:tc>
          <w:tcPr>
            <w:tcW w:type="dxa" w:w="2835"/>
            <w:vAlign w:val="center"/>
          </w:tcPr>
          <w:p>
            <w:pPr>
              <w:spacing w:after="0"/>
            </w:pPr>
            <w:r/>
            <w:r>
              <w:rPr>
                <w:rFonts w:ascii="Noto Serif CJK SC" w:hAnsi="Noto Serif CJK SC" w:eastAsia="Noto Serif CJK SC"/>
                <w:b w:val="0"/>
                <w:color w:val="222222"/>
                <w:sz w:val="15"/>
              </w:rPr>
              <w:t>freshness + process evidence</w:t>
            </w:r>
          </w:p>
        </w:tc>
        <w:tc>
          <w:tcPr>
            <w:tcW w:type="dxa" w:w="3118"/>
            <w:vAlign w:val="center"/>
          </w:tcPr>
          <w:p>
            <w:pPr>
              <w:spacing w:after="0"/>
            </w:pPr>
            <w:r/>
            <w:r>
              <w:rPr>
                <w:rFonts w:ascii="Noto Serif CJK SC" w:hAnsi="Noto Serif CJK SC" w:eastAsia="Noto Serif CJK SC"/>
                <w:b w:val="0"/>
                <w:color w:val="222222"/>
                <w:sz w:val="15"/>
              </w:rPr>
              <w:t>part_master.updated_at</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DQ8</w:t>
            </w:r>
          </w:p>
        </w:tc>
        <w:tc>
          <w:tcPr>
            <w:tcW w:type="dxa" w:w="2268"/>
            <w:vAlign w:val="center"/>
            <w:shd w:fill="F3F6F8"/>
          </w:tcPr>
          <w:p>
            <w:pPr>
              <w:spacing w:after="0"/>
            </w:pPr>
            <w:r/>
            <w:r>
              <w:rPr>
                <w:rFonts w:ascii="Noto Serif CJK SC" w:hAnsi="Noto Serif CJK SC" w:eastAsia="Noto Serif CJK SC"/>
                <w:b w:val="0"/>
                <w:color w:val="222222"/>
                <w:sz w:val="15"/>
              </w:rPr>
              <w:t>来源/责任/审计</w:t>
            </w:r>
          </w:p>
        </w:tc>
        <w:tc>
          <w:tcPr>
            <w:tcW w:type="dxa" w:w="2835"/>
            <w:vAlign w:val="center"/>
            <w:shd w:fill="F3F6F8"/>
          </w:tcPr>
          <w:p>
            <w:pPr>
              <w:spacing w:after="0"/>
            </w:pPr>
            <w:r/>
            <w:r>
              <w:rPr>
                <w:rFonts w:ascii="Noto Serif CJK SC" w:hAnsi="Noto Serif CJK SC" w:eastAsia="Noto Serif CJK SC"/>
                <w:b w:val="0"/>
                <w:color w:val="222222"/>
                <w:sz w:val="15"/>
              </w:rPr>
              <w:t>custom rules + lifecycle</w:t>
            </w:r>
          </w:p>
        </w:tc>
        <w:tc>
          <w:tcPr>
            <w:tcW w:type="dxa" w:w="3118"/>
            <w:vAlign w:val="center"/>
            <w:shd w:fill="F3F6F8"/>
          </w:tcPr>
          <w:p>
            <w:pPr>
              <w:spacing w:after="0"/>
            </w:pPr>
            <w:r/>
            <w:r>
              <w:rPr>
                <w:rFonts w:ascii="Noto Serif CJK SC" w:hAnsi="Noto Serif CJK SC" w:eastAsia="Noto Serif CJK SC"/>
                <w:b w:val="0"/>
                <w:color w:val="222222"/>
                <w:sz w:val="15"/>
              </w:rPr>
              <w:t>reference_id/operator_id</w:t>
            </w:r>
          </w:p>
        </w:tc>
      </w:tr>
      <w:tr>
        <w:trPr>
          <w:cantSplit/>
        </w:trPr>
        <w:tc>
          <w:tcPr>
            <w:tcW w:type="dxa" w:w="1134"/>
            <w:vAlign w:val="center"/>
          </w:tcPr>
          <w:p>
            <w:pPr>
              <w:spacing w:after="0"/>
            </w:pPr>
            <w:r/>
            <w:r>
              <w:rPr>
                <w:rFonts w:ascii="Noto Serif CJK SC" w:hAnsi="Noto Serif CJK SC" w:eastAsia="Noto Serif CJK SC"/>
                <w:b w:val="0"/>
                <w:color w:val="222222"/>
                <w:sz w:val="15"/>
              </w:rPr>
              <w:t>SG1</w:t>
            </w:r>
          </w:p>
        </w:tc>
        <w:tc>
          <w:tcPr>
            <w:tcW w:type="dxa" w:w="2268"/>
            <w:vAlign w:val="center"/>
          </w:tcPr>
          <w:p>
            <w:pPr>
              <w:spacing w:after="0"/>
            </w:pPr>
            <w:r/>
            <w:r>
              <w:rPr>
                <w:rFonts w:ascii="Noto Serif CJK SC" w:hAnsi="Noto Serif CJK SC" w:eastAsia="Noto Serif CJK SC"/>
                <w:b w:val="0"/>
                <w:color w:val="222222"/>
                <w:sz w:val="15"/>
              </w:rPr>
              <w:t>字段元数据</w:t>
            </w:r>
          </w:p>
        </w:tc>
        <w:tc>
          <w:tcPr>
            <w:tcW w:type="dxa" w:w="2835"/>
            <w:vAlign w:val="center"/>
          </w:tcPr>
          <w:p>
            <w:pPr>
              <w:spacing w:after="0"/>
            </w:pPr>
            <w:r/>
            <w:r>
              <w:rPr>
                <w:rFonts w:ascii="Noto Serif CJK SC" w:hAnsi="Noto Serif CJK SC" w:eastAsia="Noto Serif CJK SC"/>
                <w:b w:val="0"/>
                <w:color w:val="222222"/>
                <w:sz w:val="15"/>
              </w:rPr>
              <w:t>metadata analyzer</w:t>
            </w:r>
          </w:p>
        </w:tc>
        <w:tc>
          <w:tcPr>
            <w:tcW w:type="dxa" w:w="3118"/>
            <w:vAlign w:val="center"/>
          </w:tcPr>
          <w:p>
            <w:pPr>
              <w:spacing w:after="0"/>
            </w:pPr>
            <w:r/>
            <w:r>
              <w:rPr>
                <w:rFonts w:ascii="Noto Serif CJK SC" w:hAnsi="Noto Serif CJK SC" w:eastAsia="Noto Serif CJK SC"/>
                <w:b w:val="0"/>
                <w:color w:val="222222"/>
                <w:sz w:val="15"/>
              </w:rPr>
              <w:t>类型、说明、命名</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SG2</w:t>
            </w:r>
          </w:p>
        </w:tc>
        <w:tc>
          <w:tcPr>
            <w:tcW w:type="dxa" w:w="2268"/>
            <w:vAlign w:val="center"/>
            <w:shd w:fill="F3F6F8"/>
          </w:tcPr>
          <w:p>
            <w:pPr>
              <w:spacing w:after="0"/>
            </w:pPr>
            <w:r/>
            <w:r>
              <w:rPr>
                <w:rFonts w:ascii="Noto Serif CJK SC" w:hAnsi="Noto Serif CJK SC" w:eastAsia="Noto Serif CJK SC"/>
                <w:b w:val="0"/>
                <w:color w:val="222222"/>
                <w:sz w:val="15"/>
              </w:rPr>
              <w:t>粒度/原子性</w:t>
            </w:r>
          </w:p>
        </w:tc>
        <w:tc>
          <w:tcPr>
            <w:tcW w:type="dxa" w:w="2835"/>
            <w:vAlign w:val="center"/>
            <w:shd w:fill="F3F6F8"/>
          </w:tcPr>
          <w:p>
            <w:pPr>
              <w:spacing w:after="0"/>
            </w:pPr>
            <w:r/>
            <w:r>
              <w:rPr>
                <w:rFonts w:ascii="Noto Serif CJK SC" w:hAnsi="Noto Serif CJK SC" w:eastAsia="Noto Serif CJK SC"/>
                <w:b w:val="0"/>
                <w:color w:val="222222"/>
                <w:sz w:val="15"/>
              </w:rPr>
              <w:t>table_model_rules</w:t>
            </w:r>
          </w:p>
        </w:tc>
        <w:tc>
          <w:tcPr>
            <w:tcW w:type="dxa" w:w="3118"/>
            <w:vAlign w:val="center"/>
            <w:shd w:fill="F3F6F8"/>
          </w:tcPr>
          <w:p>
            <w:pPr>
              <w:spacing w:after="0"/>
            </w:pPr>
            <w:r/>
            <w:r>
              <w:rPr>
                <w:rFonts w:ascii="Noto Serif CJK SC" w:hAnsi="Noto Serif CJK SC" w:eastAsia="Noto Serif CJK SC"/>
                <w:b w:val="0"/>
                <w:color w:val="222222"/>
                <w:sz w:val="15"/>
              </w:rPr>
              <w:t>grain/forbidden multivalue</w:t>
            </w:r>
          </w:p>
        </w:tc>
      </w:tr>
      <w:tr>
        <w:trPr>
          <w:cantSplit/>
        </w:trPr>
        <w:tc>
          <w:tcPr>
            <w:tcW w:type="dxa" w:w="1134"/>
            <w:vAlign w:val="center"/>
          </w:tcPr>
          <w:p>
            <w:pPr>
              <w:spacing w:after="0"/>
            </w:pPr>
            <w:r>
              <w:t>SG3</w:t>
            </w:r>
          </w:p>
        </w:tc>
        <w:tc>
          <w:tcPr>
            <w:tcW w:type="dxa" w:w="2268"/>
            <w:vAlign w:val="center"/>
          </w:tcPr>
          <w:p>
            <w:pPr>
              <w:spacing w:after="0"/>
            </w:pPr>
            <w:r>
              <w:t>基础键约束＋关系控制有效度</w:t>
            </w:r>
          </w:p>
        </w:tc>
        <w:tc>
          <w:tcPr>
            <w:tcW w:type="dxa" w:w="2835"/>
            <w:vAlign w:val="center"/>
          </w:tcPr>
          <w:p>
            <w:r>
              <w:t>sys键约束＋relationship_controls</w:t>
            </w:r>
          </w:p>
        </w:tc>
        <w:tc>
          <w:tcPr>
            <w:tcW w:type="dxa" w:w="3118"/>
            <w:vAlign w:val="center"/>
          </w:tcPr>
          <w:p>
            <w:pPr>
              <w:spacing w:after="0"/>
            </w:pPr>
            <w:r>
              <w:t>PK/UQ/CHECK/物理FK/替代控制</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SG4</w:t>
            </w:r>
          </w:p>
        </w:tc>
        <w:tc>
          <w:tcPr>
            <w:tcW w:type="dxa" w:w="2268"/>
            <w:vAlign w:val="center"/>
            <w:shd w:fill="F3F6F8"/>
          </w:tcPr>
          <w:p>
            <w:pPr>
              <w:spacing w:after="0"/>
            </w:pPr>
            <w:r>
              <w:t>关系语义与受控例外</w:t>
            </w:r>
          </w:p>
        </w:tc>
        <w:tc>
          <w:tcPr>
            <w:tcW w:type="dxa" w:w="2835"/>
            <w:vAlign w:val="center"/>
            <w:shd w:fill="F3F6F8"/>
          </w:tcPr>
          <w:p>
            <w:r>
              <w:t>relationship_controls</w:t>
            </w:r>
          </w:p>
        </w:tc>
        <w:tc>
          <w:tcPr>
            <w:tcW w:type="dxa" w:w="3118"/>
            <w:vAlign w:val="center"/>
            <w:shd w:fill="F3F6F8"/>
          </w:tcPr>
          <w:p>
            <w:pPr>
              <w:spacing w:after="0"/>
            </w:pPr>
            <w:r>
              <w:t>基数/策略/责任/审批/性能证据</w:t>
            </w:r>
          </w:p>
        </w:tc>
      </w:tr>
      <w:tr>
        <w:trPr>
          <w:cantSplit/>
        </w:trPr>
        <w:tc>
          <w:tcPr>
            <w:tcW w:type="dxa" w:w="1134"/>
            <w:vAlign w:val="center"/>
          </w:tcPr>
          <w:p>
            <w:pPr>
              <w:spacing w:after="0"/>
            </w:pPr>
            <w:r/>
            <w:r>
              <w:rPr>
                <w:rFonts w:ascii="Noto Serif CJK SC" w:hAnsi="Noto Serif CJK SC" w:eastAsia="Noto Serif CJK SC"/>
                <w:b w:val="0"/>
                <w:color w:val="222222"/>
                <w:sz w:val="15"/>
              </w:rPr>
              <w:t>SG5</w:t>
            </w:r>
          </w:p>
        </w:tc>
        <w:tc>
          <w:tcPr>
            <w:tcW w:type="dxa" w:w="2268"/>
            <w:vAlign w:val="center"/>
          </w:tcPr>
          <w:p>
            <w:pPr>
              <w:spacing w:after="0"/>
            </w:pPr>
            <w:r/>
            <w:r>
              <w:rPr>
                <w:rFonts w:ascii="Noto Serif CJK SC" w:hAnsi="Noto Serif CJK SC" w:eastAsia="Noto Serif CJK SC"/>
                <w:b w:val="0"/>
                <w:color w:val="222222"/>
                <w:sz w:val="15"/>
              </w:rPr>
              <w:t>字段冗余候选</w:t>
            </w:r>
          </w:p>
        </w:tc>
        <w:tc>
          <w:tcPr>
            <w:tcW w:type="dxa" w:w="2835"/>
            <w:vAlign w:val="center"/>
          </w:tcPr>
          <w:p>
            <w:pPr>
              <w:spacing w:after="0"/>
            </w:pPr>
            <w:r/>
            <w:r>
              <w:rPr>
                <w:rFonts w:ascii="Noto Serif CJK SC" w:hAnsi="Noto Serif CJK SC" w:eastAsia="Noto Serif CJK SC"/>
                <w:b w:val="0"/>
                <w:color w:val="222222"/>
                <w:sz w:val="15"/>
              </w:rPr>
              <w:t>redundancy analyzer</w:t>
            </w:r>
          </w:p>
        </w:tc>
        <w:tc>
          <w:tcPr>
            <w:tcW w:type="dxa" w:w="3118"/>
            <w:vAlign w:val="center"/>
          </w:tcPr>
          <w:p>
            <w:pPr>
              <w:spacing w:after="0"/>
            </w:pPr>
            <w:r/>
            <w:r>
              <w:rPr>
                <w:rFonts w:ascii="Noto Serif CJK SC" w:hAnsi="Noto Serif CJK SC" w:eastAsia="Noto Serif CJK SC"/>
                <w:b w:val="0"/>
                <w:color w:val="222222"/>
                <w:sz w:val="15"/>
              </w:rPr>
              <w:t>同义/重复字段</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SG6</w:t>
            </w:r>
          </w:p>
        </w:tc>
        <w:tc>
          <w:tcPr>
            <w:tcW w:type="dxa" w:w="2268"/>
            <w:vAlign w:val="center"/>
            <w:shd w:fill="F3F6F8"/>
          </w:tcPr>
          <w:p>
            <w:pPr>
              <w:spacing w:after="0"/>
            </w:pPr>
            <w:r/>
            <w:r>
              <w:rPr>
                <w:rFonts w:ascii="Noto Serif CJK SC" w:hAnsi="Noto Serif CJK SC" w:eastAsia="Noto Serif CJK SC"/>
                <w:b w:val="0"/>
                <w:color w:val="222222"/>
                <w:sz w:val="15"/>
              </w:rPr>
              <w:t>表冗余候选</w:t>
            </w:r>
          </w:p>
        </w:tc>
        <w:tc>
          <w:tcPr>
            <w:tcW w:type="dxa" w:w="2835"/>
            <w:vAlign w:val="center"/>
            <w:shd w:fill="F3F6F8"/>
          </w:tcPr>
          <w:p>
            <w:pPr>
              <w:spacing w:after="0"/>
            </w:pPr>
            <w:r/>
            <w:r>
              <w:rPr>
                <w:rFonts w:ascii="Noto Serif CJK SC" w:hAnsi="Noto Serif CJK SC" w:eastAsia="Noto Serif CJK SC"/>
                <w:b w:val="0"/>
                <w:color w:val="222222"/>
                <w:sz w:val="15"/>
              </w:rPr>
              <w:t>redundancy analyzer</w:t>
            </w:r>
          </w:p>
        </w:tc>
        <w:tc>
          <w:tcPr>
            <w:tcW w:type="dxa" w:w="3118"/>
            <w:vAlign w:val="center"/>
            <w:shd w:fill="F3F6F8"/>
          </w:tcPr>
          <w:p>
            <w:pPr>
              <w:spacing w:after="0"/>
            </w:pPr>
            <w:r/>
            <w:r>
              <w:rPr>
                <w:rFonts w:ascii="Noto Serif CJK SC" w:hAnsi="Noto Serif CJK SC" w:eastAsia="Noto Serif CJK SC"/>
                <w:b w:val="0"/>
                <w:color w:val="222222"/>
                <w:sz w:val="15"/>
              </w:rPr>
              <w:t>part_master_copy</w:t>
            </w:r>
          </w:p>
        </w:tc>
      </w:tr>
      <w:tr>
        <w:trPr>
          <w:cantSplit/>
        </w:trPr>
        <w:tc>
          <w:tcPr>
            <w:tcW w:type="dxa" w:w="1134"/>
            <w:vAlign w:val="center"/>
          </w:tcPr>
          <w:p>
            <w:pPr>
              <w:spacing w:after="0"/>
            </w:pPr>
            <w:r/>
            <w:r>
              <w:rPr>
                <w:rFonts w:ascii="Noto Serif CJK SC" w:hAnsi="Noto Serif CJK SC" w:eastAsia="Noto Serif CJK SC"/>
                <w:b w:val="0"/>
                <w:color w:val="222222"/>
                <w:sz w:val="15"/>
              </w:rPr>
              <w:t>SG7</w:t>
            </w:r>
          </w:p>
        </w:tc>
        <w:tc>
          <w:tcPr>
            <w:tcW w:type="dxa" w:w="2268"/>
            <w:vAlign w:val="center"/>
          </w:tcPr>
          <w:p>
            <w:pPr>
              <w:spacing w:after="0"/>
            </w:pPr>
            <w:r/>
            <w:r>
              <w:rPr>
                <w:rFonts w:ascii="Noto Serif CJK SC" w:hAnsi="Noto Serif CJK SC" w:eastAsia="Noto Serif CJK SC"/>
                <w:b w:val="0"/>
                <w:color w:val="222222"/>
                <w:sz w:val="15"/>
              </w:rPr>
              <w:t>主数据权威</w:t>
            </w:r>
          </w:p>
        </w:tc>
        <w:tc>
          <w:tcPr>
            <w:tcW w:type="dxa" w:w="2835"/>
            <w:vAlign w:val="center"/>
          </w:tcPr>
          <w:p>
            <w:pPr>
              <w:spacing w:after="0"/>
            </w:pPr>
            <w:r/>
            <w:r>
              <w:rPr>
                <w:rFonts w:ascii="Noto Serif CJK SC" w:hAnsi="Noto Serif CJK SC" w:eastAsia="Noto Serif CJK SC"/>
                <w:b w:val="0"/>
                <w:color w:val="222222"/>
                <w:sz w:val="15"/>
              </w:rPr>
              <w:t>master groups+consistency</w:t>
            </w:r>
          </w:p>
        </w:tc>
        <w:tc>
          <w:tcPr>
            <w:tcW w:type="dxa" w:w="3118"/>
            <w:vAlign w:val="center"/>
          </w:tcPr>
          <w:p>
            <w:pPr>
              <w:spacing w:after="0"/>
            </w:pPr>
            <w:r/>
            <w:r>
              <w:rPr>
                <w:rFonts w:ascii="Noto Serif CJK SC" w:hAnsi="Noto Serif CJK SC" w:eastAsia="Noto Serif CJK SC"/>
                <w:b w:val="0"/>
                <w:color w:val="222222"/>
                <w:sz w:val="15"/>
              </w:rPr>
              <w:t>part_master -&gt; transaction</w:t>
            </w:r>
          </w:p>
        </w:tc>
      </w:tr>
      <w:tr>
        <w:trPr>
          <w:cantSplit/>
        </w:trPr>
        <w:tc>
          <w:tcPr>
            <w:tcW w:type="dxa" w:w="1134"/>
            <w:vAlign w:val="center"/>
            <w:shd w:fill="F3F6F8"/>
          </w:tcPr>
          <w:p>
            <w:pPr>
              <w:spacing w:after="0"/>
            </w:pPr>
            <w:r/>
            <w:r>
              <w:rPr>
                <w:rFonts w:ascii="Noto Serif CJK SC" w:hAnsi="Noto Serif CJK SC" w:eastAsia="Noto Serif CJK SC"/>
                <w:b w:val="0"/>
                <w:color w:val="222222"/>
                <w:sz w:val="15"/>
              </w:rPr>
              <w:t>SG8</w:t>
            </w:r>
          </w:p>
        </w:tc>
        <w:tc>
          <w:tcPr>
            <w:tcW w:type="dxa" w:w="2268"/>
            <w:vAlign w:val="center"/>
            <w:shd w:fill="F3F6F8"/>
          </w:tcPr>
          <w:p>
            <w:pPr>
              <w:spacing w:after="0"/>
            </w:pPr>
            <w:r/>
            <w:r>
              <w:rPr>
                <w:rFonts w:ascii="Noto Serif CJK SC" w:hAnsi="Noto Serif CJK SC" w:eastAsia="Noto Serif CJK SC"/>
                <w:b w:val="0"/>
                <w:color w:val="222222"/>
                <w:sz w:val="15"/>
              </w:rPr>
              <w:t>生命周期/互操作</w:t>
            </w:r>
          </w:p>
        </w:tc>
        <w:tc>
          <w:tcPr>
            <w:tcW w:type="dxa" w:w="2835"/>
            <w:vAlign w:val="center"/>
            <w:shd w:fill="F3F6F8"/>
          </w:tcPr>
          <w:p>
            <w:pPr>
              <w:spacing w:after="0"/>
            </w:pPr>
            <w:r/>
            <w:r>
              <w:rPr>
                <w:rFonts w:ascii="Noto Serif CJK SC" w:hAnsi="Noto Serif CJK SC" w:eastAsia="Noto Serif CJK SC"/>
                <w:b w:val="0"/>
                <w:color w:val="222222"/>
                <w:sz w:val="15"/>
              </w:rPr>
              <w:t>lifecycle rules+process</w:t>
            </w:r>
          </w:p>
        </w:tc>
        <w:tc>
          <w:tcPr>
            <w:tcW w:type="dxa" w:w="3118"/>
            <w:vAlign w:val="center"/>
            <w:shd w:fill="F3F6F8"/>
          </w:tcPr>
          <w:p>
            <w:pPr>
              <w:spacing w:after="0"/>
            </w:pPr>
            <w:r/>
            <w:r>
              <w:rPr>
                <w:rFonts w:ascii="Noto Serif CJK SC" w:hAnsi="Noto Serif CJK SC" w:eastAsia="Noto Serif CJK SC"/>
                <w:b w:val="0"/>
                <w:color w:val="222222"/>
                <w:sz w:val="15"/>
              </w:rPr>
              <w:t>audit/rowversion/code mapping</w:t>
            </w:r>
          </w:p>
        </w:tc>
      </w:tr>
    </w:tbl>
    <w:p>
      <w:pPr>
        <w:spacing w:after="20"/>
      </w:pPr>
    </w:p>
    <w:p>
      <w:pPr>
        <w:pStyle w:val="Heading1"/>
      </w:pPr>
      <w:r>
        <w:t>附录B 交付包目录</w:t>
      </w:r>
    </w:p>
    <w:p>
      <w:pPr>
        <w:pStyle w:val="CodeBlock"/>
      </w:pPr>
      <w:r>
        <w:t>EDQSG_U1.2_模型代码及AeroMRO验证库/</w:t>
        <w:br/>
        <w:t>├─ src/edqsg/                    模型与SQL Server流水线</w:t>
        <w:br/>
        <w:t>├─ tests/                        32项自动测试</w:t>
        <w:br/>
        <w:t>├─ config/sqlserver/             AeroMRO完整配置</w:t>
        <w:br/>
        <w:t>├─ benchmark/aeromro/</w:t>
        <w:br/>
        <w:t>│  ├─ schema/                    建库和干净结构</w:t>
        <w:br/>
        <w:t>│  ├─ data/                      small干净数据</w:t>
        <w:br/>
        <w:t>│  ├─ tools/                     medium/large生成器</w:t>
        <w:br/>
        <w:t>│  ├─ scenarios/                 数据/结构单缺陷脚本</w:t>
        <w:br/>
        <w:t>│  ├─ workload/                  结构缺陷传播负载</w:t>
        <w:br/>
        <w:t>│  └─ ground_truth/              缺陷与路径真值</w:t>
        <w:br/>
        <w:t>├─ docs/                         使用、规则和模型说明</w:t>
        <w:br/>
        <w:t>└─ CHANGELOG.md                  U1.2变更记录</w:t>
      </w:r>
    </w:p>
    <w:p>
      <w:pPr>
        <w:jc w:val="center"/>
      </w:pPr>
      <w:r>
        <w:t>文档结束</w:t>
      </w:r>
    </w:p>
    <w:sectPr w:rsidR="00FC693F" w:rsidRPr="0006063C" w:rsidSect="00034616">
      <w:footerReference w:type="default" r:id="rId9"/>
      <w:headerReference w:type="default" r:id="rId11"/>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EDQSG-U1.2 建设性修订版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SC" w:hAnsi="Noto Sans CJK SC" w:eastAsia="Noto Sans CJK SC"/>
      <w:b/>
      <w:bCs/>
      <w:color w:val="193149"/>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274D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65A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931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i/>
      <w:iCs/>
      <w:color w:val="365A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before="60" w:after="80"/>
      <w:ind w:left="340" w:right="227"/>
    </w:pPr>
    <w:rPr>
      <w:rFonts w:ascii="Noto Sans Mono CJK SC" w:hAnsi="Noto Sans Mono CJK SC" w:eastAsia="Noto Sans Mono CJK S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EDQSG-U1.2模型方案：建设性修订与AeroMRO双域验证设计</dc:title>
  <dc:subject>预期关系、替代完整性控制与受控无外键评价</dc:subject>
  <dc:creator>EDQSG研究项目组</dc:creator>
  <cp:keywords>EDQSG, 数据质量, 结构治理, 航空器材, SQL Server</cp:keywords>
  <dc:description>EDQSG-U1.2 revision generated 2026-07-25</dc:description>
  <cp:lastModifiedBy/>
  <cp:revision>1</cp:revision>
  <dcterms:created xsi:type="dcterms:W3CDTF">2013-12-23T23:15:00Z</dcterms:created>
  <dcterms:modified xsi:type="dcterms:W3CDTF">2013-12-23T23:15:00Z</dcterms:modified>
  <cp:category/>
</cp:coreProperties>
</file>