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Grafenstein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4D081923" w:rsidR="006D1CA2" w:rsidRDefault="00E552EC" w:rsidP="00E552EC">
      <w:pPr>
        <w:pStyle w:val="Titre1"/>
      </w:pPr>
      <w:r>
        <w:lastRenderedPageBreak/>
        <w:t>INTRODUCTION</w:t>
      </w:r>
    </w:p>
    <w:p w14:paraId="41C15B8E" w14:textId="18D61EAE" w:rsid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6963B8E6" w14:textId="31B93888" w:rsidR="005D5C7B" w:rsidRDefault="005D5C7B" w:rsidP="0089159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NewRomanPSMT"/>
        </w:rPr>
      </w:pPr>
    </w:p>
    <w:p w14:paraId="637861BC" w14:textId="33D65868" w:rsidR="00CA592A" w:rsidRPr="00B41604" w:rsidRDefault="005D5C7B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</w:t>
      </w:r>
      <w:r w:rsidR="00CA592A" w:rsidRPr="00B41604">
        <w:t>homéomère</w:t>
      </w:r>
      <w:r w:rsidRPr="00B41604">
        <w:t xml:space="preserve"> peut être décrit comme</w:t>
      </w:r>
      <w:r w:rsidR="0089159F">
        <w:t xml:space="preserve"> étant</w:t>
      </w:r>
      <w:r w:rsidRPr="00B41604">
        <w:t xml:space="preserve"> une </w:t>
      </w:r>
      <w:r w:rsidR="00B41604" w:rsidRPr="00B41604">
        <w:t>structure</w:t>
      </w:r>
      <w:r w:rsidRPr="00B41604">
        <w:t xml:space="preserve"> </w:t>
      </w:r>
      <w:r w:rsidR="00B41604" w:rsidRPr="00B41604">
        <w:t>quaternaire</w:t>
      </w:r>
      <w:r w:rsidRPr="00B41604">
        <w:t xml:space="preserve"> </w:t>
      </w:r>
      <w:r w:rsidR="00B41604" w:rsidRPr="00B41604">
        <w:t>protéique</w:t>
      </w:r>
      <w:r w:rsidRPr="00B41604">
        <w:t xml:space="preserve"> form</w:t>
      </w:r>
      <w:r w:rsidR="0089159F">
        <w:t>ée</w:t>
      </w:r>
      <w:r w:rsidRPr="00B41604">
        <w:t xml:space="preserve"> par un groupe d’une </w:t>
      </w:r>
      <w:r w:rsidR="00B41604" w:rsidRPr="00B41604">
        <w:t>protéine</w:t>
      </w:r>
      <w:r w:rsidRPr="00B41604">
        <w:t xml:space="preserve"> se liant à des copies d’elle-même</w:t>
      </w:r>
      <w:r w:rsidR="0089159F">
        <w:t>. On</w:t>
      </w:r>
      <w:r w:rsidR="00CA592A" w:rsidRPr="00B41604">
        <w:t xml:space="preserve"> peut observer </w:t>
      </w:r>
      <w:r w:rsidR="0089159F">
        <w:t xml:space="preserve">ce phénomène </w:t>
      </w:r>
      <w:r w:rsidR="00CA592A" w:rsidRPr="00B41604">
        <w:t xml:space="preserve">dans les 60% des structures </w:t>
      </w:r>
      <w:r w:rsidR="00B41604" w:rsidRPr="00B41604">
        <w:t>quaternaire</w:t>
      </w:r>
      <w:r w:rsidR="00CA592A" w:rsidRPr="00B41604">
        <w:t xml:space="preserve"> </w:t>
      </w:r>
      <w:r w:rsidR="00B41604" w:rsidRPr="00B41604">
        <w:t>protéiques</w:t>
      </w:r>
      <w:r w:rsidR="00CA592A" w:rsidRPr="00B41604">
        <w:t xml:space="preserve"> connu</w:t>
      </w:r>
      <w:r w:rsidR="0089159F">
        <w:t>es</w:t>
      </w:r>
      <w:r w:rsidR="00CA592A" w:rsidRPr="00B41604">
        <w:t xml:space="preserve">. Malgré cette </w:t>
      </w:r>
      <w:r w:rsidR="00B41604" w:rsidRPr="00B41604">
        <w:t>prévalence</w:t>
      </w:r>
      <w:r w:rsidR="00CA592A" w:rsidRPr="00B41604">
        <w:t xml:space="preserve">, tout n’est pas connu sur les mécanismes d’évolution menant à la </w:t>
      </w:r>
      <w:r w:rsidR="00B41604" w:rsidRPr="00B41604">
        <w:t>création</w:t>
      </w:r>
      <w:r w:rsidR="00CA592A" w:rsidRPr="00B41604">
        <w:t xml:space="preserve"> des </w:t>
      </w:r>
      <w:r w:rsidR="00B41604" w:rsidRPr="00B41604">
        <w:t>homéomères</w:t>
      </w:r>
      <w:r w:rsidR="00CA592A" w:rsidRPr="00B41604">
        <w:t xml:space="preserve">. </w:t>
      </w:r>
    </w:p>
    <w:p w14:paraId="1F8A8F54" w14:textId="21A94B4E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FB580B4" w14:textId="7169F728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Un article </w:t>
      </w:r>
      <w:r w:rsidR="0089159F" w:rsidRPr="00B41604">
        <w:t>publié</w:t>
      </w:r>
      <w:r w:rsidRPr="00B41604">
        <w:t xml:space="preserve"> par Levy et all en 2008 </w:t>
      </w:r>
      <w:r w:rsidR="0089159F">
        <w:t>a</w:t>
      </w:r>
      <w:r w:rsidRPr="00B41604">
        <w:t xml:space="preserve"> </w:t>
      </w:r>
      <w:r w:rsidR="00F24BB0" w:rsidRPr="00B41604">
        <w:t>tent</w:t>
      </w:r>
      <w:r w:rsidR="00F24BB0">
        <w:t>é</w:t>
      </w:r>
      <w:r w:rsidRPr="00B41604">
        <w:t xml:space="preserve"> d’explorer cette dernière question avec une analyse de plus de 2000 </w:t>
      </w:r>
      <w:r w:rsidR="0089159F" w:rsidRPr="00B41604">
        <w:t xml:space="preserve">structures </w:t>
      </w:r>
      <w:r w:rsidR="00B41604" w:rsidRPr="00B41604">
        <w:t>différentes</w:t>
      </w:r>
      <w:r w:rsidRPr="00B41604">
        <w:t xml:space="preserve">. </w:t>
      </w:r>
      <w:r w:rsidR="00B41604" w:rsidRPr="00B41604">
        <w:t>Entre autres</w:t>
      </w:r>
      <w:r w:rsidR="0089159F">
        <w:t>,</w:t>
      </w:r>
      <w:r w:rsidRPr="00B41604">
        <w:t xml:space="preserve"> elle traite </w:t>
      </w:r>
      <w:r w:rsidR="0089159F">
        <w:t>des</w:t>
      </w:r>
      <w:r w:rsidRPr="00B41604">
        <w:t xml:space="preserve"> </w:t>
      </w:r>
      <w:r w:rsidR="00B41604" w:rsidRPr="00B41604">
        <w:t>tétramères</w:t>
      </w:r>
      <w:r w:rsidRPr="00B41604">
        <w:t xml:space="preserve">, </w:t>
      </w:r>
      <w:r w:rsidR="0089159F">
        <w:t xml:space="preserve">qui sont </w:t>
      </w:r>
      <w:r w:rsidRPr="00B41604">
        <w:t xml:space="preserve">des </w:t>
      </w:r>
      <w:r w:rsidR="00B41604" w:rsidRPr="00B41604">
        <w:t>homéomères</w:t>
      </w:r>
      <w:r w:rsidRPr="00B41604">
        <w:t xml:space="preserve"> composés de 4 sous-unités et </w:t>
      </w:r>
      <w:r w:rsidR="0089159F">
        <w:t xml:space="preserve">des </w:t>
      </w:r>
      <w:r w:rsidR="00B41604" w:rsidRPr="00B41604">
        <w:t>dimères</w:t>
      </w:r>
      <w:r w:rsidRPr="00B41604">
        <w:t>, avec 2 sous-unités.</w:t>
      </w:r>
    </w:p>
    <w:p w14:paraId="126721DB" w14:textId="77777777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</w:p>
    <w:p w14:paraId="198A93F2" w14:textId="17438E6F" w:rsidR="00CA592A" w:rsidRPr="00B41604" w:rsidRDefault="006205B2" w:rsidP="0089159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Les auteurs de l’article proposent l’hypothèse d’une </w:t>
      </w:r>
      <w:r w:rsidR="00B41604" w:rsidRPr="00B41604">
        <w:t>évolution</w:t>
      </w:r>
      <w:r w:rsidR="00CA592A" w:rsidRPr="00B41604">
        <w:t xml:space="preserve"> </w:t>
      </w:r>
      <w:r w:rsidR="0089159F">
        <w:t>à</w:t>
      </w:r>
      <w:r w:rsidR="00CA592A" w:rsidRPr="00B41604">
        <w:t xml:space="preserve"> temps biparti des </w:t>
      </w:r>
      <w:r w:rsidR="00B41604" w:rsidRPr="00B41604">
        <w:t>tétramères</w:t>
      </w:r>
      <w:r>
        <w:t xml:space="preserve">, le </w:t>
      </w:r>
      <w:r w:rsidRPr="00B41604">
        <w:t>modèle</w:t>
      </w:r>
      <w:r w:rsidR="00CA592A" w:rsidRPr="00B41604">
        <w:t xml:space="preserve"> de la </w:t>
      </w:r>
      <w:r w:rsidR="00B41604" w:rsidRPr="00B41604">
        <w:t>création</w:t>
      </w:r>
      <w:r>
        <w:t xml:space="preserve"> </w:t>
      </w:r>
      <w:r w:rsidRPr="00B41604">
        <w:t>de</w:t>
      </w:r>
      <w:r>
        <w:t>s</w:t>
      </w:r>
      <w:r w:rsidRPr="00B41604">
        <w:t xml:space="preserve"> deux types d’interfaces</w:t>
      </w:r>
      <w:commentRangeStart w:id="0"/>
      <w:commentRangeEnd w:id="0"/>
      <w:r>
        <w:rPr>
          <w:rStyle w:val="Marquedecommentaire"/>
        </w:rPr>
        <w:commentReference w:id="0"/>
      </w:r>
      <w:commentRangeStart w:id="1"/>
      <w:commentRangeEnd w:id="1"/>
      <w:r>
        <w:rPr>
          <w:rStyle w:val="Marquedecommentaire"/>
        </w:rPr>
        <w:commentReference w:id="1"/>
      </w:r>
      <w:commentRangeStart w:id="2"/>
      <w:commentRangeEnd w:id="2"/>
      <w:r>
        <w:rPr>
          <w:rStyle w:val="Marquedecommentaire"/>
        </w:rPr>
        <w:commentReference w:id="2"/>
      </w:r>
      <w:r w:rsidR="00CA592A" w:rsidRPr="00B41604">
        <w:t xml:space="preserve"> </w:t>
      </w:r>
      <w:r>
        <w:t xml:space="preserve">est donc </w:t>
      </w:r>
      <w:r w:rsidR="00B41604" w:rsidRPr="00B41604">
        <w:t>successive</w:t>
      </w:r>
      <w:r w:rsidR="00CA592A" w:rsidRPr="00B41604">
        <w:t xml:space="preserve"> et non </w:t>
      </w:r>
      <w:r w:rsidR="00B41604" w:rsidRPr="00B41604">
        <w:t>simultané</w:t>
      </w:r>
      <w:r w:rsidR="0089159F">
        <w:t>e. O</w:t>
      </w:r>
      <w:r w:rsidR="00CA592A" w:rsidRPr="00B41604">
        <w:t xml:space="preserve">n peut </w:t>
      </w:r>
      <w:r w:rsidR="0089159F">
        <w:t xml:space="preserve">alors </w:t>
      </w:r>
      <w:r w:rsidR="00CA592A" w:rsidRPr="00B41604">
        <w:t xml:space="preserve">se demander si ces deux interfaces, qu’on </w:t>
      </w:r>
      <w:r w:rsidR="00B41604" w:rsidRPr="00B41604">
        <w:t>nommera</w:t>
      </w:r>
      <w:r w:rsidR="00CA592A" w:rsidRPr="00B41604">
        <w:t xml:space="preserve"> </w:t>
      </w:r>
      <w:r w:rsidR="00B41604" w:rsidRPr="00B41604">
        <w:t>ancestrale</w:t>
      </w:r>
      <w:r w:rsidR="00CA592A" w:rsidRPr="00B41604">
        <w:t xml:space="preserve"> et récente selon </w:t>
      </w:r>
      <w:r w:rsidR="0089159F">
        <w:t>l’ancienneté de leur</w:t>
      </w:r>
      <w:r w:rsidR="00CA592A" w:rsidRPr="00B41604">
        <w:t xml:space="preserve"> apparition, ont </w:t>
      </w:r>
      <w:commentRangeStart w:id="3"/>
      <w:commentRangeStart w:id="4"/>
      <w:r w:rsidR="00CA592A" w:rsidRPr="00B41604">
        <w:t xml:space="preserve">des propriétés différentes et </w:t>
      </w:r>
      <w:r w:rsidR="00F24BB0">
        <w:t>dans ce cas</w:t>
      </w:r>
      <w:r w:rsidR="0089159F">
        <w:t>,</w:t>
      </w:r>
      <w:r w:rsidR="00CA592A" w:rsidRPr="00B41604">
        <w:t xml:space="preserve"> permettent</w:t>
      </w:r>
      <w:r w:rsidR="00B41604" w:rsidRPr="00B41604">
        <w:t>-elle</w:t>
      </w:r>
      <w:r w:rsidR="0089159F">
        <w:t>s</w:t>
      </w:r>
      <w:r w:rsidR="00CA592A" w:rsidRPr="00B41604">
        <w:t xml:space="preserve"> de comprendre les déterminants structuraux ayant permis l'émergence des premiers dimères puis des tétramères ? </w:t>
      </w:r>
      <w:commentRangeEnd w:id="3"/>
      <w:r w:rsidR="00CA592A" w:rsidRPr="00B41604">
        <w:commentReference w:id="3"/>
      </w:r>
      <w:commentRangeEnd w:id="4"/>
      <w:r w:rsidR="003E00E0">
        <w:rPr>
          <w:rStyle w:val="Marquedecommentaire"/>
        </w:rPr>
        <w:commentReference w:id="4"/>
      </w:r>
    </w:p>
    <w:p w14:paraId="76BAB53E" w14:textId="3A3806BC" w:rsidR="00CA592A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 </w:t>
      </w:r>
    </w:p>
    <w:p w14:paraId="3C06EB2B" w14:textId="3C451C1D" w:rsidR="005D5C7B" w:rsidRPr="00B41604" w:rsidRDefault="00CA592A" w:rsidP="0089159F">
      <w:pPr>
        <w:autoSpaceDE w:val="0"/>
        <w:autoSpaceDN w:val="0"/>
        <w:adjustRightInd w:val="0"/>
        <w:spacing w:after="0" w:line="240" w:lineRule="auto"/>
        <w:jc w:val="both"/>
      </w:pPr>
      <w:r w:rsidRPr="00B41604">
        <w:t xml:space="preserve">On tentera </w:t>
      </w:r>
      <w:r w:rsidR="006205B2">
        <w:t>au cours</w:t>
      </w:r>
      <w:r w:rsidRPr="00B41604">
        <w:t xml:space="preserve"> de ce rapport d’explorer ces </w:t>
      </w:r>
      <w:r w:rsidR="00B41604" w:rsidRPr="00B41604">
        <w:t>interrogations</w:t>
      </w:r>
      <w:r w:rsidRPr="00B41604">
        <w:t xml:space="preserve">, avec </w:t>
      </w:r>
      <w:r w:rsidR="006205B2">
        <w:t xml:space="preserve">tout </w:t>
      </w:r>
      <w:r w:rsidRPr="00B41604">
        <w:t>d’abord</w:t>
      </w:r>
      <w:r w:rsidR="006205B2">
        <w:t xml:space="preserve"> </w:t>
      </w:r>
      <w:r w:rsidR="00B41604" w:rsidRPr="00B41604">
        <w:t>une description</w:t>
      </w:r>
      <w:r w:rsidRPr="00B41604">
        <w:t xml:space="preserve"> des données utilisé</w:t>
      </w:r>
      <w:r w:rsidR="006205B2">
        <w:t>e</w:t>
      </w:r>
      <w:r w:rsidRPr="00B41604">
        <w:t xml:space="preserve">s, </w:t>
      </w:r>
      <w:r w:rsidR="006205B2">
        <w:t xml:space="preserve">les </w:t>
      </w:r>
      <w:r w:rsidR="00B41604" w:rsidRPr="00B41604">
        <w:t xml:space="preserve">manipulations </w:t>
      </w:r>
      <w:r w:rsidR="006205B2">
        <w:t>mises en œuvre sur</w:t>
      </w:r>
      <w:r w:rsidRPr="00B41604">
        <w:t xml:space="preserve"> ces données pour montre</w:t>
      </w:r>
      <w:r w:rsidR="006205B2">
        <w:t>r</w:t>
      </w:r>
      <w:r w:rsidRPr="00B41604">
        <w:t xml:space="preserve"> le</w:t>
      </w:r>
      <w:r w:rsidR="006205B2">
        <w:t>urs</w:t>
      </w:r>
      <w:r w:rsidRPr="00B41604">
        <w:t xml:space="preserve"> propriétés et comment ces dernières ont été analys</w:t>
      </w:r>
      <w:r w:rsidR="006205B2">
        <w:t>ées</w:t>
      </w:r>
      <w:r w:rsidRPr="00B41604">
        <w:t xml:space="preserve">. Ensuite, avec </w:t>
      </w:r>
      <w:r w:rsidR="00B41604" w:rsidRPr="00B41604">
        <w:t>une description</w:t>
      </w:r>
      <w:r w:rsidRPr="00B41604">
        <w:t xml:space="preserve"> des résultats de l’analyse, suivi</w:t>
      </w:r>
      <w:r w:rsidR="006205B2">
        <w:t>e</w:t>
      </w:r>
      <w:r w:rsidRPr="00B41604">
        <w:t xml:space="preserve"> </w:t>
      </w:r>
      <w:r w:rsidR="006205B2">
        <w:t>de leur</w:t>
      </w:r>
      <w:r w:rsidRPr="00B41604">
        <w:t xml:space="preserve"> </w:t>
      </w:r>
      <w:r w:rsidR="00B41604" w:rsidRPr="00B41604">
        <w:t>interprétation et finalement une conclusion.</w:t>
      </w:r>
    </w:p>
    <w:p w14:paraId="4AE7941C" w14:textId="46E4B045" w:rsidR="005D5C7B" w:rsidRPr="00CA592A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7C293F56" w14:textId="556FB01D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38C43BB3" w14:textId="77777777" w:rsidR="005D5C7B" w:rsidRPr="005D5C7B" w:rsidRDefault="005D5C7B" w:rsidP="000D58F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</w:rPr>
      </w:pPr>
    </w:p>
    <w:p w14:paraId="194D7202" w14:textId="61EEFA21" w:rsidR="000D58F7" w:rsidRPr="005D5C7B" w:rsidRDefault="000D58F7" w:rsidP="000D58F7">
      <w:pPr>
        <w:rPr>
          <w:rFonts w:ascii="Comic Sans MS" w:hAnsi="Comic Sans MS" w:cs="TimesNewRomanPSMT"/>
        </w:rPr>
      </w:pPr>
    </w:p>
    <w:p w14:paraId="4ED94BBA" w14:textId="013AEB3A" w:rsidR="000D58F7" w:rsidRDefault="000D58F7" w:rsidP="000D58F7">
      <w:pPr>
        <w:rPr>
          <w:rFonts w:ascii="TimesNewRomanPSMT" w:hAnsi="TimesNewRomanPSMT" w:cs="TimesNewRomanPSMT"/>
        </w:rPr>
      </w:pP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383990DE" w:rsidR="00E552EC" w:rsidRDefault="00E552EC" w:rsidP="00E552EC">
      <w:pPr>
        <w:pStyle w:val="Titre2"/>
      </w:pPr>
      <w:r>
        <w:t>Données</w:t>
      </w:r>
    </w:p>
    <w:p w14:paraId="13776067" w14:textId="77777777" w:rsidR="00942CB7" w:rsidRPr="00942CB7" w:rsidRDefault="00942CB7" w:rsidP="00942CB7"/>
    <w:p w14:paraId="46DCC608" w14:textId="7F7F99A2" w:rsidR="00B41604" w:rsidRDefault="00942CB7" w:rsidP="0089159F">
      <w:pPr>
        <w:jc w:val="both"/>
      </w:pPr>
      <w:r>
        <w:t xml:space="preserve">Le jeu de données utilisé est </w:t>
      </w:r>
      <w:r w:rsidR="0089159F">
        <w:t>composé</w:t>
      </w:r>
      <w:r>
        <w:t xml:space="preserve"> de structures </w:t>
      </w:r>
      <w:r w:rsidR="0089159F">
        <w:t>en</w:t>
      </w:r>
      <w:r>
        <w:t xml:space="preserve"> format PDB</w:t>
      </w:r>
      <w:r w:rsidR="003E00E0">
        <w:t xml:space="preserve"> avec</w:t>
      </w:r>
      <w:r>
        <w:t xml:space="preserve"> 21 couples </w:t>
      </w:r>
      <w:r w:rsidR="003E00E0">
        <w:t>d’homéomères</w:t>
      </w:r>
      <w:r>
        <w:t>,</w:t>
      </w:r>
      <w:r w:rsidR="003E00E0">
        <w:t xml:space="preserve"> </w:t>
      </w:r>
      <w:r>
        <w:t xml:space="preserve">composés </w:t>
      </w:r>
      <w:r w:rsidR="003E00E0">
        <w:t xml:space="preserve">chacun </w:t>
      </w:r>
      <w:r>
        <w:t xml:space="preserve">d’un </w:t>
      </w:r>
      <w:r w:rsidR="003E00E0">
        <w:t>dimère</w:t>
      </w:r>
      <w:r>
        <w:t xml:space="preserve"> et </w:t>
      </w:r>
      <w:r w:rsidR="003E00E0">
        <w:t>de son</w:t>
      </w:r>
      <w:r>
        <w:t xml:space="preserve"> </w:t>
      </w:r>
      <w:r w:rsidR="003E00E0">
        <w:t>tétramère homologue</w:t>
      </w:r>
      <w:r>
        <w:t xml:space="preserve">. </w:t>
      </w:r>
      <w:r w:rsidR="003E00E0">
        <w:t>En plus</w:t>
      </w:r>
      <w:r>
        <w:t xml:space="preserve"> </w:t>
      </w:r>
      <w:r w:rsidR="003E00E0">
        <w:t>d</w:t>
      </w:r>
      <w:r>
        <w:t>es données structurales,</w:t>
      </w:r>
      <w:r w:rsidR="00411EDC">
        <w:t xml:space="preserve"> sont</w:t>
      </w:r>
      <w:r>
        <w:t xml:space="preserve"> aussi fourni</w:t>
      </w:r>
      <w:r w:rsidR="00411EDC">
        <w:t>s</w:t>
      </w:r>
      <w:r>
        <w:t xml:space="preserve"> </w:t>
      </w:r>
      <w:r w:rsidR="00EF0847">
        <w:t>des fichiers PDB dans lesquels</w:t>
      </w:r>
      <w:r>
        <w:t xml:space="preserve"> </w:t>
      </w:r>
      <w:r w:rsidR="00EF0847">
        <w:t>l</w:t>
      </w:r>
      <w:r w:rsidR="00AB2EFD">
        <w:t>e</w:t>
      </w:r>
      <w:r>
        <w:t xml:space="preserve"> </w:t>
      </w:r>
      <w:proofErr w:type="spellStart"/>
      <w:r>
        <w:t>bfactor</w:t>
      </w:r>
      <w:proofErr w:type="spellEnd"/>
      <w:r>
        <w:t xml:space="preserve"> pren</w:t>
      </w:r>
      <w:r w:rsidR="00EF0847">
        <w:t xml:space="preserve">d </w:t>
      </w:r>
      <w:r>
        <w:t>les valeurs 0, 1 et 2 s</w:t>
      </w:r>
      <w:r w:rsidR="00EF0847">
        <w:t>elon que</w:t>
      </w:r>
      <w:r>
        <w:t xml:space="preserve"> les acides </w:t>
      </w:r>
      <w:r w:rsidR="00EF0847">
        <w:t>aminés</w:t>
      </w:r>
      <w:r>
        <w:t xml:space="preserve"> appartien</w:t>
      </w:r>
      <w:r w:rsidR="00EF0847">
        <w:t>nent</w:t>
      </w:r>
      <w:r>
        <w:t xml:space="preserve"> </w:t>
      </w:r>
      <w:r w:rsidR="00EF0847">
        <w:t>à</w:t>
      </w:r>
      <w:r>
        <w:t xml:space="preserve"> une interface et si </w:t>
      </w:r>
      <w:r w:rsidR="0080125A">
        <w:t>c’est le cas</w:t>
      </w:r>
      <w:r w:rsidR="00EF0847">
        <w:t>,</w:t>
      </w:r>
      <w:r>
        <w:t xml:space="preserve"> </w:t>
      </w:r>
      <w:r w:rsidR="00EF0847">
        <w:t>selon le type d’interface</w:t>
      </w:r>
      <w:r>
        <w:t xml:space="preserve"> récente </w:t>
      </w:r>
      <w:r w:rsidR="0080125A">
        <w:t xml:space="preserve">(2) </w:t>
      </w:r>
      <w:r>
        <w:t>ou ancestrale</w:t>
      </w:r>
      <w:r w:rsidR="0080125A">
        <w:t xml:space="preserve"> (1)</w:t>
      </w:r>
      <w:r>
        <w:t xml:space="preserve">. </w:t>
      </w:r>
    </w:p>
    <w:p w14:paraId="2FB9D293" w14:textId="3A1944DA" w:rsidR="00942CB7" w:rsidRDefault="00942CB7" w:rsidP="0089159F">
      <w:pPr>
        <w:jc w:val="both"/>
      </w:pPr>
      <w:r>
        <w:t>[capture d’</w:t>
      </w:r>
      <w:r w:rsidR="0080125A">
        <w:t>écran</w:t>
      </w:r>
      <w:r>
        <w:t>]</w:t>
      </w:r>
    </w:p>
    <w:p w14:paraId="630106FE" w14:textId="77777777" w:rsidR="00B41604" w:rsidRPr="00B41604" w:rsidRDefault="00B41604" w:rsidP="00B41604"/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4BBC9D4F" w:rsidR="002B4884" w:rsidRDefault="002B4884" w:rsidP="002C6CF0">
      <w:pPr>
        <w:jc w:val="both"/>
      </w:pPr>
      <w:r>
        <w:t xml:space="preserve">Les scores de conservation des acides aminés (score </w:t>
      </w:r>
      <w:proofErr w:type="spellStart"/>
      <w:r>
        <w:t>consurf</w:t>
      </w:r>
      <w:proofErr w:type="spellEnd"/>
      <w:r>
        <w:t xml:space="preserve">) ont été obtenus </w:t>
      </w:r>
      <w:r w:rsidR="003E00E0">
        <w:t xml:space="preserve">pour la chaîne A de chaque dimère et tétramère </w:t>
      </w:r>
      <w:r>
        <w:t xml:space="preserve">grâce au site </w:t>
      </w:r>
      <w:hyperlink r:id="rId14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</w:t>
      </w:r>
      <w:r>
        <w:lastRenderedPageBreak/>
        <w:t>modifiés.</w:t>
      </w:r>
      <w:r w:rsidR="003E00E0">
        <w:t xml:space="preserve"> Le script Python colour_from_consurf_scores.py a été utilisé pour obtenir les commandes permettant de visualiser les scores </w:t>
      </w:r>
      <w:proofErr w:type="spellStart"/>
      <w:r w:rsidR="003E00E0">
        <w:t>consurf</w:t>
      </w:r>
      <w:proofErr w:type="spellEnd"/>
      <w:r w:rsidR="003E00E0">
        <w:t xml:space="preserve"> </w:t>
      </w:r>
      <w:r w:rsidR="00EF0847">
        <w:t xml:space="preserve">de chaque homéomère </w:t>
      </w:r>
      <w:r w:rsidR="003E00E0">
        <w:t xml:space="preserve">sur </w:t>
      </w:r>
      <w:proofErr w:type="spellStart"/>
      <w:r w:rsidR="003E00E0">
        <w:t>Pymol</w:t>
      </w:r>
      <w:proofErr w:type="spellEnd"/>
      <w:r w:rsidR="003E00E0">
        <w:t>.</w:t>
      </w:r>
    </w:p>
    <w:p w14:paraId="3D438238" w14:textId="0682393A" w:rsidR="00E552EC" w:rsidRDefault="002C6CF0" w:rsidP="002C6CF0">
      <w:pPr>
        <w:jc w:val="both"/>
      </w:pPr>
      <w:r>
        <w:t xml:space="preserve">Le script Python 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chargés.</w:t>
      </w:r>
    </w:p>
    <w:p w14:paraId="270744A3" w14:textId="7309B527" w:rsidR="00AE45D0" w:rsidRDefault="00AE45D0" w:rsidP="002C6CF0">
      <w:pPr>
        <w:jc w:val="both"/>
      </w:pPr>
      <w:r>
        <w:t xml:space="preserve">Ensuite avec un script Python a </w:t>
      </w:r>
      <w:proofErr w:type="spellStart"/>
      <w:r>
        <w:t>concatenner</w:t>
      </w:r>
      <w:proofErr w:type="spellEnd"/>
      <w:r>
        <w:t xml:space="preserve"> les données dans des fichiers csv  avec les donnes </w:t>
      </w:r>
      <w:proofErr w:type="spellStart"/>
      <w:r>
        <w:t>consurfs</w:t>
      </w:r>
      <w:proofErr w:type="spellEnd"/>
      <w:r>
        <w:t xml:space="preserve">, type d’acide amines, </w:t>
      </w:r>
      <w:proofErr w:type="spellStart"/>
      <w:r>
        <w:t>appertance</w:t>
      </w:r>
      <w:proofErr w:type="spellEnd"/>
      <w:r>
        <w:t xml:space="preserve"> a une interface et si un </w:t>
      </w:r>
      <w:proofErr w:type="spellStart"/>
      <w:r>
        <w:t>dimere</w:t>
      </w:r>
      <w:proofErr w:type="spellEnd"/>
      <w:r>
        <w:t xml:space="preserve"> ou </w:t>
      </w:r>
      <w:proofErr w:type="spellStart"/>
      <w:r>
        <w:t>tretameres</w:t>
      </w:r>
      <w:proofErr w:type="spellEnd"/>
      <w:r>
        <w:t xml:space="preserve">. </w:t>
      </w:r>
    </w:p>
    <w:p w14:paraId="567788E3" w14:textId="42CB3FB6" w:rsidR="00AE45D0" w:rsidRDefault="00AE45D0" w:rsidP="002C6CF0">
      <w:pPr>
        <w:jc w:val="both"/>
      </w:pPr>
    </w:p>
    <w:p w14:paraId="0A57FB64" w14:textId="5156D67F" w:rsidR="00AE45D0" w:rsidRDefault="00AE45D0" w:rsidP="002C6CF0">
      <w:pPr>
        <w:jc w:val="both"/>
      </w:pPr>
      <w:r>
        <w:t>Analyse</w:t>
      </w:r>
    </w:p>
    <w:p w14:paraId="0B6FAC91" w14:textId="3FC02DB1" w:rsidR="00AE45D0" w:rsidRDefault="00AE45D0" w:rsidP="002C6CF0">
      <w:pPr>
        <w:jc w:val="both"/>
      </w:pPr>
      <w:r>
        <w:t xml:space="preserve">Les analyses ont été </w:t>
      </w:r>
      <w:proofErr w:type="spellStart"/>
      <w:r>
        <w:t>realises</w:t>
      </w:r>
      <w:proofErr w:type="spellEnd"/>
      <w:r>
        <w:t xml:space="preserve"> et ploter grâce a R. </w:t>
      </w:r>
    </w:p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rginie Noël" w:date="2021-04-21T09:42:00Z" w:initials="VN">
    <w:p w14:paraId="1D5E525E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>Faudrait reformuler, je comprends pas trop ce que tu veux dire</w:t>
      </w:r>
    </w:p>
  </w:comment>
  <w:comment w:id="1" w:author="Julia Von Grafenstein" w:date="2021-04-21T10:14:00Z" w:initials="JVG">
    <w:p w14:paraId="468A907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  <w:r>
        <w:t xml:space="preserve">Je dis, que la </w:t>
      </w:r>
      <w:proofErr w:type="spellStart"/>
      <w:r>
        <w:t>propostion</w:t>
      </w:r>
      <w:proofErr w:type="spellEnd"/>
      <w:r>
        <w:t xml:space="preserve"> que fait l’article est que l’</w:t>
      </w:r>
      <w:proofErr w:type="spellStart"/>
      <w:r>
        <w:t>evolution</w:t>
      </w:r>
      <w:proofErr w:type="spellEnd"/>
      <w:r>
        <w:t xml:space="preserve"> des </w:t>
      </w:r>
      <w:proofErr w:type="spellStart"/>
      <w:r>
        <w:t>tretameres</w:t>
      </w:r>
      <w:proofErr w:type="spellEnd"/>
      <w:r>
        <w:t xml:space="preserve"> se fait en 2 </w:t>
      </w:r>
      <w:proofErr w:type="spellStart"/>
      <w:r>
        <w:t>etapes</w:t>
      </w:r>
      <w:proofErr w:type="spellEnd"/>
      <w:r>
        <w:t xml:space="preserve">, soit donc 2 temps, je l’ai donc décrit comme temps biparti. Et que donc c un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creation</w:t>
      </w:r>
      <w:proofErr w:type="spellEnd"/>
      <w:r>
        <w:t xml:space="preserve"> des 2 interfaces des </w:t>
      </w:r>
      <w:proofErr w:type="spellStart"/>
      <w:r>
        <w:t>treateleres</w:t>
      </w:r>
      <w:proofErr w:type="spellEnd"/>
      <w:r>
        <w:t xml:space="preserve"> une après l’autre et pas TOUT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foid</w:t>
      </w:r>
      <w:proofErr w:type="spellEnd"/>
      <w:r>
        <w:t> !</w:t>
      </w:r>
    </w:p>
  </w:comment>
  <w:comment w:id="2" w:author="Julia Von Grafenstein" w:date="2021-04-21T10:16:00Z" w:initials="JVG">
    <w:p w14:paraId="4CD5783A" w14:textId="77777777" w:rsidR="006205B2" w:rsidRDefault="006205B2" w:rsidP="006205B2">
      <w:pPr>
        <w:pStyle w:val="Commentaire"/>
      </w:pPr>
      <w:r>
        <w:rPr>
          <w:rStyle w:val="Marquedecommentaire"/>
        </w:rPr>
        <w:annotationRef/>
      </w:r>
    </w:p>
  </w:comment>
  <w:comment w:id="3" w:author="Julia Von Grafenstein" w:date="2021-04-20T23:45:00Z" w:initials="JVG">
    <w:p w14:paraId="745A6608" w14:textId="77777777" w:rsidR="00CA592A" w:rsidRDefault="00CA592A" w:rsidP="00CA592A">
      <w:pPr>
        <w:pStyle w:val="Commentaire"/>
      </w:pPr>
      <w:r>
        <w:rPr>
          <w:rStyle w:val="Marquedecommentaire"/>
        </w:rPr>
        <w:annotationRef/>
      </w:r>
      <w:r>
        <w:t>Trouver un moyen de paraphrases</w:t>
      </w:r>
    </w:p>
  </w:comment>
  <w:comment w:id="4" w:author="Virginie Noël" w:date="2021-04-21T09:46:00Z" w:initials="VN">
    <w:p w14:paraId="32A54B77" w14:textId="77777777" w:rsidR="003E00E0" w:rsidRDefault="003E00E0">
      <w:pPr>
        <w:pStyle w:val="Commentaire"/>
      </w:pPr>
      <w:r>
        <w:rPr>
          <w:rStyle w:val="Marquedecommentaire"/>
        </w:rPr>
        <w:annotationRef/>
      </w:r>
      <w:r>
        <w:t xml:space="preserve">A quel point ? </w:t>
      </w:r>
      <w:proofErr w:type="spellStart"/>
      <w:r>
        <w:t>Ca</w:t>
      </w:r>
      <w:proofErr w:type="spellEnd"/>
      <w:r>
        <w:t xml:space="preserve"> vient de l’article ?</w:t>
      </w:r>
      <w:r w:rsidR="00B54709">
        <w:t xml:space="preserve"> non de leur description du projet</w:t>
      </w:r>
    </w:p>
    <w:p w14:paraId="07042B53" w14:textId="5BB46576" w:rsidR="00B54709" w:rsidRDefault="00B54709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5E525E" w15:done="1"/>
  <w15:commentEx w15:paraId="468A907A" w15:paraIdParent="1D5E525E" w15:done="1"/>
  <w15:commentEx w15:paraId="4CD5783A" w15:paraIdParent="1D5E525E" w15:done="1"/>
  <w15:commentEx w15:paraId="745A6608" w15:done="0"/>
  <w15:commentEx w15:paraId="07042B53" w15:paraIdParent="745A66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720B" w16cex:dateUtc="2021-04-21T07:42:00Z"/>
  <w16cex:commentExtensible w16cex:durableId="242A79A2" w16cex:dateUtc="2021-04-21T08:14:00Z"/>
  <w16cex:commentExtensible w16cex:durableId="242A79F5" w16cex:dateUtc="2021-04-21T08:16:00Z"/>
  <w16cex:commentExtensible w16cex:durableId="2429EA59" w16cex:dateUtc="2021-04-20T21:45:00Z"/>
  <w16cex:commentExtensible w16cex:durableId="242A72DE" w16cex:dateUtc="2021-04-21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5E525E" w16cid:durableId="242A720B"/>
  <w16cid:commentId w16cid:paraId="468A907A" w16cid:durableId="242A79A2"/>
  <w16cid:commentId w16cid:paraId="4CD5783A" w16cid:durableId="242A79F5"/>
  <w16cid:commentId w16cid:paraId="745A6608" w16cid:durableId="2429EA59"/>
  <w16cid:commentId w16cid:paraId="07042B53" w16cid:durableId="242A72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rginie Noël">
    <w15:presenceInfo w15:providerId="Windows Live" w15:userId="fd6ce521ffa001b5"/>
  </w15:person>
  <w15:person w15:author="Julia Von Grafenstein">
    <w15:presenceInfo w15:providerId="None" w15:userId="Julia Von Grafen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0D58F7"/>
    <w:rsid w:val="002B4884"/>
    <w:rsid w:val="002C6CF0"/>
    <w:rsid w:val="003E00E0"/>
    <w:rsid w:val="00411EDC"/>
    <w:rsid w:val="00443699"/>
    <w:rsid w:val="005D5C7B"/>
    <w:rsid w:val="006205B2"/>
    <w:rsid w:val="006D1CA2"/>
    <w:rsid w:val="007260BE"/>
    <w:rsid w:val="0080125A"/>
    <w:rsid w:val="0086325F"/>
    <w:rsid w:val="0089159F"/>
    <w:rsid w:val="00942CB7"/>
    <w:rsid w:val="00AB2EFD"/>
    <w:rsid w:val="00AE45D0"/>
    <w:rsid w:val="00B41604"/>
    <w:rsid w:val="00B54709"/>
    <w:rsid w:val="00B67169"/>
    <w:rsid w:val="00C9639C"/>
    <w:rsid w:val="00CA592A"/>
    <w:rsid w:val="00DD6780"/>
    <w:rsid w:val="00E552EC"/>
    <w:rsid w:val="00EF0847"/>
    <w:rsid w:val="00F2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D58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58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58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58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58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5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08AD-F233-46A9-96D3-FD9654CB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Julia Von Grafenstein</cp:lastModifiedBy>
  <cp:revision>20</cp:revision>
  <cp:lastPrinted>2021-04-15T16:32:00Z</cp:lastPrinted>
  <dcterms:created xsi:type="dcterms:W3CDTF">2021-04-15T16:22:00Z</dcterms:created>
  <dcterms:modified xsi:type="dcterms:W3CDTF">2021-04-22T06:28:00Z</dcterms:modified>
</cp:coreProperties>
</file>