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2E446" w14:textId="7F33B38E" w:rsidR="000861D5" w:rsidRPr="00665B50" w:rsidRDefault="001E0632" w:rsidP="00665B50">
      <w:pPr>
        <w:pStyle w:val="Heading1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Analysis: Bluetooth Tracking for Dementia Care</w:t>
      </w:r>
    </w:p>
    <w:p w14:paraId="4132B4BB" w14:textId="77777777" w:rsidR="002074BA" w:rsidRPr="00B552C5" w:rsidRDefault="001E0632">
      <w:pPr>
        <w:pStyle w:val="Heading2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Introduction</w:t>
      </w:r>
    </w:p>
    <w:p w14:paraId="4F933BEC" w14:textId="65CFF64F" w:rsidR="000861D5" w:rsidRDefault="001E0632">
      <w:r>
        <w:t xml:space="preserve">Inspired by a LinkedIn post about the potential use of Tile devices for dementia care, this project explores the feasibility of Bluetooth tracking for aiding individuals with dementia. </w:t>
      </w:r>
      <w:r w:rsidR="00B03D7D">
        <w:t xml:space="preserve">Below are </w:t>
      </w:r>
      <w:r>
        <w:t>modeled detection probabilities, adoption rates, and population dynamics over a 20-year horizon, providing insights into the challenges and limitations of this technology.</w:t>
      </w:r>
    </w:p>
    <w:p w14:paraId="776BE21B" w14:textId="77777777" w:rsidR="002074BA" w:rsidRPr="00B552C5" w:rsidRDefault="001E0632">
      <w:pPr>
        <w:pStyle w:val="Heading2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Objectives</w:t>
      </w:r>
    </w:p>
    <w:p w14:paraId="3A5808D5" w14:textId="294E08ED" w:rsidR="00B552C5" w:rsidRDefault="001E0632">
      <w:r>
        <w:t>The primary objective of this study was to assess the effectiveness of Tile devices in aiding dementia care, focusing on:</w:t>
      </w:r>
      <w:r>
        <w:br/>
        <w:t>- Detection probabilities over time.</w:t>
      </w:r>
      <w:r>
        <w:br/>
        <w:t>- The impact of tech adoption trends.</w:t>
      </w:r>
      <w:r>
        <w:br/>
        <w:t>- How population aging affects detection rates.</w:t>
      </w:r>
    </w:p>
    <w:p w14:paraId="41280B16" w14:textId="1826B871" w:rsidR="00E70F47" w:rsidRPr="00DB14CE" w:rsidRDefault="001E0632" w:rsidP="00DB14CE">
      <w:pPr>
        <w:pStyle w:val="Heading2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Methods</w:t>
      </w:r>
    </w:p>
    <w:p w14:paraId="4E749B1D" w14:textId="77777777" w:rsidR="002074BA" w:rsidRPr="00B552C5" w:rsidRDefault="001E0632">
      <w:pPr>
        <w:pStyle w:val="Heading3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Equations</w:t>
      </w:r>
    </w:p>
    <w:p w14:paraId="6A6F8678" w14:textId="77777777" w:rsidR="002074BA" w:rsidRDefault="001E0632">
      <w:r>
        <w:t>The following equations were used in the analysis:</w:t>
      </w:r>
    </w:p>
    <w:p w14:paraId="57066572" w14:textId="66494A1F" w:rsidR="000861D5" w:rsidRDefault="001E0632">
      <w:pPr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Detection Probability Formula:</w:t>
      </w:r>
    </w:p>
    <w:p w14:paraId="23B5A36A" w14:textId="745C8CF5" w:rsidR="0002758D" w:rsidRPr="002E2892" w:rsidRDefault="003C764B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p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d</m:t>
              </m:r>
            </m:sub>
          </m:sSub>
          <m:r>
            <w:rPr>
              <w:rFonts w:ascii="Cambria Math" w:hAnsi="Cambria Math"/>
              <w:color w:val="8064A2" w:themeColor="accent4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8064A2" w:themeColor="accent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8064A2" w:themeColor="accent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8064A2" w:themeColor="accent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8064A2" w:themeColor="accent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color w:val="8064A2" w:themeColor="accent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p>
          </m:sSup>
        </m:oMath>
      </m:oMathPara>
    </w:p>
    <w:p w14:paraId="177C8FBE" w14:textId="082BF405" w:rsidR="00E1554F" w:rsidRPr="002E2892" w:rsidRDefault="00E1554F">
      <w:pPr>
        <w:rPr>
          <w:color w:val="8064A2" w:themeColor="accent4"/>
        </w:rPr>
      </w:pPr>
      <w:r w:rsidRPr="002E2892">
        <w:rPr>
          <w:color w:val="8064A2" w:themeColor="accent4"/>
        </w:rPr>
        <w:t>Pd = detection probability</w:t>
      </w:r>
    </w:p>
    <w:p w14:paraId="58712162" w14:textId="5D80D923" w:rsidR="00E1554F" w:rsidRPr="002E2892" w:rsidRDefault="002910F2">
      <w:pPr>
        <w:rPr>
          <w:color w:val="8064A2" w:themeColor="accent4"/>
        </w:rPr>
      </w:pPr>
      <w:r w:rsidRPr="002E2892">
        <w:rPr>
          <w:color w:val="8064A2" w:themeColor="accent4"/>
        </w:rPr>
        <w:t>A wandering area (</w:t>
      </w:r>
      <m:oMath>
        <m:r>
          <w:rPr>
            <w:rFonts w:ascii="Cambria Math" w:hAnsi="Cambria Math"/>
            <w:color w:val="8064A2" w:themeColor="accent4"/>
          </w:rPr>
          <m:t>π</m:t>
        </m:r>
        <m:sSubSup>
          <m:sSubSupPr>
            <m:ctrlPr>
              <w:rPr>
                <w:rFonts w:ascii="Cambria Math" w:hAnsi="Cambria Math"/>
                <w:i/>
                <w:color w:val="8064A2" w:themeColor="accent4"/>
              </w:rPr>
            </m:ctrlPr>
          </m:sSubSupPr>
          <m:e>
            <m:r>
              <w:rPr>
                <w:rFonts w:ascii="Cambria Math" w:hAnsi="Cambria Math"/>
                <w:color w:val="8064A2" w:themeColor="accent4"/>
              </w:rPr>
              <m:t>R</m:t>
            </m:r>
          </m:e>
          <m:sub>
            <m:r>
              <w:rPr>
                <w:rFonts w:ascii="Cambria Math" w:hAnsi="Cambria Math"/>
                <w:color w:val="8064A2" w:themeColor="accent4"/>
              </w:rPr>
              <m:t>m</m:t>
            </m:r>
          </m:sub>
          <m:sup>
            <m:r>
              <w:rPr>
                <w:rFonts w:ascii="Cambria Math" w:hAnsi="Cambria Math"/>
                <w:color w:val="8064A2" w:themeColor="accent4"/>
              </w:rPr>
              <m:t>2</m:t>
            </m:r>
          </m:sup>
        </m:sSubSup>
        <m:r>
          <w:rPr>
            <w:rFonts w:ascii="Cambria Math" w:hAnsi="Cambria Math"/>
            <w:color w:val="8064A2" w:themeColor="accent4"/>
          </w:rPr>
          <m:t>)</m:t>
        </m:r>
      </m:oMath>
    </w:p>
    <w:p w14:paraId="75EE0B74" w14:textId="40AA345C" w:rsidR="0002758D" w:rsidRPr="002E2892" w:rsidRDefault="00C45A10">
      <w:pPr>
        <w:rPr>
          <w:color w:val="8064A2" w:themeColor="accent4"/>
        </w:rPr>
      </w:pPr>
      <w:r w:rsidRPr="002E2892">
        <w:rPr>
          <w:color w:val="8064A2" w:themeColor="accent4"/>
        </w:rPr>
        <w:t xml:space="preserve">C coverage area of a Tile device </w:t>
      </w:r>
      <w:r w:rsidRPr="002E2892">
        <w:rPr>
          <w:color w:val="8064A2" w:themeColor="accent4"/>
        </w:rPr>
        <w:t>(</w:t>
      </w:r>
      <m:oMath>
        <m:r>
          <w:rPr>
            <w:rFonts w:ascii="Cambria Math" w:hAnsi="Cambria Math"/>
            <w:color w:val="8064A2" w:themeColor="accent4"/>
          </w:rPr>
          <m:t>π</m:t>
        </m:r>
        <m:sSubSup>
          <m:sSubSupPr>
            <m:ctrlPr>
              <w:rPr>
                <w:rFonts w:ascii="Cambria Math" w:hAnsi="Cambria Math"/>
                <w:i/>
                <w:color w:val="8064A2" w:themeColor="accent4"/>
              </w:rPr>
            </m:ctrlPr>
          </m:sSubSupPr>
          <m:e>
            <m:r>
              <w:rPr>
                <w:rFonts w:ascii="Cambria Math" w:hAnsi="Cambria Math"/>
                <w:color w:val="8064A2" w:themeColor="accent4"/>
              </w:rPr>
              <m:t>R</m:t>
            </m:r>
          </m:e>
          <m:sub>
            <m:r>
              <w:rPr>
                <w:rFonts w:ascii="Cambria Math" w:hAnsi="Cambria Math"/>
                <w:color w:val="8064A2" w:themeColor="accent4"/>
              </w:rPr>
              <m:t>m</m:t>
            </m:r>
          </m:sub>
          <m:sup>
            <m:r>
              <w:rPr>
                <w:rFonts w:ascii="Cambria Math" w:hAnsi="Cambria Math"/>
                <w:color w:val="8064A2" w:themeColor="accent4"/>
              </w:rPr>
              <m:t>2</m:t>
            </m:r>
          </m:sup>
        </m:sSubSup>
        <m:r>
          <w:rPr>
            <w:rFonts w:ascii="Cambria Math" w:hAnsi="Cambria Math"/>
            <w:color w:val="8064A2" w:themeColor="accent4"/>
          </w:rPr>
          <m:t>)</m:t>
        </m:r>
      </m:oMath>
    </w:p>
    <w:p w14:paraId="72FC2253" w14:textId="56CE5F5B" w:rsidR="00B552C5" w:rsidRPr="00DB14CE" w:rsidRDefault="00B65AFA">
      <w:pPr>
        <w:rPr>
          <w:color w:val="8064A2" w:themeColor="accent4"/>
        </w:rPr>
      </w:pPr>
      <w:r w:rsidRPr="002E2892">
        <w:rPr>
          <w:color w:val="8064A2" w:themeColor="accent4"/>
        </w:rPr>
        <w:t>T total number of Tile enabled devices (</w:t>
      </w:r>
      <m:oMath>
        <m:r>
          <w:rPr>
            <w:rFonts w:ascii="Cambria Math" w:hAnsi="Cambria Math"/>
            <w:color w:val="8064A2" w:themeColor="accent4"/>
          </w:rPr>
          <m:t>P⋅</m:t>
        </m:r>
        <m:sSub>
          <m:sSubPr>
            <m:ctrlPr>
              <w:rPr>
                <w:rFonts w:ascii="Cambria Math" w:hAnsi="Cambria Math"/>
                <w:i/>
                <w:color w:val="8064A2" w:themeColor="accent4"/>
              </w:rPr>
            </m:ctrlPr>
          </m:sSubPr>
          <m:e>
            <m:r>
              <w:rPr>
                <w:rFonts w:ascii="Cambria Math" w:hAnsi="Cambria Math"/>
                <w:color w:val="8064A2" w:themeColor="accent4"/>
              </w:rPr>
              <m:t>A</m:t>
            </m:r>
          </m:e>
          <m:sub>
            <m:r>
              <w:rPr>
                <w:rFonts w:ascii="Cambria Math" w:hAnsi="Cambria Math"/>
                <w:color w:val="8064A2" w:themeColor="accent4"/>
              </w:rPr>
              <m:t>r</m:t>
            </m:r>
          </m:sub>
        </m:sSub>
      </m:oMath>
      <w:r w:rsidRPr="002E2892">
        <w:rPr>
          <w:color w:val="8064A2" w:themeColor="accent4"/>
        </w:rPr>
        <w:t>)</w:t>
      </w:r>
    </w:p>
    <w:p w14:paraId="5CDCF94C" w14:textId="6D2C4B30" w:rsidR="000861D5" w:rsidRDefault="001E0632">
      <w:pPr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Population Transition Formula:</w:t>
      </w:r>
    </w:p>
    <w:p w14:paraId="0556CDA7" w14:textId="17E64417" w:rsidR="007E02CD" w:rsidRPr="002E2892" w:rsidRDefault="007E02CD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P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x+1</m:t>
              </m:r>
            </m:e>
          </m:d>
          <m:r>
            <w:rPr>
              <w:rFonts w:ascii="Cambria Math" w:hAnsi="Cambria Math"/>
              <w:color w:val="8064A2" w:themeColor="accent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P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</m:t>
              </m:r>
            </m:e>
          </m:d>
          <m:r>
            <w:rPr>
              <w:rFonts w:ascii="Cambria Math" w:hAnsi="Cambria Math"/>
              <w:color w:val="8064A2" w:themeColor="accent4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1-m</m:t>
              </m:r>
            </m:e>
          </m:d>
        </m:oMath>
      </m:oMathPara>
    </w:p>
    <w:p w14:paraId="1189F36B" w14:textId="470E88F1" w:rsidR="00CC50D4" w:rsidRPr="002E2892" w:rsidRDefault="00CC50D4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P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x+1</m:t>
              </m:r>
            </m:e>
          </m:d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poupulation in the next age braket</m:t>
          </m:r>
          <m:r>
            <w:rPr>
              <w:rFonts w:ascii="Cambria Math" w:hAnsi="Cambria Math"/>
              <w:color w:val="8064A2" w:themeColor="accent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P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</m:t>
              </m:r>
            </m:e>
          </m:d>
          <m:r>
            <w:rPr>
              <w:rFonts w:ascii="Cambria Math" w:hAnsi="Cambria Math"/>
              <w:color w:val="8064A2" w:themeColor="accent4"/>
            </w:rPr>
            <m:t xml:space="preserve"> population in the next age </m:t>
          </m:r>
          <m:r>
            <w:rPr>
              <w:rFonts w:ascii="Cambria Math" w:hAnsi="Cambria Math"/>
              <w:color w:val="8064A2" w:themeColor="accent4"/>
            </w:rPr>
            <m:t>bracket</m:t>
          </m:r>
        </m:oMath>
      </m:oMathPara>
    </w:p>
    <w:p w14:paraId="0187FCCB" w14:textId="0457F8AC" w:rsidR="002E2892" w:rsidRPr="00DB14CE" w:rsidRDefault="00230C6A">
      <w:pPr>
        <w:rPr>
          <w:color w:val="8064A2" w:themeColor="accent4"/>
        </w:rPr>
      </w:pPr>
      <m:oMathPara>
        <m:oMath>
          <m:r>
            <w:rPr>
              <w:rFonts w:ascii="Cambria Math" w:hAnsi="Cambria Math"/>
              <w:color w:val="8064A2" w:themeColor="accent4"/>
            </w:rPr>
            <m:t>M mortality rate</m:t>
          </m:r>
        </m:oMath>
      </m:oMathPara>
    </w:p>
    <w:p w14:paraId="102BE8FA" w14:textId="77777777" w:rsidR="00DB14CE" w:rsidRDefault="00DB14CE">
      <w:pPr>
        <w:rPr>
          <w:color w:val="8064A2" w:themeColor="accent4"/>
        </w:rPr>
      </w:pPr>
    </w:p>
    <w:p w14:paraId="21C1F121" w14:textId="77777777" w:rsidR="00DB14CE" w:rsidRPr="00DB14CE" w:rsidRDefault="00DB14CE">
      <w:pPr>
        <w:rPr>
          <w:color w:val="8064A2" w:themeColor="accent4"/>
        </w:rPr>
      </w:pPr>
    </w:p>
    <w:p w14:paraId="7E2C6483" w14:textId="5239769B" w:rsidR="002074BA" w:rsidRDefault="001E0632">
      <w:pPr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lastRenderedPageBreak/>
        <w:t>Dementia Prevalence Growth:</w:t>
      </w:r>
    </w:p>
    <w:p w14:paraId="7AC0772F" w14:textId="5FB4510D" w:rsidR="002E2892" w:rsidRPr="00F91CFF" w:rsidRDefault="002E2892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D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t+1</m:t>
              </m:r>
            </m:sub>
          </m:sSub>
          <m:r>
            <w:rPr>
              <w:rFonts w:ascii="Cambria Math" w:hAnsi="Cambria Math"/>
              <w:color w:val="8064A2" w:themeColor="accent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D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r>
            <w:rPr>
              <w:rFonts w:ascii="Cambria Math" w:hAnsi="Cambria Math"/>
              <w:color w:val="8064A2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Δ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</m:oMath>
      </m:oMathPara>
    </w:p>
    <w:p w14:paraId="61B2B335" w14:textId="28A092E6" w:rsidR="0006035C" w:rsidRPr="00F91CFF" w:rsidRDefault="0006035C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D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t+1</m:t>
              </m:r>
            </m:sub>
          </m:sSub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dementia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prevalence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i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the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next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time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step</m:t>
          </m:r>
          <m:r>
            <w:rPr>
              <w:rFonts w:ascii="Cambria Math" w:hAnsi="Cambria Math"/>
              <w:color w:val="8064A2" w:themeColor="accent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D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r>
            <w:rPr>
              <w:rFonts w:ascii="Cambria Math" w:hAnsi="Cambria Math"/>
              <w:color w:val="8064A2" w:themeColor="accent4"/>
            </w:rPr>
            <m:t xml:space="preserve"> dementia prevalence in the current time step</m:t>
          </m:r>
        </m:oMath>
      </m:oMathPara>
    </w:p>
    <w:p w14:paraId="6112B100" w14:textId="60BEFD69" w:rsidR="00B552C5" w:rsidRPr="00DB14CE" w:rsidRDefault="00911D0C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Δ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r>
            <w:rPr>
              <w:rFonts w:ascii="Cambria Math" w:hAnsi="Cambria Math"/>
              <w:color w:val="8064A2" w:themeColor="accent4"/>
            </w:rPr>
            <m:t xml:space="preserve"> yearly increase in prevalence</m:t>
          </m:r>
        </m:oMath>
      </m:oMathPara>
    </w:p>
    <w:p w14:paraId="738830E9" w14:textId="28646D06" w:rsidR="00074048" w:rsidRDefault="001E0632">
      <w:pPr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Adoption Rate Evolution:</w:t>
      </w:r>
    </w:p>
    <w:p w14:paraId="688E030D" w14:textId="40DC2BED" w:rsidR="00F91CFF" w:rsidRPr="00DB14CE" w:rsidRDefault="00F91CFF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</m:t>
              </m:r>
            </m:e>
          </m:d>
          <m:r>
            <w:rPr>
              <w:rFonts w:ascii="Cambria Math" w:hAnsi="Cambria Math"/>
              <w:color w:val="8064A2" w:themeColor="accent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</m:t>
              </m:r>
            </m:e>
          </m:d>
          <m:r>
            <w:rPr>
              <w:rFonts w:ascii="Cambria Math" w:hAnsi="Cambria Math"/>
              <w:color w:val="8064A2" w:themeColor="accent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Δ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sub>
          </m:sSub>
        </m:oMath>
      </m:oMathPara>
    </w:p>
    <w:p w14:paraId="1130B189" w14:textId="49CCA4E9" w:rsidR="00462A22" w:rsidRPr="00DB14CE" w:rsidRDefault="00DB14CE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</m:t>
              </m:r>
            </m:e>
          </m:d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adoption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rate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in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the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next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time</m:t>
          </m:r>
          <m:r>
            <w:rPr>
              <w:rFonts w:ascii="Cambria Math" w:hAnsi="Cambria Math"/>
              <w:color w:val="8064A2" w:themeColor="accent4"/>
            </w:rPr>
            <m:t xml:space="preserve"> </m:t>
          </m:r>
          <m:r>
            <w:rPr>
              <w:rFonts w:ascii="Cambria Math" w:hAnsi="Cambria Math"/>
              <w:color w:val="8064A2" w:themeColor="accent4"/>
            </w:rPr>
            <m:t>step</m:t>
          </m:r>
          <m:r>
            <w:rPr>
              <w:rFonts w:ascii="Cambria Math" w:hAnsi="Cambria Math"/>
              <w:color w:val="8064A2" w:themeColor="accent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dPr>
            <m:e>
              <m:r>
                <w:rPr>
                  <w:rFonts w:ascii="Cambria Math" w:hAnsi="Cambria Math"/>
                  <w:color w:val="8064A2" w:themeColor="accent4"/>
                </w:rPr>
                <m:t>x</m:t>
              </m:r>
            </m:e>
          </m:d>
          <m:r>
            <w:rPr>
              <w:rFonts w:ascii="Cambria Math" w:hAnsi="Cambria Math"/>
              <w:color w:val="8064A2" w:themeColor="accent4"/>
            </w:rPr>
            <m:t xml:space="preserve"> current adoption rate</m:t>
          </m:r>
        </m:oMath>
      </m:oMathPara>
    </w:p>
    <w:p w14:paraId="2A5E1CE4" w14:textId="14A691DE" w:rsidR="00DB14CE" w:rsidRPr="00DB14CE" w:rsidRDefault="00DB14CE">
      <w:pPr>
        <w:rPr>
          <w:color w:val="8064A2" w:themeColor="accent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64A2" w:themeColor="accent4"/>
                </w:rPr>
              </m:ctrlPr>
            </m:sSubPr>
            <m:e>
              <m:r>
                <w:rPr>
                  <w:rFonts w:ascii="Cambria Math" w:hAnsi="Cambria Math"/>
                  <w:color w:val="8064A2" w:themeColor="accent4"/>
                </w:rPr>
                <m:t>Δ</m:t>
              </m:r>
            </m:e>
            <m:sub>
              <m:r>
                <w:rPr>
                  <w:rFonts w:ascii="Cambria Math" w:hAnsi="Cambria Math"/>
                  <w:color w:val="8064A2" w:themeColor="accent4"/>
                </w:rPr>
                <m:t>A</m:t>
              </m:r>
            </m:sub>
          </m:sSub>
          <m:r>
            <w:rPr>
              <w:rFonts w:ascii="Cambria Math" w:hAnsi="Cambria Math"/>
              <w:color w:val="8064A2" w:themeColor="accent4"/>
            </w:rPr>
            <m:t xml:space="preserve"> yearly increase in adoption rate</m:t>
          </m:r>
        </m:oMath>
      </m:oMathPara>
    </w:p>
    <w:p w14:paraId="231C1D53" w14:textId="5536BFCC" w:rsidR="00B552C5" w:rsidRDefault="00B552C5"/>
    <w:p w14:paraId="30E78ADD" w14:textId="6E7E7C7D" w:rsidR="00074048" w:rsidRPr="00B552C5" w:rsidRDefault="001E0632" w:rsidP="00074048">
      <w:pPr>
        <w:pStyle w:val="Heading2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Simulation Results</w:t>
      </w:r>
      <w:r w:rsidR="00665B50">
        <w:rPr>
          <w:color w:val="E36C0A" w:themeColor="accent6" w:themeShade="BF"/>
        </w:rPr>
        <w:t xml:space="preserve"> (</w:t>
      </w:r>
      <w:r w:rsidR="00665B50" w:rsidRPr="00665B50">
        <w:rPr>
          <w:color w:val="E36C0A" w:themeColor="accent6" w:themeShade="BF"/>
        </w:rPr>
        <w:t>Simulations over a 20-year)</w:t>
      </w:r>
    </w:p>
    <w:p w14:paraId="121BBE2C" w14:textId="77777777" w:rsidR="002074BA" w:rsidRPr="00B552C5" w:rsidRDefault="001E0632">
      <w:pPr>
        <w:pStyle w:val="Heading3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Detection Probability and Adoption Rates Over Time</w:t>
      </w:r>
    </w:p>
    <w:p w14:paraId="646A59E3" w14:textId="645F748F" w:rsidR="00074048" w:rsidRDefault="001E0632" w:rsidP="00A92855">
      <w:pPr>
        <w:pStyle w:val="NormalWeb"/>
        <w:rPr>
          <w:rFonts w:eastAsia="Times New Roman"/>
          <w:lang w:val="en-AU" w:eastAsia="en-AU"/>
        </w:rPr>
      </w:pPr>
      <w:r>
        <w:br/>
      </w:r>
      <w:r w:rsidRPr="00B552C5">
        <w:rPr>
          <w:color w:val="E36C0A" w:themeColor="accent6" w:themeShade="BF"/>
        </w:rPr>
        <w:t>Detection Probability:</w:t>
      </w:r>
      <w:r>
        <w:br/>
      </w:r>
      <w:r w:rsidR="00A92855">
        <w:rPr>
          <w:rFonts w:eastAsia="Times New Roman"/>
          <w:lang w:val="en-AU" w:eastAsia="en-AU"/>
        </w:rPr>
        <w:t>T</w:t>
      </w:r>
      <w:r w:rsidR="00A92855" w:rsidRPr="00A92855">
        <w:rPr>
          <w:rFonts w:eastAsia="Times New Roman"/>
          <w:lang w:val="en-AU" w:eastAsia="en-AU"/>
        </w:rPr>
        <w:t xml:space="preserve">o better understand the evolution of detection probability over time, the following graph illustrates the changes in detection rates across a 20-year simulation period. Detection probability starts at approximately </w:t>
      </w:r>
      <w:r w:rsidR="00A92855" w:rsidRPr="00A92855">
        <w:rPr>
          <w:rFonts w:eastAsia="Times New Roman"/>
          <w:b/>
          <w:bCs/>
          <w:lang w:val="en-AU" w:eastAsia="en-AU"/>
        </w:rPr>
        <w:t>1%</w:t>
      </w:r>
      <w:r w:rsidR="00A92855" w:rsidRPr="00A92855">
        <w:rPr>
          <w:rFonts w:eastAsia="Times New Roman"/>
          <w:lang w:val="en-AU" w:eastAsia="en-AU"/>
        </w:rPr>
        <w:t xml:space="preserve"> and increases significantly, reaching </w:t>
      </w:r>
      <w:r w:rsidR="00A92855" w:rsidRPr="00A92855">
        <w:rPr>
          <w:rFonts w:eastAsia="Times New Roman"/>
          <w:b/>
          <w:bCs/>
          <w:lang w:val="en-AU" w:eastAsia="en-AU"/>
        </w:rPr>
        <w:t>~74.8% by year 20</w:t>
      </w:r>
      <w:r w:rsidR="00A92855" w:rsidRPr="00A92855">
        <w:rPr>
          <w:rFonts w:eastAsia="Times New Roman"/>
          <w:lang w:val="en-AU" w:eastAsia="en-AU"/>
        </w:rPr>
        <w:t>.</w:t>
      </w:r>
    </w:p>
    <w:p w14:paraId="68855D67" w14:textId="0A1D41D8" w:rsidR="0096174A" w:rsidRDefault="0096174A" w:rsidP="00A92855">
      <w:pPr>
        <w:pStyle w:val="NormalWeb"/>
        <w:rPr>
          <w:rFonts w:eastAsia="Times New Roman"/>
          <w:lang w:val="en-AU" w:eastAsia="en-AU"/>
        </w:rPr>
      </w:pPr>
      <w:r>
        <w:rPr>
          <w:noProof/>
        </w:rPr>
        <w:drawing>
          <wp:inline distT="0" distB="0" distL="0" distR="0" wp14:anchorId="77027E01" wp14:editId="3B2616E4">
            <wp:extent cx="4300538" cy="2580323"/>
            <wp:effectExtent l="0" t="0" r="5080" b="0"/>
            <wp:docPr id="1244636066" name="Picture 1244636066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054" cy="25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AA5" w14:textId="77777777" w:rsidR="00A4414A" w:rsidRDefault="00A4414A" w:rsidP="00A92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</w:pPr>
    </w:p>
    <w:p w14:paraId="4E5FC1B3" w14:textId="1041841E" w:rsidR="00074048" w:rsidRPr="00A92855" w:rsidRDefault="00A92855" w:rsidP="00A92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  <w:lastRenderedPageBreak/>
        <w:t>Key Insights from the Graph:</w:t>
      </w:r>
    </w:p>
    <w:p w14:paraId="32424945" w14:textId="33660E92" w:rsidR="00074048" w:rsidRPr="00A92855" w:rsidRDefault="00A92855" w:rsidP="00961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  <w:t>Initial Growth</w:t>
      </w:r>
      <w:r w:rsidRPr="00A9285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en-AU"/>
        </w:rPr>
        <w:t>:</w:t>
      </w:r>
      <w:r w:rsidRPr="00A9285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>Detection probability increases rapidly in the early years due to compounding effects of population aging and dementia prevalence.</w:t>
      </w:r>
    </w:p>
    <w:p w14:paraId="71C4C597" w14:textId="5E5648EB" w:rsidR="00074048" w:rsidRPr="00A92855" w:rsidRDefault="00A92855" w:rsidP="0007404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  <w:t>Plateau Effect</w:t>
      </w:r>
      <w:r w:rsidRPr="00A9285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en-AU"/>
        </w:rPr>
        <w:t>:</w:t>
      </w:r>
      <w:r w:rsidRPr="00A9285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>Growth slows after 15 years as the population's tech adoption rate and Tile density reach practical limits.</w:t>
      </w:r>
    </w:p>
    <w:p w14:paraId="12618B56" w14:textId="2FEE6779" w:rsidR="00421A9A" w:rsidRDefault="00A92855" w:rsidP="00961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  <w:t>Dependence on Population Dynamics</w:t>
      </w:r>
      <w:r w:rsidRPr="00A92855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val="en-AU" w:eastAsia="en-AU"/>
        </w:rPr>
        <w:t>:</w:t>
      </w:r>
      <w:r w:rsidRPr="00A9285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br/>
        <w:t>Detection improvements are more influenced by external factors, such as aging and prevalence, than by changes in tech adoption.</w:t>
      </w:r>
    </w:p>
    <w:p w14:paraId="6A5ABB59" w14:textId="20440B05" w:rsidR="001C50FF" w:rsidRPr="00A92855" w:rsidRDefault="001C50FF" w:rsidP="009617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1C50FF">
        <w:rPr>
          <w:b/>
          <w:bCs/>
          <w:color w:val="E36C0A" w:themeColor="accent6" w:themeShade="BF"/>
          <w:sz w:val="24"/>
          <w:szCs w:val="24"/>
        </w:rPr>
        <w:t>Adoption Rate:</w:t>
      </w:r>
      <w:r>
        <w:br/>
        <w:t>- Adoption rates grew slowly, from ~2.67% to ~2.96%, reflecting limited tech penetration.</w:t>
      </w:r>
    </w:p>
    <w:p w14:paraId="42FC1F31" w14:textId="77777777" w:rsidR="00A92855" w:rsidRPr="00A92855" w:rsidRDefault="00A92855" w:rsidP="00A928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24"/>
          <w:szCs w:val="24"/>
          <w:lang w:val="en-AU" w:eastAsia="en-AU"/>
        </w:rPr>
        <w:t>Implications:</w:t>
      </w:r>
    </w:p>
    <w:p w14:paraId="5D458127" w14:textId="77777777" w:rsidR="00A92855" w:rsidRPr="00A92855" w:rsidRDefault="00A92855" w:rsidP="00A9285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While the trend shows promising growth, the plateau effect highlights limitations in relying solely on Bluetooth-based networks for consistent coverage.</w:t>
      </w:r>
    </w:p>
    <w:p w14:paraId="4AB68818" w14:textId="7D0C2802" w:rsidR="00C84BAF" w:rsidRDefault="00A92855" w:rsidP="00C84B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92855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 achieve higher detection probabilities in the long term, integrating complementary technologies (e.g., GPS or cellular tracking) may be necessary.</w:t>
      </w:r>
    </w:p>
    <w:p w14:paraId="1467423E" w14:textId="77777777" w:rsidR="00665B50" w:rsidRPr="001C50FF" w:rsidRDefault="00665B50" w:rsidP="00C84B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8201562" w14:textId="4A6A9371" w:rsidR="00C84BAF" w:rsidRPr="00C84BAF" w:rsidRDefault="00C84BAF" w:rsidP="00C84BAF">
      <w:pPr>
        <w:rPr>
          <w:b/>
          <w:bCs/>
          <w:color w:val="E36C0A" w:themeColor="accent6" w:themeShade="BF"/>
          <w:lang w:val="en-AU"/>
        </w:rPr>
      </w:pPr>
      <w:r w:rsidRPr="00C84BAF">
        <w:rPr>
          <w:b/>
          <w:bCs/>
          <w:color w:val="E36C0A" w:themeColor="accent6" w:themeShade="BF"/>
          <w:lang w:val="en-AU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932"/>
        <w:gridCol w:w="1077"/>
        <w:gridCol w:w="1224"/>
        <w:gridCol w:w="1702"/>
      </w:tblGrid>
      <w:tr w:rsidR="00C84BAF" w:rsidRPr="00C84BAF" w14:paraId="3B404F53" w14:textId="77777777" w:rsidTr="00C84BAF">
        <w:trPr>
          <w:trHeight w:val="456"/>
          <w:tblHeader/>
          <w:tblCellSpacing w:w="15" w:type="dxa"/>
        </w:trPr>
        <w:tc>
          <w:tcPr>
            <w:tcW w:w="1913" w:type="dxa"/>
            <w:vAlign w:val="center"/>
            <w:hideMark/>
          </w:tcPr>
          <w:p w14:paraId="11E13D1A" w14:textId="77777777" w:rsidR="00C84BAF" w:rsidRPr="00C84BAF" w:rsidRDefault="00C84BAF" w:rsidP="00C84BAF">
            <w:pPr>
              <w:rPr>
                <w:b/>
                <w:bCs/>
                <w:lang w:val="en-AU"/>
              </w:rPr>
            </w:pPr>
            <w:r w:rsidRPr="00C84BAF">
              <w:rPr>
                <w:b/>
                <w:bCs/>
                <w:lang w:val="en-AU"/>
              </w:rPr>
              <w:t>Metric</w:t>
            </w:r>
          </w:p>
        </w:tc>
        <w:tc>
          <w:tcPr>
            <w:tcW w:w="902" w:type="dxa"/>
            <w:vAlign w:val="center"/>
            <w:hideMark/>
          </w:tcPr>
          <w:p w14:paraId="08F1C286" w14:textId="77777777" w:rsidR="00C84BAF" w:rsidRPr="00C84BAF" w:rsidRDefault="00C84BAF" w:rsidP="00C84BAF">
            <w:pPr>
              <w:rPr>
                <w:b/>
                <w:bCs/>
                <w:lang w:val="en-AU"/>
              </w:rPr>
            </w:pPr>
            <w:r w:rsidRPr="00C84BAF">
              <w:rPr>
                <w:b/>
                <w:bCs/>
                <w:lang w:val="en-AU"/>
              </w:rPr>
              <w:t>Year 0</w:t>
            </w:r>
          </w:p>
        </w:tc>
        <w:tc>
          <w:tcPr>
            <w:tcW w:w="1047" w:type="dxa"/>
            <w:vAlign w:val="center"/>
            <w:hideMark/>
          </w:tcPr>
          <w:p w14:paraId="3DC04B5F" w14:textId="77777777" w:rsidR="00C84BAF" w:rsidRPr="00C84BAF" w:rsidRDefault="00C84BAF" w:rsidP="00C84BAF">
            <w:pPr>
              <w:rPr>
                <w:b/>
                <w:bCs/>
                <w:lang w:val="en-AU"/>
              </w:rPr>
            </w:pPr>
            <w:r w:rsidRPr="00C84BAF">
              <w:rPr>
                <w:b/>
                <w:bCs/>
                <w:lang w:val="en-AU"/>
              </w:rPr>
              <w:t>Year 10</w:t>
            </w:r>
          </w:p>
        </w:tc>
        <w:tc>
          <w:tcPr>
            <w:tcW w:w="1194" w:type="dxa"/>
            <w:vAlign w:val="center"/>
            <w:hideMark/>
          </w:tcPr>
          <w:p w14:paraId="15185A4D" w14:textId="77777777" w:rsidR="00C84BAF" w:rsidRPr="00C84BAF" w:rsidRDefault="00C84BAF" w:rsidP="00C84BAF">
            <w:pPr>
              <w:rPr>
                <w:b/>
                <w:bCs/>
                <w:lang w:val="en-AU"/>
              </w:rPr>
            </w:pPr>
            <w:r w:rsidRPr="00C84BAF">
              <w:rPr>
                <w:b/>
                <w:bCs/>
                <w:lang w:val="en-AU"/>
              </w:rPr>
              <w:t>Year 20</w:t>
            </w:r>
          </w:p>
        </w:tc>
        <w:tc>
          <w:tcPr>
            <w:tcW w:w="1657" w:type="dxa"/>
            <w:vAlign w:val="center"/>
            <w:hideMark/>
          </w:tcPr>
          <w:p w14:paraId="624CE6D4" w14:textId="77777777" w:rsidR="00C84BAF" w:rsidRPr="00C84BAF" w:rsidRDefault="00C84BAF" w:rsidP="00C84BAF">
            <w:pPr>
              <w:rPr>
                <w:b/>
                <w:bCs/>
                <w:lang w:val="en-AU"/>
              </w:rPr>
            </w:pPr>
            <w:r w:rsidRPr="00C84BAF">
              <w:rPr>
                <w:b/>
                <w:bCs/>
                <w:lang w:val="en-AU"/>
              </w:rPr>
              <w:t>Key Insight</w:t>
            </w:r>
          </w:p>
        </w:tc>
      </w:tr>
      <w:tr w:rsidR="00C84BAF" w:rsidRPr="00C84BAF" w14:paraId="1499A0AF" w14:textId="77777777" w:rsidTr="00C84BAF">
        <w:trPr>
          <w:trHeight w:val="732"/>
          <w:tblCellSpacing w:w="15" w:type="dxa"/>
        </w:trPr>
        <w:tc>
          <w:tcPr>
            <w:tcW w:w="1913" w:type="dxa"/>
            <w:vAlign w:val="center"/>
            <w:hideMark/>
          </w:tcPr>
          <w:p w14:paraId="2D2FE3BE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Detection Probability</w:t>
            </w:r>
          </w:p>
        </w:tc>
        <w:tc>
          <w:tcPr>
            <w:tcW w:w="902" w:type="dxa"/>
            <w:vAlign w:val="center"/>
            <w:hideMark/>
          </w:tcPr>
          <w:p w14:paraId="2140B988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1%</w:t>
            </w:r>
          </w:p>
        </w:tc>
        <w:tc>
          <w:tcPr>
            <w:tcW w:w="1047" w:type="dxa"/>
            <w:vAlign w:val="center"/>
            <w:hideMark/>
          </w:tcPr>
          <w:p w14:paraId="4B1A5126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66%</w:t>
            </w:r>
          </w:p>
        </w:tc>
        <w:tc>
          <w:tcPr>
            <w:tcW w:w="1194" w:type="dxa"/>
            <w:vAlign w:val="center"/>
            <w:hideMark/>
          </w:tcPr>
          <w:p w14:paraId="4BA8083A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74.8%</w:t>
            </w:r>
          </w:p>
        </w:tc>
        <w:tc>
          <w:tcPr>
            <w:tcW w:w="1657" w:type="dxa"/>
            <w:vAlign w:val="center"/>
            <w:hideMark/>
          </w:tcPr>
          <w:p w14:paraId="085088B8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Plateaus after Year 15</w:t>
            </w:r>
          </w:p>
        </w:tc>
      </w:tr>
      <w:tr w:rsidR="00C84BAF" w:rsidRPr="00C84BAF" w14:paraId="7453F203" w14:textId="77777777" w:rsidTr="00C84BAF">
        <w:trPr>
          <w:trHeight w:val="732"/>
          <w:tblCellSpacing w:w="15" w:type="dxa"/>
        </w:trPr>
        <w:tc>
          <w:tcPr>
            <w:tcW w:w="1913" w:type="dxa"/>
            <w:vAlign w:val="center"/>
            <w:hideMark/>
          </w:tcPr>
          <w:p w14:paraId="64B628FF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Adoption Rate</w:t>
            </w:r>
          </w:p>
        </w:tc>
        <w:tc>
          <w:tcPr>
            <w:tcW w:w="902" w:type="dxa"/>
            <w:vAlign w:val="center"/>
            <w:hideMark/>
          </w:tcPr>
          <w:p w14:paraId="3B4FAD28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2.67%</w:t>
            </w:r>
          </w:p>
        </w:tc>
        <w:tc>
          <w:tcPr>
            <w:tcW w:w="1047" w:type="dxa"/>
            <w:vAlign w:val="center"/>
            <w:hideMark/>
          </w:tcPr>
          <w:p w14:paraId="7AB2AE4C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2.81%</w:t>
            </w:r>
          </w:p>
        </w:tc>
        <w:tc>
          <w:tcPr>
            <w:tcW w:w="1194" w:type="dxa"/>
            <w:vAlign w:val="center"/>
            <w:hideMark/>
          </w:tcPr>
          <w:p w14:paraId="33D5807D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2.96%</w:t>
            </w:r>
          </w:p>
        </w:tc>
        <w:tc>
          <w:tcPr>
            <w:tcW w:w="1657" w:type="dxa"/>
            <w:vAlign w:val="center"/>
            <w:hideMark/>
          </w:tcPr>
          <w:p w14:paraId="20AEFE06" w14:textId="77777777" w:rsidR="00C84BAF" w:rsidRPr="00C84BAF" w:rsidRDefault="00C84BAF" w:rsidP="00C84BAF">
            <w:pPr>
              <w:rPr>
                <w:lang w:val="en-AU"/>
              </w:rPr>
            </w:pPr>
            <w:r w:rsidRPr="00C84BAF">
              <w:rPr>
                <w:lang w:val="en-AU"/>
              </w:rPr>
              <w:t>Slow adoption growth</w:t>
            </w:r>
          </w:p>
        </w:tc>
      </w:tr>
    </w:tbl>
    <w:p w14:paraId="2E8D3C7D" w14:textId="3053E275" w:rsidR="002074BA" w:rsidRDefault="001E0632">
      <w:pPr>
        <w:pStyle w:val="Heading3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Rate of Change Between 5-Year Intervals</w:t>
      </w:r>
    </w:p>
    <w:p w14:paraId="7316F7FA" w14:textId="77777777" w:rsidR="00665B50" w:rsidRPr="00665B50" w:rsidRDefault="00665B50" w:rsidP="00665B50"/>
    <w:p w14:paraId="456B918A" w14:textId="63849578" w:rsidR="00C84BAF" w:rsidRDefault="001E0632">
      <w:r>
        <w:t>Detection probability and adoption rates showed the following rate changes across 5-year intervals: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074BA" w14:paraId="20E71135" w14:textId="77777777">
        <w:tc>
          <w:tcPr>
            <w:tcW w:w="2880" w:type="dxa"/>
          </w:tcPr>
          <w:p w14:paraId="37AD7629" w14:textId="77777777" w:rsidR="002074BA" w:rsidRDefault="001E0632">
            <w:r>
              <w:t>Interval</w:t>
            </w:r>
          </w:p>
        </w:tc>
        <w:tc>
          <w:tcPr>
            <w:tcW w:w="2880" w:type="dxa"/>
          </w:tcPr>
          <w:p w14:paraId="149ADEFC" w14:textId="77777777" w:rsidR="002074BA" w:rsidRDefault="001E0632">
            <w:r>
              <w:t>Detection Rate of Change</w:t>
            </w:r>
          </w:p>
        </w:tc>
        <w:tc>
          <w:tcPr>
            <w:tcW w:w="2880" w:type="dxa"/>
          </w:tcPr>
          <w:p w14:paraId="14692618" w14:textId="77777777" w:rsidR="002074BA" w:rsidRDefault="001E0632">
            <w:r>
              <w:t>Adoption Rate of Change</w:t>
            </w:r>
          </w:p>
        </w:tc>
      </w:tr>
      <w:tr w:rsidR="002074BA" w14:paraId="6C65DB3C" w14:textId="77777777">
        <w:tc>
          <w:tcPr>
            <w:tcW w:w="2880" w:type="dxa"/>
          </w:tcPr>
          <w:p w14:paraId="5B8BD15B" w14:textId="77777777" w:rsidR="002074BA" w:rsidRDefault="001E0632">
            <w:r>
              <w:t>0-5</w:t>
            </w:r>
          </w:p>
        </w:tc>
        <w:tc>
          <w:tcPr>
            <w:tcW w:w="2880" w:type="dxa"/>
          </w:tcPr>
          <w:p w14:paraId="1DEB6541" w14:textId="77777777" w:rsidR="002074BA" w:rsidRDefault="001E0632">
            <w:r>
              <w:t>0.0442</w:t>
            </w:r>
          </w:p>
        </w:tc>
        <w:tc>
          <w:tcPr>
            <w:tcW w:w="2880" w:type="dxa"/>
          </w:tcPr>
          <w:p w14:paraId="6A98363E" w14:textId="77777777" w:rsidR="002074BA" w:rsidRDefault="001E0632">
            <w:r>
              <w:t>0.0001</w:t>
            </w:r>
          </w:p>
        </w:tc>
      </w:tr>
      <w:tr w:rsidR="002074BA" w14:paraId="37DF89EA" w14:textId="77777777">
        <w:tc>
          <w:tcPr>
            <w:tcW w:w="2880" w:type="dxa"/>
          </w:tcPr>
          <w:p w14:paraId="1A989086" w14:textId="77777777" w:rsidR="002074BA" w:rsidRDefault="001E0632">
            <w:r>
              <w:t>5-10</w:t>
            </w:r>
          </w:p>
        </w:tc>
        <w:tc>
          <w:tcPr>
            <w:tcW w:w="2880" w:type="dxa"/>
          </w:tcPr>
          <w:p w14:paraId="69ED24BE" w14:textId="77777777" w:rsidR="002074BA" w:rsidRDefault="001E0632">
            <w:r>
              <w:t>0.0835</w:t>
            </w:r>
          </w:p>
        </w:tc>
        <w:tc>
          <w:tcPr>
            <w:tcW w:w="2880" w:type="dxa"/>
          </w:tcPr>
          <w:p w14:paraId="49A7727A" w14:textId="77777777" w:rsidR="002074BA" w:rsidRDefault="001E0632">
            <w:r>
              <w:t>0.0001</w:t>
            </w:r>
          </w:p>
        </w:tc>
      </w:tr>
      <w:tr w:rsidR="002074BA" w14:paraId="5A00FE19" w14:textId="77777777">
        <w:tc>
          <w:tcPr>
            <w:tcW w:w="2880" w:type="dxa"/>
          </w:tcPr>
          <w:p w14:paraId="15BA9673" w14:textId="77777777" w:rsidR="002074BA" w:rsidRDefault="001E0632">
            <w:r>
              <w:t>10-15</w:t>
            </w:r>
          </w:p>
        </w:tc>
        <w:tc>
          <w:tcPr>
            <w:tcW w:w="2880" w:type="dxa"/>
          </w:tcPr>
          <w:p w14:paraId="322A7559" w14:textId="77777777" w:rsidR="002074BA" w:rsidRDefault="001E0632">
            <w:r>
              <w:t>0.0144</w:t>
            </w:r>
          </w:p>
        </w:tc>
        <w:tc>
          <w:tcPr>
            <w:tcW w:w="2880" w:type="dxa"/>
          </w:tcPr>
          <w:p w14:paraId="21E49A52" w14:textId="77777777" w:rsidR="002074BA" w:rsidRDefault="001E0632">
            <w:r>
              <w:t>0.0001</w:t>
            </w:r>
          </w:p>
        </w:tc>
      </w:tr>
      <w:tr w:rsidR="002074BA" w14:paraId="06457426" w14:textId="77777777">
        <w:tc>
          <w:tcPr>
            <w:tcW w:w="2880" w:type="dxa"/>
          </w:tcPr>
          <w:p w14:paraId="7320FBC4" w14:textId="77777777" w:rsidR="002074BA" w:rsidRDefault="001E0632">
            <w:r>
              <w:t>15-20</w:t>
            </w:r>
          </w:p>
        </w:tc>
        <w:tc>
          <w:tcPr>
            <w:tcW w:w="2880" w:type="dxa"/>
          </w:tcPr>
          <w:p w14:paraId="5367839D" w14:textId="77777777" w:rsidR="002074BA" w:rsidRDefault="001E0632">
            <w:r>
              <w:t>0.0054</w:t>
            </w:r>
          </w:p>
        </w:tc>
        <w:tc>
          <w:tcPr>
            <w:tcW w:w="2880" w:type="dxa"/>
          </w:tcPr>
          <w:p w14:paraId="45311027" w14:textId="77777777" w:rsidR="002074BA" w:rsidRDefault="001E0632">
            <w:r>
              <w:t>0.0001</w:t>
            </w:r>
          </w:p>
        </w:tc>
      </w:tr>
    </w:tbl>
    <w:p w14:paraId="66C292D4" w14:textId="77777777" w:rsidR="001C50FF" w:rsidRDefault="001C50FF" w:rsidP="00C84BAF"/>
    <w:p w14:paraId="21E3CD1E" w14:textId="77777777" w:rsidR="00665B50" w:rsidRDefault="00665B50" w:rsidP="00C84BAF"/>
    <w:p w14:paraId="67FB81F6" w14:textId="77777777" w:rsidR="00665B50" w:rsidRPr="00C84BAF" w:rsidRDefault="00665B50" w:rsidP="00C84BAF"/>
    <w:p w14:paraId="2874BC5C" w14:textId="1F581212" w:rsidR="00C84BAF" w:rsidRPr="001C50FF" w:rsidRDefault="001E0632" w:rsidP="001C50FF">
      <w:pPr>
        <w:pStyle w:val="Heading2"/>
        <w:rPr>
          <w:color w:val="E36C0A" w:themeColor="accent6" w:themeShade="BF"/>
        </w:rPr>
      </w:pPr>
      <w:r w:rsidRPr="00B552C5">
        <w:rPr>
          <w:color w:val="E36C0A" w:themeColor="accent6" w:themeShade="BF"/>
        </w:rPr>
        <w:t>Insights</w:t>
      </w:r>
    </w:p>
    <w:p w14:paraId="6BFE94AB" w14:textId="61C6136D" w:rsidR="002074BA" w:rsidRDefault="001E0632">
      <w:r>
        <w:t>- Dependency on Population Dynamics:</w:t>
      </w:r>
      <w:r>
        <w:br/>
        <w:t xml:space="preserve">  Detection relies more on aging and dementia prevalence than tech adoption.</w:t>
      </w:r>
      <w:r>
        <w:br/>
        <w:t>- Limitations of Bluetooth Technology:</w:t>
      </w:r>
      <w:r>
        <w:br/>
        <w:t xml:space="preserve">  Short-range Bluetooth (50 meters) and reliance on crowdsourced networks limit effectiveness.</w:t>
      </w:r>
      <w:r>
        <w:br/>
        <w:t>- Future Directions:</w:t>
      </w:r>
      <w:r>
        <w:br/>
        <w:t xml:space="preserve">  GPS-enabled wearables or cellular systems may offer better scalability.</w:t>
      </w:r>
    </w:p>
    <w:p w14:paraId="1BECCD8B" w14:textId="77777777" w:rsidR="00421A9A" w:rsidRDefault="00421A9A"/>
    <w:p w14:paraId="231AA8DB" w14:textId="6E6ED49D" w:rsidR="00421A9A" w:rsidRPr="00CD1759" w:rsidRDefault="00421A9A">
      <w:pPr>
        <w:rPr>
          <w:b/>
          <w:bCs/>
          <w:i/>
          <w:iCs/>
        </w:rPr>
      </w:pPr>
      <w:r w:rsidRPr="00CD1759">
        <w:rPr>
          <w:b/>
          <w:bCs/>
          <w:i/>
          <w:iCs/>
        </w:rPr>
        <w:t>As technology evolves, what role can AI and machine learning play in enhancing dementia care solutions?</w:t>
      </w:r>
    </w:p>
    <w:p w14:paraId="1B6630F6" w14:textId="77777777" w:rsidR="005B1610" w:rsidRPr="005B1610" w:rsidRDefault="005B1610"/>
    <w:sectPr w:rsidR="005B1610" w:rsidRPr="005B16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F74375"/>
    <w:multiLevelType w:val="multilevel"/>
    <w:tmpl w:val="3DB4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D23622"/>
    <w:multiLevelType w:val="multilevel"/>
    <w:tmpl w:val="E666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67AD4"/>
    <w:multiLevelType w:val="multilevel"/>
    <w:tmpl w:val="C03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596138">
    <w:abstractNumId w:val="8"/>
  </w:num>
  <w:num w:numId="2" w16cid:durableId="958099371">
    <w:abstractNumId w:val="6"/>
  </w:num>
  <w:num w:numId="3" w16cid:durableId="1450976739">
    <w:abstractNumId w:val="5"/>
  </w:num>
  <w:num w:numId="4" w16cid:durableId="1623147257">
    <w:abstractNumId w:val="4"/>
  </w:num>
  <w:num w:numId="5" w16cid:durableId="1628849431">
    <w:abstractNumId w:val="7"/>
  </w:num>
  <w:num w:numId="6" w16cid:durableId="1862694393">
    <w:abstractNumId w:val="3"/>
  </w:num>
  <w:num w:numId="7" w16cid:durableId="600995876">
    <w:abstractNumId w:val="2"/>
  </w:num>
  <w:num w:numId="8" w16cid:durableId="1713647913">
    <w:abstractNumId w:val="1"/>
  </w:num>
  <w:num w:numId="9" w16cid:durableId="1423452558">
    <w:abstractNumId w:val="0"/>
  </w:num>
  <w:num w:numId="10" w16cid:durableId="1638026315">
    <w:abstractNumId w:val="9"/>
  </w:num>
  <w:num w:numId="11" w16cid:durableId="1708407192">
    <w:abstractNumId w:val="10"/>
  </w:num>
  <w:num w:numId="12" w16cid:durableId="1414233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8D"/>
    <w:rsid w:val="00034616"/>
    <w:rsid w:val="00050690"/>
    <w:rsid w:val="0006035C"/>
    <w:rsid w:val="0006063C"/>
    <w:rsid w:val="00074048"/>
    <w:rsid w:val="000861D5"/>
    <w:rsid w:val="0015074B"/>
    <w:rsid w:val="00164143"/>
    <w:rsid w:val="001C50FF"/>
    <w:rsid w:val="001E0632"/>
    <w:rsid w:val="002074BA"/>
    <w:rsid w:val="00230C6A"/>
    <w:rsid w:val="002910F2"/>
    <w:rsid w:val="0029639D"/>
    <w:rsid w:val="002E2892"/>
    <w:rsid w:val="00326F90"/>
    <w:rsid w:val="003B11FF"/>
    <w:rsid w:val="003C764B"/>
    <w:rsid w:val="003D7D31"/>
    <w:rsid w:val="00421A9A"/>
    <w:rsid w:val="00462A22"/>
    <w:rsid w:val="00492FDB"/>
    <w:rsid w:val="004B6FC9"/>
    <w:rsid w:val="005B1610"/>
    <w:rsid w:val="00665B50"/>
    <w:rsid w:val="00746907"/>
    <w:rsid w:val="00752661"/>
    <w:rsid w:val="00755D4F"/>
    <w:rsid w:val="007E02CD"/>
    <w:rsid w:val="00911D0C"/>
    <w:rsid w:val="00945D3B"/>
    <w:rsid w:val="0096174A"/>
    <w:rsid w:val="009F7D00"/>
    <w:rsid w:val="00A4414A"/>
    <w:rsid w:val="00A45269"/>
    <w:rsid w:val="00A76E52"/>
    <w:rsid w:val="00A92855"/>
    <w:rsid w:val="00AA1D8D"/>
    <w:rsid w:val="00B03D7D"/>
    <w:rsid w:val="00B47730"/>
    <w:rsid w:val="00B552C5"/>
    <w:rsid w:val="00B65AFA"/>
    <w:rsid w:val="00B77D9C"/>
    <w:rsid w:val="00C45A10"/>
    <w:rsid w:val="00C84BAF"/>
    <w:rsid w:val="00CA4300"/>
    <w:rsid w:val="00CB0664"/>
    <w:rsid w:val="00CC50D4"/>
    <w:rsid w:val="00CD1759"/>
    <w:rsid w:val="00D4225C"/>
    <w:rsid w:val="00D80B84"/>
    <w:rsid w:val="00DB14CE"/>
    <w:rsid w:val="00E023E3"/>
    <w:rsid w:val="00E1554F"/>
    <w:rsid w:val="00E70F47"/>
    <w:rsid w:val="00E933E8"/>
    <w:rsid w:val="00ED4D36"/>
    <w:rsid w:val="00F03B3A"/>
    <w:rsid w:val="00F56A06"/>
    <w:rsid w:val="00F91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ABA2E"/>
  <w14:defaultImageDpi w14:val="300"/>
  <w15:docId w15:val="{425CF906-0D54-451A-9E8F-B8CF9DDA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0861D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A92855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F03B3A"/>
  </w:style>
  <w:style w:type="character" w:customStyle="1" w:styleId="mord">
    <w:name w:val="mord"/>
    <w:basedOn w:val="DefaultParagraphFont"/>
    <w:rsid w:val="00F03B3A"/>
  </w:style>
  <w:style w:type="paragraph" w:styleId="Revision">
    <w:name w:val="Revision"/>
    <w:hidden/>
    <w:uiPriority w:val="99"/>
    <w:semiHidden/>
    <w:rsid w:val="00E70F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kleascm@gmail.com</cp:lastModifiedBy>
  <cp:revision>22</cp:revision>
  <dcterms:created xsi:type="dcterms:W3CDTF">2024-12-25T01:23:00Z</dcterms:created>
  <dcterms:modified xsi:type="dcterms:W3CDTF">2024-12-25T03:06:00Z</dcterms:modified>
  <cp:category/>
</cp:coreProperties>
</file>