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1" w:name="X7229298a5bc439723d791c0e212a44edbd37dc2"/>
    <w:p>
      <w:pPr>
        <w:pStyle w:val="Heading1"/>
      </w:pPr>
      <w:r>
        <w:t xml:space="preserve">Datathon 7-MLET — Experimentação Adaptativa em Ofertas Financeiras</w:t>
      </w:r>
    </w:p>
    <w:p>
      <w:pPr>
        <w:pStyle w:val="BlockText"/>
      </w:pPr>
      <w:r>
        <w:rPr>
          <w:b/>
          <w:bCs/>
        </w:rPr>
        <w:t xml:space="preserve">Fase</w:t>
      </w:r>
      <w:r>
        <w:t xml:space="preserve">: 05 — Deploy Avançado de IA Generativa</w:t>
      </w:r>
      <w:r>
        <w:t xml:space="preserve"> </w:t>
      </w:r>
      <w:r>
        <w:rPr>
          <w:b/>
          <w:bCs/>
        </w:rPr>
        <w:t xml:space="preserve">Turma</w:t>
      </w:r>
      <w:r>
        <w:t xml:space="preserve">: MLET7</w:t>
      </w:r>
      <w:r>
        <w:t xml:space="preserve"> </w:t>
      </w:r>
      <w:r>
        <w:rPr>
          <w:b/>
          <w:bCs/>
        </w:rPr>
        <w:t xml:space="preserve">Formato</w:t>
      </w:r>
      <w:r>
        <w:t xml:space="preserve">: Datathon em grupo</w:t>
      </w:r>
      <w:r>
        <w:t xml:space="preserve"> </w:t>
      </w:r>
      <w:r>
        <w:rPr>
          <w:b/>
          <w:bCs/>
        </w:rPr>
        <w:t xml:space="preserve">Referência da fase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Fase 05 — Deploy Avançado de IA Generativa</w:t>
        </w:r>
      </w:hyperlink>
    </w:p>
    <w:bookmarkStart w:id="10" w:name="visão-geral"/>
    <w:p>
      <w:pPr>
        <w:pStyle w:val="Heading2"/>
      </w:pPr>
      <w:r>
        <w:t xml:space="preserve">Visão geral</w:t>
      </w:r>
    </w:p>
    <w:p>
      <w:pPr>
        <w:pStyle w:val="FirstParagraph"/>
      </w:pPr>
      <w:r>
        <w:t xml:space="preserve">O Datathon 7-MLET propõe um desafio único no domínio financeiro regulado: projetar uma plataforma de experimentação adaptativa para ofertas, mensagens ou próximos passos em canais digitais. Cada grupo deve construir uma solução end-to-end de Machine Learning Engineering e demonstrar como a proposta seria operada com segurança, observabilidade, avaliação e governança.</w:t>
      </w:r>
    </w:p>
    <w:p>
      <w:pPr>
        <w:pStyle w:val="BodyText"/>
      </w:pPr>
      <w:r>
        <w:t xml:space="preserve">O objetivo não é reproduzir um sistema bancário real. O objetivo é mostrar maturidade técnica: formular o problema, construir baselines, versionar dados, servir componentes, avaliar qualidade, monitorar risco, documentar limitações e explicar decisões para públicos técnicos e de negócio.</w:t>
      </w:r>
    </w:p>
    <w:bookmarkEnd w:id="10"/>
    <w:bookmarkStart w:id="16" w:name="X89c9c7182dde03d350e87dffac40f1086a8c478"/>
    <w:p>
      <w:pPr>
        <w:pStyle w:val="Heading2"/>
      </w:pPr>
      <w:r>
        <w:t xml:space="preserve">Experimentação Adaptativa em Ofertas Financeiras</w:t>
      </w:r>
    </w:p>
    <w:p>
      <w:pPr>
        <w:pStyle w:val="FirstParagraph"/>
      </w:pPr>
      <w:r>
        <w:t xml:space="preserve">Tema:</w:t>
      </w:r>
      <w:r>
        <w:t xml:space="preserve"> </w:t>
      </w:r>
      <w:r>
        <w:rPr>
          <w:b/>
          <w:bCs/>
        </w:rPr>
        <w:t xml:space="preserve">experimentação adaptativa em ofertas financeiras</w:t>
      </w:r>
      <w:r>
        <w:t xml:space="preserve">.</w:t>
      </w:r>
    </w:p>
    <w:bookmarkStart w:id="11" w:name="posicionamento-histórico"/>
    <w:p>
      <w:pPr>
        <w:pStyle w:val="Heading3"/>
      </w:pPr>
      <w:r>
        <w:t xml:space="preserve">Posicionamento histórico</w:t>
      </w:r>
    </w:p>
    <w:p>
      <w:pPr>
        <w:pStyle w:val="FirstParagraph"/>
      </w:pPr>
      <w:r>
        <w:t xml:space="preserve">Esta alternativa estende competências acumuladas nas fases anteriores:</w:t>
      </w:r>
    </w:p>
    <w:p>
      <w:pPr>
        <w:pStyle w:val="Compact"/>
        <w:numPr>
          <w:ilvl w:val="0"/>
          <w:numId w:val="1001"/>
        </w:numPr>
      </w:pPr>
      <w:r>
        <w:t xml:space="preserve">Fase 01: formulação de problema, EDA, baselines e métricas de negócio.</w:t>
      </w:r>
    </w:p>
    <w:p>
      <w:pPr>
        <w:pStyle w:val="Compact"/>
        <w:numPr>
          <w:ilvl w:val="0"/>
          <w:numId w:val="1001"/>
        </w:numPr>
      </w:pPr>
      <w:r>
        <w:t xml:space="preserve">Fase 02: pipelines reprodutíveis, versionamento de dados e qualidade de código.</w:t>
      </w:r>
    </w:p>
    <w:p>
      <w:pPr>
        <w:pStyle w:val="Compact"/>
        <w:numPr>
          <w:ilvl w:val="0"/>
          <w:numId w:val="1001"/>
        </w:numPr>
      </w:pPr>
      <w:r>
        <w:t xml:space="preserve">Fase 03: APIs de decisão, CI/CD, latência e monitoramento operacional.</w:t>
      </w:r>
    </w:p>
    <w:p>
      <w:pPr>
        <w:pStyle w:val="Compact"/>
        <w:numPr>
          <w:ilvl w:val="0"/>
          <w:numId w:val="1001"/>
        </w:numPr>
      </w:pPr>
      <w:r>
        <w:t xml:space="preserve">Fase 04: fairness, explicabilidade, LGPD, análise causal e governança.</w:t>
      </w:r>
    </w:p>
    <w:p>
      <w:pPr>
        <w:pStyle w:val="Compact"/>
        <w:numPr>
          <w:ilvl w:val="0"/>
          <w:numId w:val="1001"/>
        </w:numPr>
      </w:pPr>
      <w:r>
        <w:t xml:space="preserve">Fase 05: assistente com LLM para consulta, explicação, avaliação e documentação de experimentos.</w:t>
      </w:r>
    </w:p>
    <w:bookmarkEnd w:id="11"/>
    <w:bookmarkStart w:id="12" w:name="contexto-de-negócio"/>
    <w:p>
      <w:pPr>
        <w:pStyle w:val="Heading3"/>
      </w:pPr>
      <w:r>
        <w:t xml:space="preserve">Contexto de negócio</w:t>
      </w:r>
    </w:p>
    <w:p>
      <w:pPr>
        <w:pStyle w:val="FirstParagraph"/>
      </w:pPr>
      <w:r>
        <w:t xml:space="preserve">Uma instituição financeira digital precisa decidir, em diferentes canais, qual oferta, mensagem ou próximo passo apresentar para cada cliente elegível. Regras fixas e testes A/B longos podem desperdiçar tráfego, demorar para reagir a mudanças de contexto e dificultar a personalização responsável.</w:t>
      </w:r>
    </w:p>
    <w:p>
      <w:pPr>
        <w:pStyle w:val="BodyText"/>
      </w:pPr>
      <w:r>
        <w:t xml:space="preserve">O grupo deve projetar uma plataforma de experimentação adaptativa que aprenda com interações, respeite suitability, mantenha exploração mínima controlada e permita auditoria das decisões. A solução também deve incluir um componente de apoio analítico, como um assistente que resume experimentos, recupera políticas internas sintéticas e explica por que uma decisão foi recomendada.</w:t>
      </w:r>
    </w:p>
    <w:p>
      <w:pPr>
        <w:pStyle w:val="BodyText"/>
      </w:pPr>
      <w:r>
        <w:t xml:space="preserve">Um exemplo financeiro ajuda a enxergar a dificuldade do problema: um cliente passa a usar o cartão de crédito em farmácias. Um modelo apressado pode inferir que o cliente está doente; uma leitura contextual mais cuidadosa pode indicar outra hipótese, como o nascimento de um filho e a compra recorrente de itens infantis. O desafio não é adivinhar uma verdade escondida a partir de um único sinal, mas construir um sistema que teste hipóteses, valide contexto e use diferentes fontes de dados para reduzir interpretações frágeis.</w:t>
      </w:r>
    </w:p>
    <w:p>
      <w:pPr>
        <w:pStyle w:val="BodyText"/>
      </w:pPr>
      <w:r>
        <w:t xml:space="preserve">Esse é o ponto central de uma abordagem de</w:t>
      </w:r>
      <w:r>
        <w:t xml:space="preserve"> </w:t>
      </w:r>
      <w:r>
        <w:rPr>
          <w:b/>
          <w:bCs/>
        </w:rPr>
        <w:t xml:space="preserve">multi-armed bandit</w:t>
      </w:r>
      <w:r>
        <w:t xml:space="preserve">: identificar comportamentos distintos, equilibrar exploração e explotação, e aprender com respostas observadas sem congelar a decisão em regras estáticas. No contexto do Datathon, o sistema deve ser capaz de testar variações de oferta, canal, mensagem ou horário e validar se a hipótese de negócio realmente melhora a recompensa esperada. O mesmo raciocínio aparece em banners de websites: nem sempre vale colocar um anúncio no lado direito da página se o usuário ainda está em dúvida, comparando informações ou precisando de um CTA diferente.</w:t>
      </w:r>
    </w:p>
    <w:bookmarkEnd w:id="12"/>
    <w:bookmarkStart w:id="13" w:name="referências-algorítmicas"/>
    <w:p>
      <w:pPr>
        <w:pStyle w:val="Heading3"/>
      </w:pPr>
      <w:r>
        <w:t xml:space="preserve">Referências algorítmicas</w:t>
      </w:r>
    </w:p>
    <w:p>
      <w:pPr>
        <w:pStyle w:val="FirstParagraph"/>
      </w:pPr>
      <w:r>
        <w:t xml:space="preserve">As soluções devem comparar um baseline simples com pelo menos uma abordagem bandit. Os seguintes algoritmos devem aparecer como referência conceitual ou experimental: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Algoritmo</w:t>
            </w:r>
          </w:p>
        </w:tc>
        <w:tc>
          <w:tcPr/>
          <w:p>
            <w:pPr>
              <w:pStyle w:val="Compact"/>
            </w:pPr>
            <w:r>
              <w:t xml:space="preserve">Papel no desafio</w:t>
            </w:r>
          </w:p>
        </w:tc>
        <w:tc>
          <w:tcPr/>
          <w:p>
            <w:pPr>
              <w:pStyle w:val="Compact"/>
            </w:pPr>
            <w:r>
              <w:t xml:space="preserve">Evidência esperada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Thompson Sampling</w:t>
            </w:r>
          </w:p>
        </w:tc>
        <w:tc>
          <w:tcPr/>
          <w:p>
            <w:pPr>
              <w:pStyle w:val="Compact"/>
            </w:pPr>
            <w:r>
              <w:t xml:space="preserve">Exploração bayesiana sob incerteza; útil quando o grupo modela conversão, clique ou recompensa esperada por braço.</w:t>
            </w:r>
          </w:p>
        </w:tc>
        <w:tc>
          <w:tcPr/>
          <w:p>
            <w:pPr>
              <w:pStyle w:val="Compact"/>
            </w:pPr>
            <w:r>
              <w:t xml:space="preserve">Priors ou hipótese de atualização documentados, comparação com baseline e análise de exploração.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Nilos-UCB</w:t>
            </w:r>
          </w:p>
        </w:tc>
        <w:tc>
          <w:tcPr/>
          <w:p>
            <w:pPr>
              <w:pStyle w:val="Compact"/>
            </w:pPr>
            <w:r>
              <w:t xml:space="preserve">Referência da família UCB para selecionar ações com base em recompensa esperada e incerteza.</w:t>
            </w:r>
          </w:p>
        </w:tc>
        <w:tc>
          <w:tcPr/>
          <w:p>
            <w:pPr>
              <w:pStyle w:val="Compact"/>
            </w:pPr>
            <w:r>
              <w:t xml:space="preserve">Fórmula, implementação ou adaptação justificada, além de análise do trade-off entre confiança, exploração e conversão.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determinístico</w:t>
            </w:r>
          </w:p>
        </w:tc>
        <w:tc>
          <w:tcPr/>
          <w:p>
            <w:pPr>
              <w:pStyle w:val="Compact"/>
            </w:pPr>
            <w:r>
              <w:t xml:space="preserve">Política simples usada como controle, como regra fixa, melhor braço histórico ou segmentação inicial.</w:t>
            </w:r>
          </w:p>
        </w:tc>
        <w:tc>
          <w:tcPr/>
          <w:p>
            <w:pPr>
              <w:pStyle w:val="Compact"/>
            </w:pPr>
            <w:r>
              <w:t xml:space="preserve">Métrica comparativa clara para mostrar ganho ou limitação da política adaptativa.</w:t>
            </w:r>
          </w:p>
        </w:tc>
      </w:tr>
    </w:tbl>
    <w:p>
      <w:pPr>
        <w:pStyle w:val="BodyText"/>
      </w:pPr>
      <w:r>
        <w:t xml:space="preserve">O grupo pode implementar Thompson Sampling, Nilos-UCB, LinUCB ou outra variação contextual, desde que explique a escolha, mostre como o contexto entra na decisão e documente como recompensas atrasadas serão tratadas.</w:t>
      </w:r>
    </w:p>
    <w:bookmarkEnd w:id="13"/>
    <w:bookmarkStart w:id="14" w:name="valor-para-o-negócio"/>
    <w:p>
      <w:pPr>
        <w:pStyle w:val="Heading3"/>
      </w:pPr>
      <w:r>
        <w:t xml:space="preserve">Valor para o negócio</w:t>
      </w:r>
    </w:p>
    <w:p>
      <w:pPr>
        <w:pStyle w:val="FirstParagraph"/>
      </w:pPr>
      <w:r>
        <w:t xml:space="preserve">O valor esperado não está apenas em aumentar clique ou conversão. A entrega deve mostrar como a instituição operaria uma camada de retreino, aprovação estruturada, teste e implementação de novos modelos dentro do mesmo contexto de negócio. A banca deve conseguir enxergar um ciclo de vida organizado para modelos de decisão adaptativa, incluindo versionamento, critérios de promoção, aprovação humana, monitoramento, rollback e governança por diferentes dimensões de negócio.</w:t>
      </w:r>
    </w:p>
    <w:p>
      <w:pPr>
        <w:pStyle w:val="BodyText"/>
      </w:pPr>
      <w:r>
        <w:t xml:space="preserve">KPIs sugeridos:</w:t>
      </w:r>
    </w:p>
    <w:p>
      <w:pPr>
        <w:pStyle w:val="Compact"/>
        <w:numPr>
          <w:ilvl w:val="0"/>
          <w:numId w:val="1002"/>
        </w:numPr>
      </w:pPr>
      <w:r>
        <w:t xml:space="preserve">aumento de recompensa média ou conversão simulada em comparação com uma política baseline;</w:t>
      </w:r>
    </w:p>
    <w:p>
      <w:pPr>
        <w:pStyle w:val="Compact"/>
        <w:numPr>
          <w:ilvl w:val="0"/>
          <w:numId w:val="1002"/>
        </w:numPr>
      </w:pPr>
      <w:r>
        <w:t xml:space="preserve">redução de regret ou tráfego alocado a alternativas inferiores em simulação offline;</w:t>
      </w:r>
    </w:p>
    <w:p>
      <w:pPr>
        <w:pStyle w:val="Compact"/>
        <w:numPr>
          <w:ilvl w:val="0"/>
          <w:numId w:val="1002"/>
        </w:numPr>
      </w:pPr>
      <w:r>
        <w:t xml:space="preserve">latência e disponibilidade do serviço de decisão;</w:t>
      </w:r>
    </w:p>
    <w:p>
      <w:pPr>
        <w:pStyle w:val="Compact"/>
        <w:numPr>
          <w:ilvl w:val="0"/>
          <w:numId w:val="1002"/>
        </w:numPr>
      </w:pPr>
      <w:r>
        <w:t xml:space="preserve">cobertura de auditoria das decisões e equilíbrio de exposição entre segmentos elegíveis.</w:t>
      </w:r>
    </w:p>
    <w:p>
      <w:pPr>
        <w:pStyle w:val="Compact"/>
        <w:numPr>
          <w:ilvl w:val="0"/>
          <w:numId w:val="1002"/>
        </w:numPr>
      </w:pPr>
      <w:r>
        <w:t xml:space="preserve">tempo para validar uma nova hipótese de oferta, canal ou mensagem;</w:t>
      </w:r>
    </w:p>
    <w:p>
      <w:pPr>
        <w:pStyle w:val="Compact"/>
        <w:numPr>
          <w:ilvl w:val="0"/>
          <w:numId w:val="1002"/>
        </w:numPr>
      </w:pPr>
      <w:r>
        <w:t xml:space="preserve">percentual de modelos ou políticas com ciclo de aprovação, teste e monitoramento documentado.</w:t>
      </w:r>
    </w:p>
    <w:bookmarkEnd w:id="14"/>
    <w:bookmarkStart w:id="15" w:name="X8ec3c104f749b05ebdea2ffa7d9b7c502622460"/>
    <w:p>
      <w:pPr>
        <w:pStyle w:val="Heading3"/>
      </w:pPr>
      <w:r>
        <w:t xml:space="preserve">Dataset, enriquecimento sintético e limites de dados</w:t>
      </w:r>
    </w:p>
    <w:p>
      <w:pPr>
        <w:pStyle w:val="FirstParagraph"/>
      </w:pPr>
      <w:r>
        <w:t xml:space="preserve">Use a base Kaggle escolhida como referência factual e crie uma camada sintética de experimentação adaptativa sobre ela. Essa camada deve representar impressões, ações disponíveis, contexto, recompensas e eventos atrasados.</w:t>
      </w:r>
    </w:p>
    <w:p>
      <w:pPr>
        <w:pStyle w:val="BodyText"/>
      </w:pPr>
      <w:r>
        <w:t xml:space="preserve">Dados permitidos:</w:t>
      </w:r>
    </w:p>
    <w:p>
      <w:pPr>
        <w:pStyle w:val="Compact"/>
        <w:numPr>
          <w:ilvl w:val="0"/>
          <w:numId w:val="1003"/>
        </w:numPr>
      </w:pPr>
      <w:r>
        <w:t xml:space="preserve">base Kaggle escolhida e documentada;</w:t>
      </w:r>
    </w:p>
    <w:p>
      <w:pPr>
        <w:pStyle w:val="Compact"/>
        <w:numPr>
          <w:ilvl w:val="0"/>
          <w:numId w:val="1003"/>
        </w:numPr>
      </w:pPr>
      <w:r>
        <w:t xml:space="preserve">interações sintéticas de usuários com ofertas;</w:t>
      </w:r>
    </w:p>
    <w:p>
      <w:pPr>
        <w:pStyle w:val="Compact"/>
        <w:numPr>
          <w:ilvl w:val="0"/>
          <w:numId w:val="1003"/>
        </w:numPr>
      </w:pPr>
      <w:r>
        <w:t xml:space="preserve">catálogo sintético de produtos ou mensagens;</w:t>
      </w:r>
    </w:p>
    <w:p>
      <w:pPr>
        <w:pStyle w:val="Compact"/>
        <w:numPr>
          <w:ilvl w:val="0"/>
          <w:numId w:val="1003"/>
        </w:numPr>
      </w:pPr>
      <w:r>
        <w:t xml:space="preserve">features agregadas e não identificáveis de contexto;</w:t>
      </w:r>
    </w:p>
    <w:p>
      <w:pPr>
        <w:pStyle w:val="Compact"/>
        <w:numPr>
          <w:ilvl w:val="0"/>
          <w:numId w:val="1003"/>
        </w:numPr>
      </w:pPr>
      <w:r>
        <w:t xml:space="preserve">recompensas simuladas, incluindo clique, início de jornada e conversão;</w:t>
      </w:r>
    </w:p>
    <w:p>
      <w:pPr>
        <w:pStyle w:val="Compact"/>
        <w:numPr>
          <w:ilvl w:val="0"/>
          <w:numId w:val="1003"/>
        </w:numPr>
      </w:pPr>
      <w:r>
        <w:t xml:space="preserve">documentos sintéticos de política comercial e suitability para uso em RAG.</w:t>
      </w:r>
    </w:p>
    <w:p>
      <w:pPr>
        <w:pStyle w:val="FirstParagraph"/>
      </w:pPr>
      <w:r>
        <w:t xml:space="preserve">Dados restritos:</w:t>
      </w:r>
    </w:p>
    <w:p>
      <w:pPr>
        <w:pStyle w:val="Compact"/>
        <w:numPr>
          <w:ilvl w:val="0"/>
          <w:numId w:val="1004"/>
        </w:numPr>
      </w:pPr>
      <w:r>
        <w:t xml:space="preserve">identificadores reais de clientes;</w:t>
      </w:r>
    </w:p>
    <w:p>
      <w:pPr>
        <w:pStyle w:val="Compact"/>
        <w:numPr>
          <w:ilvl w:val="0"/>
          <w:numId w:val="1004"/>
        </w:numPr>
      </w:pPr>
      <w:r>
        <w:t xml:space="preserve">patrimônio, saldo, renda, idade, gênero, raça ou qualquer dado sensível real;</w:t>
      </w:r>
    </w:p>
    <w:p>
      <w:pPr>
        <w:pStyle w:val="Compact"/>
        <w:numPr>
          <w:ilvl w:val="0"/>
          <w:numId w:val="1004"/>
        </w:numPr>
      </w:pPr>
      <w:r>
        <w:t xml:space="preserve">regras comerciais privadas, metas internas, listas de leads ou segmentações proprietárias;</w:t>
      </w:r>
    </w:p>
    <w:p>
      <w:pPr>
        <w:pStyle w:val="Compact"/>
        <w:numPr>
          <w:ilvl w:val="0"/>
          <w:numId w:val="1004"/>
        </w:numPr>
      </w:pPr>
      <w:r>
        <w:t xml:space="preserve">thresholds reais de aprovação, incentivo, remuneração ou campanha.</w:t>
      </w:r>
    </w:p>
    <w:bookmarkEnd w:id="15"/>
    <w:bookmarkEnd w:id="16"/>
    <w:bookmarkStart w:id="17" w:name="regras-de-dados-e-publicação"/>
    <w:p>
      <w:pPr>
        <w:pStyle w:val="Heading2"/>
      </w:pPr>
      <w:r>
        <w:t xml:space="preserve">Regras de dados e publicação</w:t>
      </w:r>
    </w:p>
    <w:p>
      <w:pPr>
        <w:pStyle w:val="Compact"/>
        <w:numPr>
          <w:ilvl w:val="0"/>
          <w:numId w:val="1005"/>
        </w:numPr>
      </w:pPr>
      <w:r>
        <w:t xml:space="preserve">Use uma base Kaggle compatível com marketing, ofertas, propensão, campanhas, recomendação ou conversão como base factual do projeto.</w:t>
      </w:r>
    </w:p>
    <w:p>
      <w:pPr>
        <w:pStyle w:val="Compact"/>
        <w:numPr>
          <w:ilvl w:val="0"/>
          <w:numId w:val="1005"/>
        </w:numPr>
      </w:pPr>
      <w:r>
        <w:t xml:space="preserve">Use dados sintéticos apenas para enriquecer o problema com braços de decisão, recompensas intermediárias, eventos atrasados, políticas comerciais fictícias e golden set.</w:t>
      </w:r>
    </w:p>
    <w:p>
      <w:pPr>
        <w:pStyle w:val="Compact"/>
        <w:numPr>
          <w:ilvl w:val="0"/>
          <w:numId w:val="1005"/>
        </w:numPr>
      </w:pPr>
      <w:r>
        <w:t xml:space="preserve">Não use dados reais de clientes, estudantes, professores, empresas parceiras ou sistemas internos.</w:t>
      </w:r>
    </w:p>
    <w:p>
      <w:pPr>
        <w:pStyle w:val="Compact"/>
        <w:numPr>
          <w:ilvl w:val="0"/>
          <w:numId w:val="1005"/>
        </w:numPr>
      </w:pPr>
      <w:r>
        <w:t xml:space="preserve">Não publique segredos, tokens, chaves de API, dumps, traces, logs com dados sensíveis ou modelos binários grandes.</w:t>
      </w:r>
    </w:p>
    <w:p>
      <w:pPr>
        <w:pStyle w:val="Compact"/>
        <w:numPr>
          <w:ilvl w:val="0"/>
          <w:numId w:val="1005"/>
        </w:numPr>
      </w:pPr>
      <w:r>
        <w:t xml:space="preserve">Não use atributos protegidos para discriminar pessoas ou grupos.</w:t>
      </w:r>
    </w:p>
    <w:p>
      <w:pPr>
        <w:pStyle w:val="Compact"/>
        <w:numPr>
          <w:ilvl w:val="0"/>
          <w:numId w:val="1005"/>
        </w:numPr>
      </w:pPr>
      <w:r>
        <w:t xml:space="preserve">Documente a base legal, o propósito de uso, a minimização de dados e o ciclo de retenção.</w:t>
      </w:r>
    </w:p>
    <w:p>
      <w:pPr>
        <w:pStyle w:val="Compact"/>
        <w:numPr>
          <w:ilvl w:val="0"/>
          <w:numId w:val="1005"/>
        </w:numPr>
      </w:pPr>
      <w:r>
        <w:t xml:space="preserve">Mantenha decisões sensíveis com humano no loop. O sistema deve apoiar análise e decisão; não deve executar bloqueios, reportes regulatórios ou recomendações financeiras autônomas sem controle humano.</w:t>
      </w:r>
    </w:p>
    <w:bookmarkEnd w:id="17"/>
    <w:bookmarkStart w:id="24" w:name="X109e498538a378a0f7865aaebc42ad4e6d3dbf9"/>
    <w:p>
      <w:pPr>
        <w:pStyle w:val="Heading2"/>
      </w:pPr>
      <w:r>
        <w:t xml:space="preserve">Bases Kaggle orientadoras e criação dos datasets</w:t>
      </w:r>
    </w:p>
    <w:p>
      <w:pPr>
        <w:pStyle w:val="FirstParagraph"/>
      </w:pPr>
      <w:r>
        <w:t xml:space="preserve">O grupo deve escolher uma base Kaggle adequada ao problema de experimentação adaptativa. A base não precisa ser única para todos os grupos, mas deve ter relação clara com marketing, ofertas, propensão, campanhas, recomendação, conversão ou comportamento de cliente.</w:t>
      </w:r>
    </w:p>
    <w:p>
      <w:pPr>
        <w:pStyle w:val="BodyText"/>
      </w:pPr>
      <w:r>
        <w:t xml:space="preserve">Exemplos de bases Kaggle que podem orientar a escolha: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Link</w:t>
            </w:r>
          </w:p>
        </w:tc>
        <w:tc>
          <w:tcPr/>
          <w:p>
            <w:pPr>
              <w:pStyle w:val="Compact"/>
            </w:pPr>
            <w:r>
              <w:t xml:space="preserve">Como usar no desafio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 Marketing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https://www.kaggle.com/datasets/henriqueyamahata/bank-marketing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Campanhas bancárias, propensão de conversão e decisão de oferta.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 Marketing Data Set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https://www.kaggle.com/datasets/tunguz/bank-marketing-data-set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Variação do problema de marketing bancário para comparação ou substituição.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 Term Deposit Subscription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https://www.kaggle.com/datasets/dharmik34/bank-term-deposit-subscription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Assinatura de depósito a prazo como proxy de conversão.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Telemarketing JYB Dataset - UCI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https://www.kaggle.com/datasets/aguado/telemarketing-jyb-dataset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Campanhas de contato e resposta, útil para comparação de canal ou abordagem.</w:t>
            </w:r>
          </w:p>
        </w:tc>
      </w:tr>
    </w:tbl>
    <w:p>
      <w:pPr>
        <w:pStyle w:val="BodyText"/>
      </w:pPr>
      <w:r>
        <w:t xml:space="preserve">Outras bases Kaggle são aceitas se o grupo justificar a aderência ao problema e documentar fonte, versão, licença, colunas, target e limitações. Não use uma base apenas porque ela é fácil de treinar; a escolha precisa sustentar uma pergunta de negócio sobre decisão adaptativa.</w:t>
      </w:r>
    </w:p>
    <w:p>
      <w:pPr>
        <w:pStyle w:val="BodyText"/>
      </w:pPr>
      <w:r>
        <w:t xml:space="preserve">Use a base Kaggle escolhida como ponto de partida para:</w:t>
      </w:r>
    </w:p>
    <w:p>
      <w:pPr>
        <w:pStyle w:val="Compact"/>
        <w:numPr>
          <w:ilvl w:val="0"/>
          <w:numId w:val="1006"/>
        </w:numPr>
      </w:pPr>
      <w:r>
        <w:t xml:space="preserve">construir o baseline preditivo de propensão à conversão;</w:t>
      </w:r>
    </w:p>
    <w:p>
      <w:pPr>
        <w:pStyle w:val="Compact"/>
        <w:numPr>
          <w:ilvl w:val="0"/>
          <w:numId w:val="1006"/>
        </w:numPr>
      </w:pPr>
      <w:r>
        <w:t xml:space="preserve">derivar contextos de decisão para a política adaptativa;</w:t>
      </w:r>
    </w:p>
    <w:p>
      <w:pPr>
        <w:pStyle w:val="Compact"/>
        <w:numPr>
          <w:ilvl w:val="0"/>
          <w:numId w:val="1006"/>
        </w:numPr>
      </w:pPr>
      <w:r>
        <w:t xml:space="preserve">simular braços de oferta, mensagens, canais ou horários quando a informação não existir explicitamente no dataset;</w:t>
      </w:r>
    </w:p>
    <w:p>
      <w:pPr>
        <w:pStyle w:val="Compact"/>
        <w:numPr>
          <w:ilvl w:val="0"/>
          <w:numId w:val="1006"/>
        </w:numPr>
      </w:pPr>
      <w:r>
        <w:t xml:space="preserve">avaliar a política com backtesting offline ou replay simulado;</w:t>
      </w:r>
    </w:p>
    <w:p>
      <w:pPr>
        <w:pStyle w:val="Compact"/>
        <w:numPr>
          <w:ilvl w:val="0"/>
          <w:numId w:val="1006"/>
        </w:numPr>
      </w:pPr>
      <w:r>
        <w:t xml:space="preserve">documentar limitações, vieses e riscos de generalização.</w:t>
      </w:r>
    </w:p>
    <w:p>
      <w:pPr>
        <w:pStyle w:val="FirstParagraph"/>
      </w:pPr>
      <w:r>
        <w:t xml:space="preserve">Tratamento mínimo da base escolhida:</w:t>
      </w:r>
    </w:p>
    <w:p>
      <w:pPr>
        <w:pStyle w:val="Compact"/>
        <w:numPr>
          <w:ilvl w:val="0"/>
          <w:numId w:val="1007"/>
        </w:numPr>
      </w:pPr>
      <w:r>
        <w:t xml:space="preserve">descarte ou isole colunas que só seriam conhecidas depois da decisão, como</w:t>
      </w:r>
      <w:r>
        <w:t xml:space="preserve"> </w:t>
      </w:r>
      <w:r>
        <w:rPr>
          <w:rStyle w:val="VerbatimChar"/>
        </w:rPr>
        <w:t xml:space="preserve">duration</w:t>
      </w:r>
      <w:r>
        <w:t xml:space="preserve"> </w:t>
      </w:r>
      <w:r>
        <w:t xml:space="preserve">no Bank Marketing;</w:t>
      </w:r>
    </w:p>
    <w:p>
      <w:pPr>
        <w:pStyle w:val="Compact"/>
        <w:numPr>
          <w:ilvl w:val="0"/>
          <w:numId w:val="1007"/>
        </w:numPr>
      </w:pPr>
      <w:r>
        <w:t xml:space="preserve">registre no README do grupo como a base foi baixada, qual versão foi usada e qual licença se aplica;</w:t>
      </w:r>
    </w:p>
    <w:p>
      <w:pPr>
        <w:pStyle w:val="Compact"/>
        <w:numPr>
          <w:ilvl w:val="0"/>
          <w:numId w:val="1007"/>
        </w:numPr>
      </w:pPr>
      <w:r>
        <w:t xml:space="preserve">preserve a referência ao Kaggle e à fonte original quando houver;</w:t>
      </w:r>
    </w:p>
    <w:p>
      <w:pPr>
        <w:pStyle w:val="Compact"/>
        <w:numPr>
          <w:ilvl w:val="0"/>
          <w:numId w:val="1007"/>
        </w:numPr>
      </w:pPr>
      <w:r>
        <w:t xml:space="preserve">não misture o dataset com dados reais externos;</w:t>
      </w:r>
    </w:p>
    <w:p>
      <w:pPr>
        <w:pStyle w:val="Compact"/>
        <w:numPr>
          <w:ilvl w:val="0"/>
          <w:numId w:val="1007"/>
        </w:numPr>
      </w:pPr>
      <w:r>
        <w:t xml:space="preserve">documente qualquer enriquecimento sintético criado pelo grupo.</w:t>
      </w:r>
    </w:p>
    <w:bookmarkStart w:id="22" w:name="X1701a662c39012f5a7d154f3369d289a4e70b64"/>
    <w:p>
      <w:pPr>
        <w:pStyle w:val="Heading3"/>
      </w:pPr>
      <w:r>
        <w:t xml:space="preserve">Instruções para criação dos datasets derivados</w:t>
      </w:r>
    </w:p>
    <w:p>
      <w:pPr>
        <w:pStyle w:val="FirstParagraph"/>
      </w:pPr>
      <w:r>
        <w:t xml:space="preserve">Cada grupo deve criar uma camada derivada própria, sem alterar a base Kaggle original. Essa camada deve ser versionada e documentada no repositório.</w:t>
      </w:r>
    </w:p>
    <w:p>
      <w:pPr>
        <w:pStyle w:val="BodyText"/>
      </w:pPr>
      <w:r>
        <w:t xml:space="preserve">Entregue, no mínimo: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data/kaggle/README.md</w:t>
      </w:r>
      <w:r>
        <w:t xml:space="preserve">: fonte, link, versão, licença, colunas usadas, colunas descartadas e justificativa da escolha.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data/processed/</w:t>
      </w:r>
      <w:r>
        <w:t xml:space="preserve">: base tratada para modelagem, sem colunas de vazamento temporal e com transformações explicadas.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data/synthetic_enrichment/offer_catalog.sample.csv</w:t>
      </w:r>
      <w:r>
        <w:t xml:space="preserve">: catálogo de braços, ofertas, mensagens ou canais simulados.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data/synthetic_enrichment/offer_events.sample.csv</w:t>
      </w:r>
      <w:r>
        <w:t xml:space="preserve">: eventos simulados de impressão, decisão, contexto e braço escolhido.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data/synthetic_enrichment/delayed_rewards.sample.csv</w:t>
      </w:r>
      <w:r>
        <w:t xml:space="preserve">: recompensas simuladas com atraso, como clique, início de jornada e conversão.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data/golden_set/evaluation_cases.jsonl</w:t>
      </w:r>
      <w:r>
        <w:t xml:space="preserve">: pelo menos 20 casos para avaliar decisão, explicação, guardrails e uso do assistente.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reports/data-generation.md</w:t>
      </w:r>
      <w:r>
        <w:t xml:space="preserve">: descrição do processo de criação dos dados derivados, hipóteses, sementes aleatórias, limitações e riscos.</w:t>
      </w:r>
    </w:p>
    <w:bookmarkEnd w:id="22"/>
    <w:bookmarkStart w:id="23" w:name="escopo-técnico"/>
    <w:p>
      <w:pPr>
        <w:pStyle w:val="Heading3"/>
      </w:pPr>
      <w:r>
        <w:t xml:space="preserve">Escopo técnico</w:t>
      </w:r>
    </w:p>
    <w:p>
      <w:pPr>
        <w:pStyle w:val="FirstParagraph"/>
      </w:pPr>
      <w:r>
        <w:t xml:space="preserve">Capacidades obrigatórias:</w:t>
      </w:r>
    </w:p>
    <w:p>
      <w:pPr>
        <w:pStyle w:val="Compact"/>
        <w:numPr>
          <w:ilvl w:val="0"/>
          <w:numId w:val="1009"/>
        </w:numPr>
      </w:pPr>
      <w:r>
        <w:t xml:space="preserve">baseline simples de decisão para comparação;</w:t>
      </w:r>
    </w:p>
    <w:p>
      <w:pPr>
        <w:pStyle w:val="Compact"/>
        <w:numPr>
          <w:ilvl w:val="0"/>
          <w:numId w:val="1009"/>
        </w:numPr>
      </w:pPr>
      <w:r>
        <w:t xml:space="preserve">política adaptativa ou contextual, justificada pelo grupo;</w:t>
      </w:r>
    </w:p>
    <w:p>
      <w:pPr>
        <w:pStyle w:val="Compact"/>
        <w:numPr>
          <w:ilvl w:val="0"/>
          <w:numId w:val="1009"/>
        </w:numPr>
      </w:pPr>
      <w:r>
        <w:t xml:space="preserve">referência explícita a Thompson Sampling e Nilos-UCB na análise algorítmica;</w:t>
      </w:r>
    </w:p>
    <w:p>
      <w:pPr>
        <w:pStyle w:val="Compact"/>
        <w:numPr>
          <w:ilvl w:val="0"/>
          <w:numId w:val="1009"/>
        </w:numPr>
      </w:pPr>
      <w:r>
        <w:t xml:space="preserve">avaliação offline com a base Kaggle escolhida e enriquecida por eventos sintéticos;</w:t>
      </w:r>
    </w:p>
    <w:p>
      <w:pPr>
        <w:pStyle w:val="Compact"/>
        <w:numPr>
          <w:ilvl w:val="0"/>
          <w:numId w:val="1009"/>
        </w:numPr>
      </w:pPr>
      <w:r>
        <w:t xml:space="preserve">API, script ou serviço demonstrável para tomada de decisão;</w:t>
      </w:r>
    </w:p>
    <w:p>
      <w:pPr>
        <w:pStyle w:val="Compact"/>
        <w:numPr>
          <w:ilvl w:val="0"/>
          <w:numId w:val="1009"/>
        </w:numPr>
      </w:pPr>
      <w:r>
        <w:t xml:space="preserve">registro de decisões com contexto, versão de política e justificativa auditável;</w:t>
      </w:r>
    </w:p>
    <w:p>
      <w:pPr>
        <w:pStyle w:val="Compact"/>
        <w:numPr>
          <w:ilvl w:val="0"/>
          <w:numId w:val="1009"/>
        </w:numPr>
      </w:pPr>
      <w:r>
        <w:t xml:space="preserve">camada de retreino, teste, aprovação estruturada e promoção controlada de novas políticas;</w:t>
      </w:r>
    </w:p>
    <w:p>
      <w:pPr>
        <w:pStyle w:val="Compact"/>
        <w:numPr>
          <w:ilvl w:val="0"/>
          <w:numId w:val="1009"/>
        </w:numPr>
      </w:pPr>
      <w:r>
        <w:t xml:space="preserve">monitoramento de latência, recompensa, exploração e métricas de fairness;</w:t>
      </w:r>
    </w:p>
    <w:p>
      <w:pPr>
        <w:pStyle w:val="Compact"/>
        <w:numPr>
          <w:ilvl w:val="0"/>
          <w:numId w:val="1009"/>
        </w:numPr>
      </w:pPr>
      <w:r>
        <w:t xml:space="preserve">assistente ou interface com LLM para explicar experimentos, recuperar políticas sintéticas e apoiar análise humana.</w:t>
      </w:r>
    </w:p>
    <w:p>
      <w:pPr>
        <w:pStyle w:val="FirstParagraph"/>
      </w:pPr>
      <w:r>
        <w:t xml:space="preserve">Fora de escopo:</w:t>
      </w:r>
    </w:p>
    <w:p>
      <w:pPr>
        <w:pStyle w:val="Compact"/>
        <w:numPr>
          <w:ilvl w:val="0"/>
          <w:numId w:val="1010"/>
        </w:numPr>
      </w:pPr>
      <w:r>
        <w:t xml:space="preserve">aconselhamento financeiro individualizado;</w:t>
      </w:r>
    </w:p>
    <w:p>
      <w:pPr>
        <w:pStyle w:val="Compact"/>
        <w:numPr>
          <w:ilvl w:val="0"/>
          <w:numId w:val="1010"/>
        </w:numPr>
      </w:pPr>
      <w:r>
        <w:t xml:space="preserve">execução real de ofertas financeiras;</w:t>
      </w:r>
    </w:p>
    <w:p>
      <w:pPr>
        <w:pStyle w:val="Compact"/>
        <w:numPr>
          <w:ilvl w:val="0"/>
          <w:numId w:val="1010"/>
        </w:numPr>
      </w:pPr>
      <w:r>
        <w:t xml:space="preserve">integração com CRM real, app real, corretora real ou dados de produção;</w:t>
      </w:r>
    </w:p>
    <w:p>
      <w:pPr>
        <w:pStyle w:val="Compact"/>
        <w:numPr>
          <w:ilvl w:val="0"/>
          <w:numId w:val="1010"/>
        </w:numPr>
      </w:pPr>
      <w:r>
        <w:t xml:space="preserve">alteração automática de regras de suitability sem aprovação humana.</w:t>
      </w:r>
    </w:p>
    <w:bookmarkEnd w:id="23"/>
    <w:bookmarkEnd w:id="24"/>
    <w:bookmarkStart w:id="25" w:name="fluxo-de-trabalho-da-aplicação"/>
    <w:p>
      <w:pPr>
        <w:pStyle w:val="Heading2"/>
      </w:pPr>
      <w:r>
        <w:t xml:space="preserve">Fluxo de trabalho da aplicação</w:t>
      </w:r>
    </w:p>
    <w:p>
      <w:pPr>
        <w:pStyle w:val="FirstParagraph"/>
      </w:pPr>
      <w:r>
        <w:t xml:space="preserve">O diagrama abaixo mostra o fluxo esperado da solução, da base Kaggle escolhida até a apresentação da arquitetura-alvo em Azure. Ele é um mapa de trabalho para orientar a entrega, não uma arquitetura única obrigatória.</w:t>
      </w:r>
    </w:p>
    <w:p>
      <w:pPr>
        <w:pStyle w:val="SourceCode"/>
      </w:pPr>
      <w:r>
        <w:rPr>
          <w:rStyle w:val="VerbatimChar"/>
        </w:rPr>
        <w:t xml:space="preserve">%%{init: {'theme':'base', 'themeVariables': {</w:t>
      </w:r>
      <w:r>
        <w:br/>
      </w:r>
      <w:r>
        <w:rPr>
          <w:rStyle w:val="VerbatimChar"/>
        </w:rPr>
        <w:t xml:space="preserve">  'primaryColor':'#FFB3BA',</w:t>
      </w:r>
      <w:r>
        <w:br/>
      </w:r>
      <w:r>
        <w:rPr>
          <w:rStyle w:val="VerbatimChar"/>
        </w:rPr>
        <w:t xml:space="preserve">  'primaryTextColor':'#000',</w:t>
      </w:r>
      <w:r>
        <w:br/>
      </w:r>
      <w:r>
        <w:rPr>
          <w:rStyle w:val="VerbatimChar"/>
        </w:rPr>
        <w:t xml:space="preserve">  'primaryBorderColor':'#FF8B94',</w:t>
      </w:r>
      <w:r>
        <w:br/>
      </w:r>
      <w:r>
        <w:rPr>
          <w:rStyle w:val="VerbatimChar"/>
        </w:rPr>
        <w:t xml:space="preserve">  'lineColor':'#BAE1FF',</w:t>
      </w:r>
      <w:r>
        <w:br/>
      </w:r>
      <w:r>
        <w:rPr>
          <w:rStyle w:val="VerbatimChar"/>
        </w:rPr>
        <w:t xml:space="preserve">  'secondaryColor':'#BAE1FF',</w:t>
      </w:r>
      <w:r>
        <w:br/>
      </w:r>
      <w:r>
        <w:rPr>
          <w:rStyle w:val="VerbatimChar"/>
        </w:rPr>
        <w:t xml:space="preserve">  'tertiaryColor':'#FFFFFF'</w:t>
      </w:r>
      <w:r>
        <w:br/>
      </w:r>
      <w:r>
        <w:rPr>
          <w:rStyle w:val="VerbatimChar"/>
        </w:rPr>
        <w:t xml:space="preserve">}}}%%</w:t>
      </w:r>
      <w:r>
        <w:br/>
      </w: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A[Base Kaggle escolhida] --&gt; B[Pipeline reprodutível]</w:t>
      </w:r>
      <w:r>
        <w:br/>
      </w:r>
      <w:r>
        <w:rPr>
          <w:rStyle w:val="VerbatimChar"/>
        </w:rPr>
        <w:t xml:space="preserve">    B --&gt; C[Enriquecimento sintético]</w:t>
      </w:r>
      <w:r>
        <w:br/>
      </w:r>
      <w:r>
        <w:rPr>
          <w:rStyle w:val="VerbatimChar"/>
        </w:rPr>
        <w:t xml:space="preserve">    C --&gt; D[Baseline e política adaptativa]</w:t>
      </w:r>
      <w:r>
        <w:br/>
      </w:r>
      <w:r>
        <w:rPr>
          <w:rStyle w:val="VerbatimChar"/>
        </w:rPr>
        <w:t xml:space="preserve">    D --&gt; E[Avaliação offline e golden set]</w:t>
      </w:r>
      <w:r>
        <w:br/>
      </w:r>
      <w:r>
        <w:rPr>
          <w:rStyle w:val="VerbatimChar"/>
        </w:rPr>
        <w:t xml:space="preserve">    E --&gt; F[Teste, aprovação e retreino]</w:t>
      </w:r>
      <w:r>
        <w:br/>
      </w:r>
      <w:r>
        <w:rPr>
          <w:rStyle w:val="VerbatimChar"/>
        </w:rPr>
        <w:t xml:space="preserve">    F --&gt; G[API, serviço ou interface demonstrável]</w:t>
      </w:r>
      <w:r>
        <w:br/>
      </w:r>
      <w:r>
        <w:rPr>
          <w:rStyle w:val="VerbatimChar"/>
        </w:rPr>
        <w:t xml:space="preserve">    G --&gt; H[Arquitetura-alvo Azure e plano de deploy]</w:t>
      </w:r>
      <w:r>
        <w:br/>
      </w:r>
      <w:r>
        <w:rPr>
          <w:rStyle w:val="VerbatimChar"/>
        </w:rPr>
        <w:t xml:space="preserve">    H --&gt; I[Governança, observabilidade e segurança]</w:t>
      </w:r>
      <w:r>
        <w:br/>
      </w:r>
      <w:r>
        <w:br/>
      </w:r>
      <w:r>
        <w:rPr>
          <w:rStyle w:val="VerbatimChar"/>
        </w:rPr>
        <w:t xml:space="preserve">    classDef primary fill:#FFB3BA,stroke:#FF8B94,stroke-width:2px,color:#000</w:t>
      </w:r>
      <w:r>
        <w:br/>
      </w:r>
      <w:r>
        <w:rPr>
          <w:rStyle w:val="VerbatimChar"/>
        </w:rPr>
        <w:t xml:space="preserve">    classDef secondary fill:#BAE1FF,stroke:#89CFF0,stroke-width:2px,color:#000</w:t>
      </w:r>
      <w:r>
        <w:br/>
      </w:r>
      <w:r>
        <w:br/>
      </w:r>
      <w:r>
        <w:rPr>
          <w:rStyle w:val="VerbatimChar"/>
        </w:rPr>
        <w:t xml:space="preserve">    class H,I primary</w:t>
      </w:r>
      <w:r>
        <w:br/>
      </w:r>
      <w:r>
        <w:rPr>
          <w:rStyle w:val="VerbatimChar"/>
        </w:rPr>
        <w:t xml:space="preserve">    class A,B,C,D,E,F,G secondary</w:t>
      </w:r>
    </w:p>
    <w:bookmarkEnd w:id="25"/>
    <w:bookmarkStart w:id="26" w:name="diagrama-de-componentes-azure"/>
    <w:p>
      <w:pPr>
        <w:pStyle w:val="Heading2"/>
      </w:pPr>
      <w:r>
        <w:t xml:space="preserve">Diagrama de componentes Azure</w:t>
      </w:r>
    </w:p>
    <w:p>
      <w:pPr>
        <w:pStyle w:val="FirstParagraph"/>
      </w:pPr>
      <w:r>
        <w:t xml:space="preserve">Use este diagrama como referência para explicar o fluxo lógico da aplicação em Azure. O grupo pode substituir serviços dentro das categorias aceitas, desde que mantenha a entrega exclusivamente em Azure e documente os trade-offs.</w:t>
      </w:r>
    </w:p>
    <w:p>
      <w:pPr>
        <w:pStyle w:val="SourceCode"/>
      </w:pPr>
      <w:r>
        <w:rPr>
          <w:rStyle w:val="VerbatimChar"/>
        </w:rPr>
        <w:t xml:space="preserve">%%{init: {'theme':'base', 'themeVariables': {</w:t>
      </w:r>
      <w:r>
        <w:br/>
      </w:r>
      <w:r>
        <w:rPr>
          <w:rStyle w:val="VerbatimChar"/>
        </w:rPr>
        <w:t xml:space="preserve">  'primaryColor':'#FFB3BA',</w:t>
      </w:r>
      <w:r>
        <w:br/>
      </w:r>
      <w:r>
        <w:rPr>
          <w:rStyle w:val="VerbatimChar"/>
        </w:rPr>
        <w:t xml:space="preserve">  'primaryTextColor':'#000',</w:t>
      </w:r>
      <w:r>
        <w:br/>
      </w:r>
      <w:r>
        <w:rPr>
          <w:rStyle w:val="VerbatimChar"/>
        </w:rPr>
        <w:t xml:space="preserve">  'primaryBorderColor':'#FF8B94',</w:t>
      </w:r>
      <w:r>
        <w:br/>
      </w:r>
      <w:r>
        <w:rPr>
          <w:rStyle w:val="VerbatimChar"/>
        </w:rPr>
        <w:t xml:space="preserve">  'lineColor':'#BAE1FF',</w:t>
      </w:r>
      <w:r>
        <w:br/>
      </w:r>
      <w:r>
        <w:rPr>
          <w:rStyle w:val="VerbatimChar"/>
        </w:rPr>
        <w:t xml:space="preserve">  'secondaryColor':'#BAE1FF',</w:t>
      </w:r>
      <w:r>
        <w:br/>
      </w:r>
      <w:r>
        <w:rPr>
          <w:rStyle w:val="VerbatimChar"/>
        </w:rPr>
        <w:t xml:space="preserve">  'tertiaryColor':'#FFFFFF'</w:t>
      </w:r>
      <w:r>
        <w:br/>
      </w:r>
      <w:r>
        <w:rPr>
          <w:rStyle w:val="VerbatimChar"/>
        </w:rPr>
        <w:t xml:space="preserve">}}}%%</w:t>
      </w:r>
      <w:r>
        <w:br/>
      </w: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U[Usuário ou avaliador] --&gt; UI[Interface, notebook ou app]</w:t>
      </w:r>
      <w:r>
        <w:br/>
      </w:r>
      <w:r>
        <w:rPr>
          <w:rStyle w:val="VerbatimChar"/>
        </w:rPr>
        <w:t xml:space="preserve">    UI --&gt; API[API de decisão]</w:t>
      </w:r>
      <w:r>
        <w:br/>
      </w:r>
      <w:r>
        <w:rPr>
          <w:rStyle w:val="VerbatimChar"/>
        </w:rPr>
        <w:t xml:space="preserve">    API --&gt; POL[Política adaptativa e baseline]</w:t>
      </w:r>
      <w:r>
        <w:br/>
      </w:r>
      <w:r>
        <w:rPr>
          <w:rStyle w:val="VerbatimChar"/>
        </w:rPr>
        <w:t xml:space="preserve">    API --&gt; LOG[Registro auditável de decisões]</w:t>
      </w:r>
      <w:r>
        <w:br/>
      </w:r>
      <w:r>
        <w:br/>
      </w:r>
      <w:r>
        <w:rPr>
          <w:rStyle w:val="VerbatimChar"/>
        </w:rPr>
        <w:t xml:space="preserve">    POL --&gt; DATA[Base Kaggle enriquecida]</w:t>
      </w:r>
      <w:r>
        <w:br/>
      </w:r>
      <w:r>
        <w:rPr>
          <w:rStyle w:val="VerbatimChar"/>
        </w:rPr>
        <w:t xml:space="preserve">    POL --&gt; MLOPS[Retreino, aprovação e versionamento]</w:t>
      </w:r>
      <w:r>
        <w:br/>
      </w:r>
      <w:r>
        <w:rPr>
          <w:rStyle w:val="VerbatimChar"/>
        </w:rPr>
        <w:t xml:space="preserve">    LOG --&gt; OBS[Azure Monitor, Application Insights e Log Analytics]</w:t>
      </w:r>
      <w:r>
        <w:br/>
      </w:r>
      <w:r>
        <w:br/>
      </w:r>
      <w:r>
        <w:rPr>
          <w:rStyle w:val="VerbatimChar"/>
        </w:rPr>
        <w:t xml:space="preserve">    UI --&gt; ASSIST[Assistente com LLM]</w:t>
      </w:r>
      <w:r>
        <w:br/>
      </w:r>
      <w:r>
        <w:rPr>
          <w:rStyle w:val="VerbatimChar"/>
        </w:rPr>
        <w:t xml:space="preserve">    ASSIST --&gt; RAG[Azure AI Search ou índice vetorial]</w:t>
      </w:r>
      <w:r>
        <w:br/>
      </w:r>
      <w:r>
        <w:rPr>
          <w:rStyle w:val="VerbatimChar"/>
        </w:rPr>
        <w:t xml:space="preserve">    RAG --&gt; DOCS[Políticas sintéticas e documentação do experimento]</w:t>
      </w:r>
      <w:r>
        <w:br/>
      </w:r>
      <w:r>
        <w:rPr>
          <w:rStyle w:val="VerbatimChar"/>
        </w:rPr>
        <w:t xml:space="preserve">    ASSIST --&gt; MODEL[Azure AI Foundry ou Azure OpenAI]</w:t>
      </w:r>
      <w:r>
        <w:br/>
      </w:r>
      <w:r>
        <w:br/>
      </w:r>
      <w:r>
        <w:rPr>
          <w:rStyle w:val="VerbatimChar"/>
        </w:rPr>
        <w:t xml:space="preserve">    SEC[Entra ID, Managed Identity, Key Vault, RBAC e LGPD] --&gt; UI</w:t>
      </w:r>
      <w:r>
        <w:br/>
      </w:r>
      <w:r>
        <w:rPr>
          <w:rStyle w:val="VerbatimChar"/>
        </w:rPr>
        <w:t xml:space="preserve">    SEC --&gt; API</w:t>
      </w:r>
      <w:r>
        <w:br/>
      </w:r>
      <w:r>
        <w:rPr>
          <w:rStyle w:val="VerbatimChar"/>
        </w:rPr>
        <w:t xml:space="preserve">    SEC --&gt; DATA</w:t>
      </w:r>
      <w:r>
        <w:br/>
      </w:r>
      <w:r>
        <w:rPr>
          <w:rStyle w:val="VerbatimChar"/>
        </w:rPr>
        <w:t xml:space="preserve">    SEC --&gt; MODEL</w:t>
      </w:r>
      <w:r>
        <w:br/>
      </w:r>
      <w:r>
        <w:rPr>
          <w:rStyle w:val="VerbatimChar"/>
        </w:rPr>
        <w:t xml:space="preserve">    SEC --&gt; MLOPS</w:t>
      </w:r>
      <w:r>
        <w:br/>
      </w:r>
      <w:r>
        <w:br/>
      </w:r>
      <w:r>
        <w:rPr>
          <w:rStyle w:val="VerbatimChar"/>
        </w:rPr>
        <w:t xml:space="preserve">    classDef primary fill:#FFB3BA,stroke:#FF8B94,stroke-width:2px,color:#000</w:t>
      </w:r>
      <w:r>
        <w:br/>
      </w:r>
      <w:r>
        <w:rPr>
          <w:rStyle w:val="VerbatimChar"/>
        </w:rPr>
        <w:t xml:space="preserve">    classDef secondary fill:#BAE1FF,stroke:#89CFF0,stroke-width:2px,color:#000</w:t>
      </w:r>
      <w:r>
        <w:br/>
      </w:r>
      <w:r>
        <w:br/>
      </w:r>
      <w:r>
        <w:rPr>
          <w:rStyle w:val="VerbatimChar"/>
        </w:rPr>
        <w:t xml:space="preserve">    class API,POL,ASSIST,MODEL,MLOPS primary</w:t>
      </w:r>
      <w:r>
        <w:br/>
      </w:r>
      <w:r>
        <w:rPr>
          <w:rStyle w:val="VerbatimChar"/>
        </w:rPr>
        <w:t xml:space="preserve">    class U,UI,DATA,LOG,OBS,RAG,DOCS,SEC secondary</w:t>
      </w:r>
    </w:p>
    <w:bookmarkEnd w:id="26"/>
    <w:bookmarkStart w:id="27" w:name="estrutura-esperada-do-repositório"/>
    <w:p>
      <w:pPr>
        <w:pStyle w:val="Heading2"/>
      </w:pPr>
      <w:r>
        <w:t xml:space="preserve">Estrutura esperada do repositório</w:t>
      </w:r>
    </w:p>
    <w:p>
      <w:pPr>
        <w:pStyle w:val="FirstParagraph"/>
      </w:pPr>
      <w:r>
        <w:t xml:space="preserve">A estrutura abaixo é um contrato mínimo recomendado. O grupo pode reorganizar nomes de pastas, mas deve preservar separação clara entre base Kaggle original, dados processados, enriquecimento sintético, código, avaliação, documentação e arquitetura Azure.</w:t>
      </w:r>
    </w:p>
    <w:p>
      <w:pPr>
        <w:pStyle w:val="SourceCode"/>
      </w:pPr>
      <w:r>
        <w:rPr>
          <w:rStyle w:val="VerbatimChar"/>
        </w:rPr>
        <w:t xml:space="preserve">datathon-7mlet-grupo-XX/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pyproject.toml</w:t>
      </w:r>
      <w:r>
        <w:br/>
      </w:r>
      <w:r>
        <w:rPr>
          <w:rStyle w:val="VerbatimChar"/>
        </w:rPr>
        <w:t xml:space="preserve">├── .env.example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kaggle/</w:t>
      </w:r>
      <w:r>
        <w:br/>
      </w:r>
      <w:r>
        <w:rPr>
          <w:rStyle w:val="VerbatimChar"/>
        </w:rPr>
        <w:t xml:space="preserve">│   │   ├── README.md</w:t>
      </w:r>
      <w:r>
        <w:br/>
      </w:r>
      <w:r>
        <w:rPr>
          <w:rStyle w:val="VerbatimChar"/>
        </w:rPr>
        <w:t xml:space="preserve">│   │   └── selected-dataset.csv</w:t>
      </w:r>
      <w:r>
        <w:br/>
      </w:r>
      <w:r>
        <w:rPr>
          <w:rStyle w:val="VerbatimChar"/>
        </w:rPr>
        <w:t xml:space="preserve">│   ├── processed/</w:t>
      </w:r>
      <w:r>
        <w:br/>
      </w:r>
      <w:r>
        <w:rPr>
          <w:rStyle w:val="VerbatimChar"/>
        </w:rPr>
        <w:t xml:space="preserve">│   │   └── modeling_table.parquet</w:t>
      </w:r>
      <w:r>
        <w:br/>
      </w:r>
      <w:r>
        <w:rPr>
          <w:rStyle w:val="VerbatimChar"/>
        </w:rPr>
        <w:t xml:space="preserve">│   ├── synthetic_enrichment/</w:t>
      </w:r>
      <w:r>
        <w:br/>
      </w:r>
      <w:r>
        <w:rPr>
          <w:rStyle w:val="VerbatimChar"/>
        </w:rPr>
        <w:t xml:space="preserve">│   │   ├── offer_events.sample.csv</w:t>
      </w:r>
      <w:r>
        <w:br/>
      </w:r>
      <w:r>
        <w:rPr>
          <w:rStyle w:val="VerbatimChar"/>
        </w:rPr>
        <w:t xml:space="preserve">│   │   ├── offer_catalog.sample.csv</w:t>
      </w:r>
      <w:r>
        <w:br/>
      </w:r>
      <w:r>
        <w:rPr>
          <w:rStyle w:val="VerbatimChar"/>
        </w:rPr>
        <w:t xml:space="preserve">│   │   └── delayed_rewards.sample.csv</w:t>
      </w:r>
      <w:r>
        <w:br/>
      </w:r>
      <w:r>
        <w:rPr>
          <w:rStyle w:val="VerbatimChar"/>
        </w:rPr>
        <w:t xml:space="preserve">│   └── golden_set/</w:t>
      </w:r>
      <w:r>
        <w:br/>
      </w:r>
      <w:r>
        <w:rPr>
          <w:rStyle w:val="VerbatimChar"/>
        </w:rPr>
        <w:t xml:space="preserve">│       └── evaluation_cases.jsonl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architecture-azure.md</w:t>
      </w:r>
      <w:r>
        <w:br/>
      </w:r>
      <w:r>
        <w:rPr>
          <w:rStyle w:val="VerbatimChar"/>
        </w:rPr>
        <w:t xml:space="preserve">│   ├── model-card.md</w:t>
      </w:r>
      <w:r>
        <w:br/>
      </w:r>
      <w:r>
        <w:rPr>
          <w:rStyle w:val="VerbatimChar"/>
        </w:rPr>
        <w:t xml:space="preserve">│   ├── system-card.md</w:t>
      </w:r>
      <w:r>
        <w:br/>
      </w:r>
      <w:r>
        <w:rPr>
          <w:rStyle w:val="VerbatimChar"/>
        </w:rPr>
        <w:t xml:space="preserve">│   ├── lgpd-plan.md</w:t>
      </w:r>
      <w:r>
        <w:br/>
      </w:r>
      <w:r>
        <w:rPr>
          <w:rStyle w:val="VerbatimChar"/>
        </w:rPr>
        <w:t xml:space="preserve">│   ├── algorithmic-strategy.md</w:t>
      </w:r>
      <w:r>
        <w:br/>
      </w:r>
      <w:r>
        <w:rPr>
          <w:rStyle w:val="VerbatimChar"/>
        </w:rPr>
        <w:t xml:space="preserve">│   └── demo-day-pitch.md</w:t>
      </w:r>
      <w:r>
        <w:br/>
      </w:r>
      <w:r>
        <w:rPr>
          <w:rStyle w:val="VerbatimChar"/>
        </w:rPr>
        <w:t xml:space="preserve">├── notebooks/</w:t>
      </w:r>
      <w:r>
        <w:br/>
      </w:r>
      <w:r>
        <w:rPr>
          <w:rStyle w:val="VerbatimChar"/>
        </w:rPr>
        <w:t xml:space="preserve">│   └── 01-eda-e-baseline.ipynb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datathon_offerexp/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├── contracts.py</w:t>
      </w:r>
      <w:r>
        <w:br/>
      </w:r>
      <w:r>
        <w:rPr>
          <w:rStyle w:val="VerbatimChar"/>
        </w:rPr>
        <w:t xml:space="preserve">│   │   ├── policies.py</w:t>
      </w:r>
      <w:r>
        <w:br/>
      </w:r>
      <w:r>
        <w:rPr>
          <w:rStyle w:val="VerbatimChar"/>
        </w:rPr>
        <w:t xml:space="preserve">│   │   ├── evaluation.py</w:t>
      </w:r>
      <w:r>
        <w:br/>
      </w:r>
      <w:r>
        <w:rPr>
          <w:rStyle w:val="VerbatimChar"/>
        </w:rPr>
        <w:t xml:space="preserve">│   │   ├── decision_log.py</w:t>
      </w:r>
      <w:r>
        <w:br/>
      </w:r>
      <w:r>
        <w:rPr>
          <w:rStyle w:val="VerbatimChar"/>
        </w:rPr>
        <w:t xml:space="preserve">│   │   └── app.py</w:t>
      </w:r>
      <w:r>
        <w:br/>
      </w:r>
      <w:r>
        <w:rPr>
          <w:rStyle w:val="VerbatimChar"/>
        </w:rPr>
        <w:t xml:space="preserve">│   └── tests/</w:t>
      </w:r>
      <w:r>
        <w:br/>
      </w:r>
      <w:r>
        <w:rPr>
          <w:rStyle w:val="VerbatimChar"/>
        </w:rPr>
        <w:t xml:space="preserve">│       ├── test_contracts.py</w:t>
      </w:r>
      <w:r>
        <w:br/>
      </w:r>
      <w:r>
        <w:rPr>
          <w:rStyle w:val="VerbatimChar"/>
        </w:rPr>
        <w:t xml:space="preserve">│       ├── test_policies.py</w:t>
      </w:r>
      <w:r>
        <w:br/>
      </w:r>
      <w:r>
        <w:rPr>
          <w:rStyle w:val="VerbatimChar"/>
        </w:rPr>
        <w:t xml:space="preserve">│       └── test_decision_log.py</w:t>
      </w:r>
      <w:r>
        <w:br/>
      </w:r>
      <w:r>
        <w:rPr>
          <w:rStyle w:val="VerbatimChar"/>
        </w:rPr>
        <w:t xml:space="preserve">├── infra/</w:t>
      </w:r>
      <w:r>
        <w:br/>
      </w:r>
      <w:r>
        <w:rPr>
          <w:rStyle w:val="VerbatimChar"/>
        </w:rPr>
        <w:t xml:space="preserve">│   └── azure/</w:t>
      </w:r>
      <w:r>
        <w:br/>
      </w:r>
      <w:r>
        <w:rPr>
          <w:rStyle w:val="VerbatimChar"/>
        </w:rPr>
        <w:t xml:space="preserve">│       ├── architecture.md</w:t>
      </w:r>
      <w:r>
        <w:br/>
      </w:r>
      <w:r>
        <w:rPr>
          <w:rStyle w:val="VerbatimChar"/>
        </w:rPr>
        <w:t xml:space="preserve">│       └── deployment-plan.md</w:t>
      </w:r>
      <w:r>
        <w:br/>
      </w:r>
      <w:r>
        <w:rPr>
          <w:rStyle w:val="VerbatimChar"/>
        </w:rPr>
        <w:t xml:space="preserve">└── reports/</w:t>
      </w:r>
      <w:r>
        <w:br/>
      </w:r>
      <w:r>
        <w:rPr>
          <w:rStyle w:val="VerbatimChar"/>
        </w:rPr>
        <w:t xml:space="preserve">    ├── data-generation.md</w:t>
      </w:r>
      <w:r>
        <w:br/>
      </w:r>
      <w:r>
        <w:rPr>
          <w:rStyle w:val="VerbatimChar"/>
        </w:rPr>
        <w:t xml:space="preserve">    ├── offline-evaluation.md</w:t>
      </w:r>
      <w:r>
        <w:br/>
      </w:r>
      <w:r>
        <w:rPr>
          <w:rStyle w:val="VerbatimChar"/>
        </w:rPr>
        <w:t xml:space="preserve">    ├── fairness-review.md</w:t>
      </w:r>
      <w:r>
        <w:br/>
      </w:r>
      <w:r>
        <w:rPr>
          <w:rStyle w:val="VerbatimChar"/>
        </w:rPr>
        <w:t xml:space="preserve">    ├── retraining-approval-plan.md</w:t>
      </w:r>
      <w:r>
        <w:br/>
      </w:r>
      <w:r>
        <w:rPr>
          <w:rStyle w:val="VerbatimChar"/>
        </w:rPr>
        <w:t xml:space="preserve">    └── observability-plan.md</w:t>
      </w:r>
    </w:p>
    <w:bookmarkEnd w:id="27"/>
    <w:bookmarkStart w:id="33" w:name="exemplos-de-código-didáticos"/>
    <w:p>
      <w:pPr>
        <w:pStyle w:val="Heading2"/>
      </w:pPr>
      <w:r>
        <w:t xml:space="preserve">Exemplos de código didáticos</w:t>
      </w:r>
    </w:p>
    <w:p>
      <w:pPr>
        <w:pStyle w:val="FirstParagraph"/>
      </w:pPr>
      <w:r>
        <w:t xml:space="preserve">Os exemplos abaixo ilustram contratos mínimos. Eles não substituem a solução do grupo e não devem ser tratados como implementação final.</w:t>
      </w:r>
    </w:p>
    <w:bookmarkStart w:id="28" w:name="evento-sintético-de-oferta"/>
    <w:p>
      <w:pPr>
        <w:pStyle w:val="Heading3"/>
      </w:pPr>
      <w:r>
        <w:t xml:space="preserve">Evento sintético de oferta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Literal</w:t>
      </w:r>
      <w:r>
        <w:br/>
      </w:r>
      <w:r>
        <w:br/>
      </w:r>
      <w:r>
        <w:rPr>
          <w:rStyle w:val="NormalTok"/>
        </w:rPr>
        <w:t xml:space="preserve">Arm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Literal[</w:t>
      </w:r>
      <w:r>
        <w:rPr>
          <w:rStyle w:val="StringTok"/>
        </w:rPr>
        <w:t xml:space="preserve">"sem_oferta"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"educacao_financeira"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"simulador_credito"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Channel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Literal[</w:t>
      </w:r>
      <w:r>
        <w:rPr>
          <w:rStyle w:val="StringTok"/>
        </w:rPr>
        <w:t xml:space="preserve">"app"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Segment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Literal[</w:t>
      </w:r>
      <w:r>
        <w:rPr>
          <w:rStyle w:val="StringTok"/>
        </w:rPr>
        <w:t xml:space="preserve">"novo"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"recorrente"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"reativado"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slots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SyntheticOfferEvent:</w:t>
      </w:r>
      <w:r>
        <w:br/>
      </w:r>
      <w:r>
        <w:rPr>
          <w:rStyle w:val="NormalTok"/>
        </w:rPr>
        <w:t xml:space="preserve">    event_id: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occurred_at: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subject_key: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channel: Channel</w:t>
      </w:r>
      <w:r>
        <w:br/>
      </w:r>
      <w:r>
        <w:rPr>
          <w:rStyle w:val="NormalTok"/>
        </w:rPr>
        <w:t xml:space="preserve">    segment: Segment</w:t>
      </w:r>
      <w:r>
        <w:br/>
      </w:r>
      <w:r>
        <w:rPr>
          <w:rStyle w:val="NormalTok"/>
        </w:rPr>
        <w:t xml:space="preserve">    available_arms: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[Arm, ...]</w:t>
      </w:r>
      <w:r>
        <w:br/>
      </w:r>
      <w:r>
        <w:rPr>
          <w:rStyle w:val="NormalTok"/>
        </w:rPr>
        <w:t xml:space="preserve">    context: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chosen_arm: Arm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reward: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bookmarkEnd w:id="28"/>
    <w:bookmarkStart w:id="29" w:name="seleção-mínima-de-braço"/>
    <w:p>
      <w:pPr>
        <w:pStyle w:val="Heading3"/>
      </w:pPr>
      <w:r>
        <w:t xml:space="preserve">Seleção mínima de braço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collections.abc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Mapping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Literal</w:t>
      </w:r>
      <w:r>
        <w:br/>
      </w:r>
      <w:r>
        <w:br/>
      </w:r>
      <w:r>
        <w:rPr>
          <w:rStyle w:val="NormalTok"/>
        </w:rPr>
        <w:t xml:space="preserve">PolicyMode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Literal[</w:t>
      </w:r>
      <w:r>
        <w:rPr>
          <w:rStyle w:val="StringTok"/>
        </w:rPr>
        <w:t xml:space="preserve">"baseline"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"adaptive"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select_arm(</w:t>
      </w:r>
      <w:r>
        <w:br/>
      </w:r>
      <w:r>
        <w:rPr>
          <w:rStyle w:val="NormalTok"/>
        </w:rPr>
        <w:t xml:space="preserve">    event: SyntheticOfferEvent,</w:t>
      </w:r>
      <w:r>
        <w:br/>
      </w:r>
      <w:r>
        <w:rPr>
          <w:rStyle w:val="NormalTok"/>
        </w:rPr>
        <w:t xml:space="preserve">    estimated_scores: Mapping[Arm,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mode: PolicyMode,</w:t>
      </w:r>
      <w:r>
        <w:br/>
      </w:r>
      <w:r>
        <w:rPr>
          <w:rStyle w:val="NormalTok"/>
        </w:rPr>
        <w:t xml:space="preserve">    explore_rate: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rng: random.Random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Arm: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event.available_arms: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"Evento sem alternativas elegiveis."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random.Random()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"baseline"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event.available_arms[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rng.random()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explore_rate: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rng.choice(event.available_arms)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(event.available_arms,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arm: estimated_scores.get(arm,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))</w:t>
      </w:r>
    </w:p>
    <w:bookmarkEnd w:id="29"/>
    <w:bookmarkStart w:id="30" w:name="registro-auditável-de-decisão"/>
    <w:p>
      <w:pPr>
        <w:pStyle w:val="Heading3"/>
      </w:pPr>
      <w:r>
        <w:t xml:space="preserve">Registro auditável de decisão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asdict,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timezone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slots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DecisionLog:</w:t>
      </w:r>
      <w:r>
        <w:br/>
      </w:r>
      <w:r>
        <w:rPr>
          <w:rStyle w:val="NormalTok"/>
        </w:rPr>
        <w:t xml:space="preserve">    decision_id: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event_id: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policy_version: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selected_arm: Arm</w:t>
      </w:r>
      <w:r>
        <w:br/>
      </w:r>
      <w:r>
        <w:rPr>
          <w:rStyle w:val="NormalTok"/>
        </w:rPr>
        <w:t xml:space="preserve">    mode: PolicyMode</w:t>
      </w:r>
      <w:r>
        <w:br/>
      </w:r>
      <w:r>
        <w:rPr>
          <w:rStyle w:val="NormalTok"/>
        </w:rPr>
        <w:t xml:space="preserve">    exploration: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reason_codes: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...]</w:t>
      </w:r>
      <w:r>
        <w:br/>
      </w:r>
      <w:r>
        <w:rPr>
          <w:rStyle w:val="NormalTok"/>
        </w:rPr>
        <w:t xml:space="preserve">    created_at: </w:t>
      </w:r>
      <w:r>
        <w:rPr>
          <w:rStyle w:val="BuiltInTok"/>
        </w:rPr>
        <w:t xml:space="preserve">str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decision_log_to_record(log: DecisionLog)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asdict(log)</w:t>
      </w:r>
      <w:r>
        <w:br/>
      </w:r>
      <w:r>
        <w:br/>
      </w:r>
      <w:r>
        <w:br/>
      </w:r>
      <w:r>
        <w:rPr>
          <w:rStyle w:val="NormalTok"/>
        </w:rPr>
        <w:t xml:space="preserve">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DecisionLog(</w:t>
      </w:r>
      <w:r>
        <w:br/>
      </w:r>
      <w:r>
        <w:rPr>
          <w:rStyle w:val="NormalTok"/>
        </w:rPr>
        <w:t xml:space="preserve">    decision_id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"dec_sintetica_001"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event_id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"evt_sintetico_001"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policy_version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"policy-demo-v0"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selected_arm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"educacao_financeira"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"adaptive"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exploration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reason_codes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"elegivel"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"maior_score_sintetico"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datetime.now(timezone.utc).isoformat(),</w:t>
      </w:r>
      <w:r>
        <w:br/>
      </w:r>
      <w:r>
        <w:rPr>
          <w:rStyle w:val="NormalTok"/>
        </w:rPr>
        <w:t xml:space="preserve">)</w:t>
      </w:r>
    </w:p>
    <w:bookmarkEnd w:id="30"/>
    <w:bookmarkStart w:id="31" w:name="entregáveis-esperados"/>
    <w:p>
      <w:pPr>
        <w:pStyle w:val="Heading3"/>
      </w:pPr>
      <w:r>
        <w:t xml:space="preserve">Entregáveis esperados</w:t>
      </w:r>
    </w:p>
    <w:p>
      <w:pPr>
        <w:pStyle w:val="Compact"/>
        <w:numPr>
          <w:ilvl w:val="0"/>
          <w:numId w:val="1011"/>
        </w:numPr>
      </w:pPr>
      <w:r>
        <w:t xml:space="preserve">Definição formal de braços, contexto, recompensa e horizonte temporal.</w:t>
      </w:r>
    </w:p>
    <w:p>
      <w:pPr>
        <w:pStyle w:val="Compact"/>
        <w:numPr>
          <w:ilvl w:val="0"/>
          <w:numId w:val="1011"/>
        </w:numPr>
      </w:pPr>
      <w:r>
        <w:t xml:space="preserve">Simulação ou backtesting comparando política baseline e política adaptativa.</w:t>
      </w:r>
    </w:p>
    <w:p>
      <w:pPr>
        <w:pStyle w:val="Compact"/>
        <w:numPr>
          <w:ilvl w:val="0"/>
          <w:numId w:val="1011"/>
        </w:numPr>
      </w:pPr>
      <w:r>
        <w:t xml:space="preserve">Tratamento explícito de cold-start e recompensas atrasadas.</w:t>
      </w:r>
    </w:p>
    <w:p>
      <w:pPr>
        <w:pStyle w:val="Compact"/>
        <w:numPr>
          <w:ilvl w:val="0"/>
          <w:numId w:val="1011"/>
        </w:numPr>
      </w:pPr>
      <w:r>
        <w:t xml:space="preserve">Logs explicáveis de decisão.</w:t>
      </w:r>
    </w:p>
    <w:p>
      <w:pPr>
        <w:pStyle w:val="Compact"/>
        <w:numPr>
          <w:ilvl w:val="0"/>
          <w:numId w:val="1011"/>
        </w:numPr>
      </w:pPr>
      <w:r>
        <w:t xml:space="preserve">Análise de fairness de exposição entre segmentos sintéticos elegíveis.</w:t>
      </w:r>
    </w:p>
    <w:p>
      <w:pPr>
        <w:pStyle w:val="Compact"/>
        <w:numPr>
          <w:ilvl w:val="0"/>
          <w:numId w:val="1011"/>
        </w:numPr>
      </w:pPr>
      <w:r>
        <w:t xml:space="preserve">System Card com riscos de manipulação, reward hacking, viés e uso indevido.</w:t>
      </w:r>
    </w:p>
    <w:bookmarkEnd w:id="31"/>
    <w:bookmarkStart w:id="32" w:name="guardrails-de-publicação"/>
    <w:p>
      <w:pPr>
        <w:pStyle w:val="Heading3"/>
      </w:pPr>
      <w:r>
        <w:t xml:space="preserve">Guardrails de publicação</w:t>
      </w:r>
    </w:p>
    <w:p>
      <w:pPr>
        <w:pStyle w:val="Compact"/>
        <w:numPr>
          <w:ilvl w:val="0"/>
          <w:numId w:val="1012"/>
        </w:numPr>
      </w:pPr>
      <w:r>
        <w:t xml:space="preserve">Não publique uma arquitetura como única resposta esperada.</w:t>
      </w:r>
    </w:p>
    <w:p>
      <w:pPr>
        <w:pStyle w:val="Compact"/>
        <w:numPr>
          <w:ilvl w:val="0"/>
          <w:numId w:val="1012"/>
        </w:numPr>
      </w:pPr>
      <w:r>
        <w:t xml:space="preserve">Não transforme o assistente em recomendador financeiro autônomo.</w:t>
      </w:r>
    </w:p>
    <w:p>
      <w:pPr>
        <w:pStyle w:val="Compact"/>
        <w:numPr>
          <w:ilvl w:val="0"/>
          <w:numId w:val="1012"/>
        </w:numPr>
      </w:pPr>
      <w:r>
        <w:t xml:space="preserve">Não use dados reais nem simule que a solução está pronta para produção regulada.</w:t>
      </w:r>
    </w:p>
    <w:p>
      <w:pPr>
        <w:pStyle w:val="Compact"/>
        <w:numPr>
          <w:ilvl w:val="0"/>
          <w:numId w:val="1012"/>
        </w:numPr>
      </w:pPr>
      <w:r>
        <w:t xml:space="preserve">Não otimize apenas clique se isso conflitar com suitability, privacidade ou experiência do cliente.</w:t>
      </w:r>
    </w:p>
    <w:bookmarkEnd w:id="32"/>
    <w:bookmarkEnd w:id="33"/>
    <w:bookmarkStart w:id="34" w:name="Xbfc8625d37d5ec4d262fbc1a23e68d328b6a063"/>
    <w:p>
      <w:pPr>
        <w:pStyle w:val="Heading2"/>
      </w:pPr>
      <w:r>
        <w:t xml:space="preserve">Objetivo final: uma plataforma que aprende de forma automática</w:t>
      </w:r>
    </w:p>
    <w:p>
      <w:pPr>
        <w:pStyle w:val="FirstParagraph"/>
      </w:pPr>
      <w:r>
        <w:t xml:space="preserve">O alvo do Datathon não é apresentar um relatório com a melhor variante escolhida pela equipe. O alvo é entregar</w:t>
      </w:r>
      <w:r>
        <w:t xml:space="preserve"> </w:t>
      </w:r>
      <w:r>
        <w:rPr>
          <w:b/>
          <w:bCs/>
        </w:rPr>
        <w:t xml:space="preserve">uma plataforma que aprende de forma automática</w:t>
      </w:r>
      <w:r>
        <w:t xml:space="preserve">, que ajusta a política de decisão à medida que os eventos chegam e as recompensas se confirmam.</w:t>
      </w:r>
    </w:p>
    <w:p>
      <w:pPr>
        <w:pStyle w:val="BodyText"/>
      </w:pPr>
      <w:r>
        <w:t xml:space="preserve">A diferença é estrutural:</w:t>
      </w:r>
    </w:p>
    <w:p>
      <w:pPr>
        <w:pStyle w:val="Compact"/>
        <w:numPr>
          <w:ilvl w:val="0"/>
          <w:numId w:val="1013"/>
        </w:numPr>
      </w:pPr>
      <w:r>
        <w:t xml:space="preserve">Em um</w:t>
      </w:r>
      <w:r>
        <w:t xml:space="preserve"> </w:t>
      </w:r>
      <w:r>
        <w:rPr>
          <w:b/>
          <w:bCs/>
        </w:rPr>
        <w:t xml:space="preserve">teste A/B convencional</w:t>
      </w:r>
      <w:r>
        <w:t xml:space="preserve">, o sistema apenas executa duas variantes em paralelo. Quem decide qual variante vence é um</w:t>
      </w:r>
      <w:r>
        <w:t xml:space="preserve"> </w:t>
      </w:r>
      <w:r>
        <w:rPr>
          <w:b/>
          <w:bCs/>
        </w:rPr>
        <w:t xml:space="preserve">Cientista de Dados</w:t>
      </w:r>
      <w:r>
        <w:t xml:space="preserve">, ao final do experimento, olhando intervalos de confiança em uma planilha ou notebook. A decisão é humana, lenta e tomada uma vez só.</w:t>
      </w:r>
    </w:p>
    <w:p>
      <w:pPr>
        <w:pStyle w:val="Compact"/>
        <w:numPr>
          <w:ilvl w:val="0"/>
          <w:numId w:val="1013"/>
        </w:numPr>
      </w:pPr>
      <w:r>
        <w:t xml:space="preserve">Em</w:t>
      </w:r>
      <w:r>
        <w:t xml:space="preserve"> </w:t>
      </w:r>
      <w:r>
        <w:rPr>
          <w:b/>
          <w:bCs/>
        </w:rPr>
        <w:t xml:space="preserve">Multi-Armed Bandits</w:t>
      </w:r>
      <w:r>
        <w:t xml:space="preserve">, é o</w:t>
      </w:r>
      <w:r>
        <w:t xml:space="preserve"> </w:t>
      </w:r>
      <w:r>
        <w:rPr>
          <w:b/>
          <w:bCs/>
        </w:rPr>
        <w:t xml:space="preserve">próprio sistema</w:t>
      </w:r>
      <w:r>
        <w:t xml:space="preserve"> </w:t>
      </w:r>
      <w:r>
        <w:t xml:space="preserve">que identifica, decisão a decisão, qual a melhor ação a executar com maior retorno potencial. A política se atualiza a cada recompensa observada, equilibrando exploração de braços incertos e explotação dos braços que já demonstraram desempenho. Não há um momento único de decisão humana: há um ciclo contínuo de aprendizado.</w:t>
      </w:r>
    </w:p>
    <w:p>
      <w:pPr>
        <w:pStyle w:val="FirstParagraph"/>
      </w:pPr>
      <w:r>
        <w:t xml:space="preserve">A banca avalia se a entrega do grupo se comporta como plataforma, e não como experimento pontual. Para isso observa:</w:t>
      </w:r>
    </w:p>
    <w:p>
      <w:pPr>
        <w:pStyle w:val="Compact"/>
        <w:numPr>
          <w:ilvl w:val="0"/>
          <w:numId w:val="1014"/>
        </w:numPr>
      </w:pPr>
      <w:r>
        <w:t xml:space="preserve">Se o</w:t>
      </w:r>
      <w:r>
        <w:t xml:space="preserve"> </w:t>
      </w:r>
      <w:r>
        <w:rPr>
          <w:b/>
          <w:bCs/>
        </w:rPr>
        <w:t xml:space="preserve">serviço entrega decisões automáticas</w:t>
      </w:r>
      <w:r>
        <w:t xml:space="preserve"> </w:t>
      </w:r>
      <w:r>
        <w:t xml:space="preserve">a partir do contexto recebido, sem revisão manual a cada chamada.</w:t>
      </w:r>
    </w:p>
    <w:p>
      <w:pPr>
        <w:pStyle w:val="Compact"/>
        <w:numPr>
          <w:ilvl w:val="0"/>
          <w:numId w:val="1014"/>
        </w:numPr>
      </w:pPr>
      <w:r>
        <w:t xml:space="preserve">Se há</w:t>
      </w:r>
      <w:r>
        <w:t xml:space="preserve"> </w:t>
      </w:r>
      <w:r>
        <w:rPr>
          <w:b/>
          <w:bCs/>
        </w:rPr>
        <w:t xml:space="preserve">registro de recompensas e atualização da política</w:t>
      </w:r>
      <w:r>
        <w:t xml:space="preserve">, mesmo que em ambiente offline ou simulado.</w:t>
      </w:r>
    </w:p>
    <w:p>
      <w:pPr>
        <w:pStyle w:val="Compact"/>
        <w:numPr>
          <w:ilvl w:val="0"/>
          <w:numId w:val="1014"/>
        </w:numPr>
      </w:pPr>
      <w:r>
        <w:t xml:space="preserve">Se o</w:t>
      </w:r>
      <w:r>
        <w:t xml:space="preserve"> </w:t>
      </w:r>
      <w:r>
        <w:rPr>
          <w:b/>
          <w:bCs/>
        </w:rPr>
        <w:t xml:space="preserve">ciclo de retreino, teste, aprovação estruturada e promoção</w:t>
      </w:r>
      <w:r>
        <w:t xml:space="preserve"> </w:t>
      </w:r>
      <w:r>
        <w:t xml:space="preserve">está descrito e demonstrado, com critérios objetivos para colocar uma nova política em produção.</w:t>
      </w:r>
    </w:p>
    <w:p>
      <w:pPr>
        <w:pStyle w:val="Compact"/>
        <w:numPr>
          <w:ilvl w:val="0"/>
          <w:numId w:val="1014"/>
        </w:numPr>
      </w:pPr>
      <w:r>
        <w:t xml:space="preserve">Se a</w:t>
      </w:r>
      <w:r>
        <w:t xml:space="preserve"> </w:t>
      </w:r>
      <w:r>
        <w:rPr>
          <w:b/>
          <w:bCs/>
        </w:rPr>
        <w:t xml:space="preserve">arquitetura-alvo Azure</w:t>
      </w:r>
      <w:r>
        <w:t xml:space="preserve"> </w:t>
      </w:r>
      <w:r>
        <w:t xml:space="preserve">sustenta esse ciclo continuamente, com componentes para ingestão, decisão, registro, avaliação e governança.</w:t>
      </w:r>
    </w:p>
    <w:p>
      <w:pPr>
        <w:pStyle w:val="Compact"/>
        <w:numPr>
          <w:ilvl w:val="0"/>
          <w:numId w:val="1014"/>
        </w:numPr>
      </w:pPr>
      <w:r>
        <w:t xml:space="preserve">Se o</w:t>
      </w:r>
      <w:r>
        <w:t xml:space="preserve"> </w:t>
      </w:r>
      <w:r>
        <w:rPr>
          <w:b/>
          <w:bCs/>
        </w:rPr>
        <w:t xml:space="preserve">golden set, os guardrails e o monitoramento</w:t>
      </w:r>
      <w:r>
        <w:t xml:space="preserve"> </w:t>
      </w:r>
      <w:r>
        <w:t xml:space="preserve">são usados para barrar políticas que aprenderam atalhos errados ou exploraram caminhos indesejados.</w:t>
      </w:r>
    </w:p>
    <w:p>
      <w:pPr>
        <w:pStyle w:val="FirstParagraph"/>
      </w:pPr>
      <w:r>
        <w:t xml:space="preserve">O Demo Day premia grupos que mostram um sistema que aprende sozinho qual é a melhor decisão a tomar, com humanos no papel de</w:t>
      </w:r>
      <w:r>
        <w:t xml:space="preserve"> </w:t>
      </w:r>
      <w:r>
        <w:rPr>
          <w:b/>
          <w:bCs/>
        </w:rPr>
        <w:t xml:space="preserve">revisores e responsáveis pela governança</w:t>
      </w:r>
      <w:r>
        <w:t xml:space="preserve"> </w:t>
      </w:r>
      <w:r>
        <w:t xml:space="preserve">— e não no papel de juízes de cada experimento.</w:t>
      </w:r>
    </w:p>
    <w:bookmarkEnd w:id="34"/>
    <w:bookmarkStart w:id="35" w:name="proveniência-e-revisão"/>
    <w:p>
      <w:pPr>
        <w:pStyle w:val="Heading2"/>
      </w:pPr>
      <w:r>
        <w:t xml:space="preserve">Proveniência e revisão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Família de artefato</w:t>
            </w:r>
          </w:p>
        </w:tc>
        <w:tc>
          <w:tcPr/>
          <w:p>
            <w:pPr>
              <w:pStyle w:val="Compact"/>
            </w:pPr>
            <w:r>
              <w:t xml:space="preserve">Datathon business-case packaging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Fonte</w:t>
            </w:r>
          </w:p>
        </w:tc>
        <w:tc>
          <w:tcPr/>
          <w:p>
            <w:pPr>
              <w:pStyle w:val="Compact"/>
            </w:pPr>
            <w:r>
              <w:t xml:space="preserve">Intake local de casos financeiros para Datathon, sanitizado para publicação pública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de captura</w:t>
            </w:r>
          </w:p>
        </w:tc>
        <w:tc>
          <w:tcPr/>
          <w:p>
            <w:pPr>
              <w:pStyle w:val="Compact"/>
            </w:pPr>
            <w:r>
              <w:t xml:space="preserve">Maio/2026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de publicação</w:t>
            </w:r>
          </w:p>
        </w:tc>
        <w:tc>
          <w:tcPr/>
          <w:p>
            <w:pPr>
              <w:pStyle w:val="Compact"/>
            </w:pPr>
            <w:r>
              <w:t xml:space="preserve">Material didático sintético e public-safe para MLET7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de sanitização</w:t>
            </w:r>
          </w:p>
        </w:tc>
        <w:tc>
          <w:tcPr/>
          <w:p>
            <w:pPr>
              <w:pStyle w:val="Compact"/>
            </w:pPr>
            <w:r>
              <w:t xml:space="preserve">Removidos detalhes privados, arquiteturas prescritivas, thresholds operacionais e atalhos de avaliação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Destino canônico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fase-05-deploy-avancado-de-ia-generativa/datathon/7mlet/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Revisão</w:t>
            </w:r>
          </w:p>
        </w:tc>
        <w:tc>
          <w:tcPr/>
          <w:p>
            <w:pPr>
              <w:pStyle w:val="Compact"/>
            </w:pPr>
            <w:r>
              <w:t xml:space="preserve">Coordenação MLET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de revisão</w:t>
            </w:r>
          </w:p>
        </w:tc>
        <w:tc>
          <w:tcPr/>
          <w:p>
            <w:pPr>
              <w:pStyle w:val="Compact"/>
            </w:pPr>
            <w:r>
              <w:t xml:space="preserve">2026-05-22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Restrições residuais</w:t>
            </w:r>
          </w:p>
        </w:tc>
        <w:tc>
          <w:tcPr/>
          <w:p>
            <w:pPr>
              <w:pStyle w:val="Compact"/>
            </w:pPr>
            <w:r>
              <w:t xml:space="preserve">Usar somente como enquadramento de problema; não tratar como solução oficial ou especificação de produção</w:t>
            </w:r>
          </w:p>
        </w:tc>
      </w:tr>
    </w:tbl>
    <w:bookmarkEnd w:id="35"/>
    <w:bookmarkStart w:id="36" w:name="entregáveis-obrigatórios"/>
    <w:p>
      <w:pPr>
        <w:pStyle w:val="Heading2"/>
      </w:pPr>
      <w:r>
        <w:t xml:space="preserve">Entregáveis obrigatórios</w:t>
      </w:r>
    </w:p>
    <w:p>
      <w:pPr>
        <w:pStyle w:val="FirstParagraph"/>
      </w:pPr>
      <w:r>
        <w:t xml:space="preserve">Os entregáveis abaixo são organizados em nove etapas acumulativas (0–8). Cada etapa traz um objetivo, uma lista detalhada de artefatos técnicos exigidos e o critério de evidência de aceite que a banca usa para considerar a etapa cumprida. Uma etapa posterior não compensa uma etapa anterior ausente: um grupo com modelo sofisticado, mas sem dataset rastreável, avaliação reproduzível ou aprovação de ciclo de vida, é penalizado na validação técnica. A ausência de um subitem dentro de uma etapa não é compensada pela presença dos demais.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Etapa 0 — Organização do projeto.</w:t>
      </w:r>
    </w:p>
    <w:p>
      <w:pPr>
        <w:pStyle w:val="Compact"/>
        <w:numPr>
          <w:ilvl w:val="1"/>
          <w:numId w:val="1016"/>
        </w:numPr>
      </w:pPr>
      <w:r>
        <w:rPr>
          <w:i/>
          <w:iCs/>
        </w:rPr>
        <w:t xml:space="preserve">Objetivo:</w:t>
      </w:r>
      <w:r>
        <w:t xml:space="preserve"> </w:t>
      </w:r>
      <w:r>
        <w:t xml:space="preserve">preparar um repositório público reutilizável por outra pessoa sem contexto oral do grupo.</w:t>
      </w:r>
    </w:p>
    <w:p>
      <w:pPr>
        <w:pStyle w:val="Compact"/>
        <w:numPr>
          <w:ilvl w:val="1"/>
          <w:numId w:val="1016"/>
        </w:numPr>
      </w:pPr>
      <w:r>
        <w:t xml:space="preserve">URL pública do repositório com nome no padrão</w:t>
      </w:r>
      <w:r>
        <w:t xml:space="preserve"> </w:t>
      </w:r>
      <w:r>
        <w:rPr>
          <w:rStyle w:val="VerbatimChar"/>
        </w:rPr>
        <w:t xml:space="preserve">datathon-7mlet-grupo-XX</w:t>
      </w:r>
      <w:r>
        <w:t xml:space="preserve">.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com visão do problema, escopo, escolhas de design, instruções de execução local, mapa de pastas, lista de comandos e limitações.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pyproject.toml</w:t>
      </w:r>
      <w:r>
        <w:t xml:space="preserve"> </w:t>
      </w:r>
      <w:r>
        <w:t xml:space="preserve">declarando dependências, versão de Python, ponto de entrada e ferramentas de desenvolvimento.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.env.example</w:t>
      </w:r>
      <w:r>
        <w:t xml:space="preserve"> </w:t>
      </w:r>
      <w:r>
        <w:t xml:space="preserve">listando variáveis de ambiente necessárias, sem valores reais.</w:t>
      </w:r>
    </w:p>
    <w:p>
      <w:pPr>
        <w:pStyle w:val="Compact"/>
        <w:numPr>
          <w:ilvl w:val="1"/>
          <w:numId w:val="1016"/>
        </w:numPr>
      </w:pPr>
      <w:r>
        <w:t xml:space="preserve">Licença,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adequado e ausência de segredos, dados sensíveis ou modelos binários grandes versionados.</w:t>
      </w:r>
    </w:p>
    <w:p>
      <w:pPr>
        <w:pStyle w:val="Compact"/>
        <w:numPr>
          <w:ilvl w:val="1"/>
          <w:numId w:val="1016"/>
        </w:numPr>
      </w:pPr>
      <w:r>
        <w:t xml:space="preserve">Histórico de commits que mostre evolução do trabalho, não apenas um commit final.</w:t>
      </w:r>
    </w:p>
    <w:p>
      <w:pPr>
        <w:pStyle w:val="Compact"/>
        <w:numPr>
          <w:ilvl w:val="1"/>
          <w:numId w:val="1016"/>
        </w:numPr>
      </w:pPr>
      <w:r>
        <w:rPr>
          <w:i/>
          <w:iCs/>
        </w:rPr>
        <w:t xml:space="preserve">Evidência de aceite:</w:t>
      </w:r>
      <w:r>
        <w:t xml:space="preserve"> </w:t>
      </w:r>
      <w:r>
        <w:t xml:space="preserve">uma pessoa externa consegue instalar dependências, entender o fluxo e executar pelo menos um comando de validação sem precisar de explicação oral do grupo.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Etapa 1 — Base Kaggle e EDA.</w:t>
      </w:r>
    </w:p>
    <w:p>
      <w:pPr>
        <w:pStyle w:val="Compact"/>
        <w:numPr>
          <w:ilvl w:val="1"/>
          <w:numId w:val="1017"/>
        </w:numPr>
      </w:pPr>
      <w:r>
        <w:rPr>
          <w:i/>
          <w:iCs/>
        </w:rPr>
        <w:t xml:space="preserve">Objetivo:</w:t>
      </w:r>
      <w:r>
        <w:t xml:space="preserve"> </w:t>
      </w:r>
      <w:r>
        <w:t xml:space="preserve">transformar uma base Kaggle compatível em fonte confiável para experimentação.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data/kaggle/README.md</w:t>
      </w:r>
      <w:r>
        <w:t xml:space="preserve"> </w:t>
      </w:r>
      <w:r>
        <w:t xml:space="preserve">com link da base escolhida, versão usada, fonte, licença, limitações e instruções de download.</w:t>
      </w:r>
    </w:p>
    <w:p>
      <w:pPr>
        <w:pStyle w:val="Compact"/>
        <w:numPr>
          <w:ilvl w:val="1"/>
          <w:numId w:val="1017"/>
        </w:numPr>
      </w:pPr>
      <w:r>
        <w:t xml:space="preserve">Dicionário de dados, notebook de EDA e relatório de qualidade.</w:t>
      </w:r>
    </w:p>
    <w:p>
      <w:pPr>
        <w:pStyle w:val="Compact"/>
        <w:numPr>
          <w:ilvl w:val="1"/>
          <w:numId w:val="1017"/>
        </w:numPr>
      </w:pPr>
      <w:r>
        <w:t xml:space="preserve">Camada de dados em código que carrega a base, registra fonte/versão/licença e gera os datasets derivados documentados.</w:t>
      </w:r>
    </w:p>
    <w:p>
      <w:pPr>
        <w:pStyle w:val="Compact"/>
        <w:numPr>
          <w:ilvl w:val="1"/>
          <w:numId w:val="1017"/>
        </w:numPr>
      </w:pPr>
      <w:r>
        <w:t xml:space="preserve">Decisão documentada sobre colunas que geram vazamento temporal ou pós-contato, com justificativa de descarte ou tratamento.</w:t>
      </w:r>
    </w:p>
    <w:p>
      <w:pPr>
        <w:pStyle w:val="Compact"/>
        <w:numPr>
          <w:ilvl w:val="1"/>
          <w:numId w:val="1017"/>
        </w:numPr>
      </w:pPr>
      <w:r>
        <w:rPr>
          <w:i/>
          <w:iCs/>
        </w:rPr>
        <w:t xml:space="preserve">Evidência de aceite:</w:t>
      </w:r>
      <w:r>
        <w:t xml:space="preserve"> </w:t>
      </w:r>
      <w:r>
        <w:t xml:space="preserve">a banca consegue rastrear a origem do dataset, entender as variáveis usadas e verificar que não houve vazamento de informação pós-contato no modelo de decisão.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Etapa 2 — Enriquecimento sintético.</w:t>
      </w:r>
    </w:p>
    <w:p>
      <w:pPr>
        <w:pStyle w:val="Compact"/>
        <w:numPr>
          <w:ilvl w:val="1"/>
          <w:numId w:val="1018"/>
        </w:numPr>
      </w:pPr>
      <w:r>
        <w:rPr>
          <w:i/>
          <w:iCs/>
        </w:rPr>
        <w:t xml:space="preserve">Objetivo:</w:t>
      </w:r>
      <w:r>
        <w:t xml:space="preserve"> </w:t>
      </w:r>
      <w:r>
        <w:t xml:space="preserve">criar a camada de experimentação adaptativa sobre o dataset escolhido.</w:t>
      </w:r>
    </w:p>
    <w:p>
      <w:pPr>
        <w:pStyle w:val="Compact"/>
        <w:numPr>
          <w:ilvl w:val="1"/>
          <w:numId w:val="1018"/>
        </w:numPr>
      </w:pPr>
      <w:r>
        <w:t xml:space="preserve">Catálogo sintético de braços/ofertas separado fisicamente do dataset Kaggle original.</w:t>
      </w:r>
    </w:p>
    <w:p>
      <w:pPr>
        <w:pStyle w:val="Compact"/>
        <w:numPr>
          <w:ilvl w:val="1"/>
          <w:numId w:val="1018"/>
        </w:numPr>
      </w:pPr>
      <w:r>
        <w:t xml:space="preserve">Eventos de impressão, contexto de decisão e recompensas intermediárias com sementes aleatórias controladas.</w:t>
      </w:r>
    </w:p>
    <w:p>
      <w:pPr>
        <w:pStyle w:val="Compact"/>
        <w:numPr>
          <w:ilvl w:val="1"/>
          <w:numId w:val="1018"/>
        </w:numPr>
      </w:pPr>
      <w:r>
        <w:t xml:space="preserve">Modelagem de delayed rewards e do horizonte temporal documentada.</w:t>
      </w:r>
    </w:p>
    <w:p>
      <w:pPr>
        <w:pStyle w:val="Compact"/>
        <w:numPr>
          <w:ilvl w:val="1"/>
          <w:numId w:val="1018"/>
        </w:numPr>
      </w:pPr>
      <w:r>
        <w:t xml:space="preserve">Schema dos arquivos sintéticos e o processo de geração descritos no repositório.</w:t>
      </w:r>
    </w:p>
    <w:p>
      <w:pPr>
        <w:pStyle w:val="Compact"/>
        <w:numPr>
          <w:ilvl w:val="1"/>
          <w:numId w:val="1018"/>
        </w:numPr>
      </w:pPr>
      <w:r>
        <w:rPr>
          <w:i/>
          <w:iCs/>
        </w:rPr>
        <w:t xml:space="preserve">Evidência de aceite:</w:t>
      </w:r>
      <w:r>
        <w:t xml:space="preserve"> </w:t>
      </w:r>
      <w:r>
        <w:t xml:space="preserve">os arquivos sintéticos têm schema documentado e explicam como braços, contexto, recompensa e horizonte temporal foram definidos, separados da base Kaggle original.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Etapa 3 — Baseline e estratégia algorítmica.</w:t>
      </w:r>
    </w:p>
    <w:p>
      <w:pPr>
        <w:pStyle w:val="Compact"/>
        <w:numPr>
          <w:ilvl w:val="1"/>
          <w:numId w:val="1019"/>
        </w:numPr>
      </w:pPr>
      <w:r>
        <w:rPr>
          <w:i/>
          <w:iCs/>
        </w:rPr>
        <w:t xml:space="preserve">Objetivo:</w:t>
      </w:r>
      <w:r>
        <w:t xml:space="preserve"> </w:t>
      </w:r>
      <w:r>
        <w:t xml:space="preserve">comparar política simples com abordagem multi-armed bandit.</w:t>
      </w:r>
    </w:p>
    <w:p>
      <w:pPr>
        <w:pStyle w:val="Compact"/>
        <w:numPr>
          <w:ilvl w:val="1"/>
          <w:numId w:val="1019"/>
        </w:numPr>
      </w:pPr>
      <w:r>
        <w:t xml:space="preserve">Pelo menos um baseline determinístico implementado.</w:t>
      </w:r>
    </w:p>
    <w:p>
      <w:pPr>
        <w:pStyle w:val="Compact"/>
        <w:numPr>
          <w:ilvl w:val="1"/>
          <w:numId w:val="1019"/>
        </w:numPr>
      </w:pPr>
      <w:r>
        <w:t xml:space="preserve">Implementação ou simulação de Thompson Sampling.</w:t>
      </w:r>
    </w:p>
    <w:p>
      <w:pPr>
        <w:pStyle w:val="Compact"/>
        <w:numPr>
          <w:ilvl w:val="1"/>
          <w:numId w:val="1019"/>
        </w:numPr>
      </w:pPr>
      <w:r>
        <w:t xml:space="preserve">Referência experimental ou justificativa explícita de Nilos-UCB na análise algorítmica.</w:t>
      </w:r>
    </w:p>
    <w:p>
      <w:pPr>
        <w:pStyle w:val="Compact"/>
        <w:numPr>
          <w:ilvl w:val="1"/>
          <w:numId w:val="1019"/>
        </w:numPr>
      </w:pPr>
      <w:r>
        <w:t xml:space="preserve">Métricas de recompensa, regret, exploração e conversão simulada calculadas e reportadas.</w:t>
      </w:r>
    </w:p>
    <w:p>
      <w:pPr>
        <w:pStyle w:val="Compact"/>
        <w:numPr>
          <w:ilvl w:val="1"/>
          <w:numId w:val="1019"/>
        </w:numPr>
      </w:pPr>
      <w:r>
        <w:t xml:space="preserve">Tratamento de cold-start e de recompensas atrasadas descrito.</w:t>
      </w:r>
    </w:p>
    <w:p>
      <w:pPr>
        <w:pStyle w:val="Compact"/>
        <w:numPr>
          <w:ilvl w:val="1"/>
          <w:numId w:val="1019"/>
        </w:numPr>
      </w:pPr>
      <w:r>
        <w:rPr>
          <w:i/>
          <w:iCs/>
        </w:rPr>
        <w:t xml:space="preserve">Evidência de aceite:</w:t>
      </w:r>
      <w:r>
        <w:t xml:space="preserve"> </w:t>
      </w:r>
      <w:r>
        <w:t xml:space="preserve">o grupo apresenta comparação quantitativa entre baseline e política adaptativa, com justificativa do algoritmo escolhido e do tratamento de cold-start e delayed rewards.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Etapa 4 — Avaliação offline e golden set.</w:t>
      </w:r>
    </w:p>
    <w:p>
      <w:pPr>
        <w:pStyle w:val="Compact"/>
        <w:numPr>
          <w:ilvl w:val="1"/>
          <w:numId w:val="1020"/>
        </w:numPr>
      </w:pPr>
      <w:r>
        <w:rPr>
          <w:i/>
          <w:iCs/>
        </w:rPr>
        <w:t xml:space="preserve">Objetivo:</w:t>
      </w:r>
      <w:r>
        <w:t xml:space="preserve"> </w:t>
      </w:r>
      <w:r>
        <w:t xml:space="preserve">medir qualidade técnica e risco antes de servir a decisão.</w:t>
      </w:r>
    </w:p>
    <w:p>
      <w:pPr>
        <w:pStyle w:val="Compact"/>
        <w:numPr>
          <w:ilvl w:val="1"/>
          <w:numId w:val="1020"/>
        </w:numPr>
      </w:pPr>
      <w:r>
        <w:t xml:space="preserve">Script ou notebook de avaliação offline reproduzível por linha de comando ou notebook, com métricas justificadas.</w:t>
      </w:r>
    </w:p>
    <w:p>
      <w:pPr>
        <w:pStyle w:val="Compact"/>
        <w:numPr>
          <w:ilvl w:val="1"/>
          <w:numId w:val="1020"/>
        </w:numPr>
      </w:pPr>
      <w:r>
        <w:t xml:space="preserve">Golden set com no mínimo 20 exemplos versionados em</w:t>
      </w:r>
      <w:r>
        <w:t xml:space="preserve"> </w:t>
      </w:r>
      <w:r>
        <w:rPr>
          <w:rStyle w:val="VerbatimChar"/>
        </w:rPr>
        <w:t xml:space="preserve">data/golden_set/evaluation_cases.jsonl</w:t>
      </w:r>
      <w:r>
        <w:t xml:space="preserve"> </w:t>
      </w:r>
      <w:r>
        <w:t xml:space="preserve">ou formato equivalente.</w:t>
      </w:r>
    </w:p>
    <w:p>
      <w:pPr>
        <w:pStyle w:val="Compact"/>
        <w:numPr>
          <w:ilvl w:val="1"/>
          <w:numId w:val="1020"/>
        </w:numPr>
      </w:pPr>
      <w:r>
        <w:t xml:space="preserve">Cobertura do golden set sobre casos típicos, casos de borda, segmentos sintéticos elegíveis e cenários adversariais.</w:t>
      </w:r>
    </w:p>
    <w:p>
      <w:pPr>
        <w:pStyle w:val="Compact"/>
        <w:numPr>
          <w:ilvl w:val="1"/>
          <w:numId w:val="1020"/>
        </w:numPr>
      </w:pPr>
      <w:r>
        <w:t xml:space="preserve">Cada caso traz contexto, ação esperada, recompensa esperada, justificativa e critério explícito de pass/fail.</w:t>
      </w:r>
    </w:p>
    <w:p>
      <w:pPr>
        <w:pStyle w:val="Compact"/>
        <w:numPr>
          <w:ilvl w:val="1"/>
          <w:numId w:val="1020"/>
        </w:numPr>
      </w:pPr>
      <w:r>
        <w:t xml:space="preserve">Matriz de métricas, análise de sensibilidade e análise de fairness de exposição entre segmentos sintéticos.</w:t>
      </w:r>
    </w:p>
    <w:p>
      <w:pPr>
        <w:pStyle w:val="Compact"/>
        <w:numPr>
          <w:ilvl w:val="1"/>
          <w:numId w:val="1020"/>
        </w:numPr>
      </w:pPr>
      <w:r>
        <w:rPr>
          <w:i/>
          <w:iCs/>
        </w:rPr>
        <w:t xml:space="preserve">Evidência de aceite:</w:t>
      </w:r>
      <w:r>
        <w:t xml:space="preserve"> </w:t>
      </w:r>
      <w:r>
        <w:t xml:space="preserve">as métricas são reproduzíveis, o golden set está versionado, e a análise explica limitações, vieses e condições em que a política não deve ser usada.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Etapa 5 — Serviço ou interface demonstrável.</w:t>
      </w:r>
    </w:p>
    <w:p>
      <w:pPr>
        <w:pStyle w:val="Compact"/>
        <w:numPr>
          <w:ilvl w:val="1"/>
          <w:numId w:val="1021"/>
        </w:numPr>
      </w:pPr>
      <w:r>
        <w:rPr>
          <w:i/>
          <w:iCs/>
        </w:rPr>
        <w:t xml:space="preserve">Objetivo:</w:t>
      </w:r>
      <w:r>
        <w:t xml:space="preserve"> </w:t>
      </w:r>
      <w:r>
        <w:t xml:space="preserve">expor a decisão de forma controlada e auditável.</w:t>
      </w:r>
    </w:p>
    <w:p>
      <w:pPr>
        <w:pStyle w:val="Compact"/>
        <w:numPr>
          <w:ilvl w:val="1"/>
          <w:numId w:val="1021"/>
        </w:numPr>
      </w:pPr>
      <w:r>
        <w:t xml:space="preserve">API, CLI, notebook executável ou app demonstrável que recebe um contexto e devolve uma decisão.</w:t>
      </w:r>
    </w:p>
    <w:p>
      <w:pPr>
        <w:pStyle w:val="Compact"/>
        <w:numPr>
          <w:ilvl w:val="1"/>
          <w:numId w:val="1021"/>
        </w:numPr>
      </w:pPr>
      <w:r>
        <w:t xml:space="preserve">Contrato de entrada e saída documentado, com exemplo de chamada e tratamento de erro.</w:t>
      </w:r>
    </w:p>
    <w:p>
      <w:pPr>
        <w:pStyle w:val="Compact"/>
        <w:numPr>
          <w:ilvl w:val="1"/>
          <w:numId w:val="1021"/>
        </w:numPr>
      </w:pPr>
      <w:r>
        <w:t xml:space="preserve">Log auditável de decisão com reason codes, braço selecionado e versão da política aplicada.</w:t>
      </w:r>
    </w:p>
    <w:p>
      <w:pPr>
        <w:pStyle w:val="Compact"/>
        <w:numPr>
          <w:ilvl w:val="1"/>
          <w:numId w:val="1021"/>
        </w:numPr>
      </w:pPr>
      <w:r>
        <w:t xml:space="preserve">Comando único ou script que permita reproduzir o pipeline ponta a ponta em ambiente local.</w:t>
      </w:r>
    </w:p>
    <w:p>
      <w:pPr>
        <w:pStyle w:val="Compact"/>
        <w:numPr>
          <w:ilvl w:val="1"/>
          <w:numId w:val="1021"/>
        </w:numPr>
      </w:pPr>
      <w:r>
        <w:t xml:space="preserve">Suíte mínima de testes automatizados cobrindo contratos de dados, política e registro de decisão.</w:t>
      </w:r>
    </w:p>
    <w:p>
      <w:pPr>
        <w:pStyle w:val="Compact"/>
        <w:numPr>
          <w:ilvl w:val="1"/>
          <w:numId w:val="1021"/>
        </w:numPr>
      </w:pPr>
      <w:r>
        <w:rPr>
          <w:i/>
          <w:iCs/>
        </w:rPr>
        <w:t xml:space="preserve">Evidência de aceite:</w:t>
      </w:r>
      <w:r>
        <w:t xml:space="preserve"> </w:t>
      </w:r>
      <w:r>
        <w:t xml:space="preserve">a banca consegue executar uma decisão de exemplo, ver o braço selecionado, a justificativa, a versão da política e o registro auditável gerado.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Etapa 6 — Arquitetura-alvo Azure.</w:t>
      </w:r>
    </w:p>
    <w:p>
      <w:pPr>
        <w:pStyle w:val="Compact"/>
        <w:numPr>
          <w:ilvl w:val="1"/>
          <w:numId w:val="1022"/>
        </w:numPr>
      </w:pPr>
      <w:r>
        <w:rPr>
          <w:i/>
          <w:iCs/>
        </w:rPr>
        <w:t xml:space="preserve">Objetivo:</w:t>
      </w:r>
      <w:r>
        <w:t xml:space="preserve"> </w:t>
      </w:r>
      <w:r>
        <w:t xml:space="preserve">demonstrar como a solução seria operada em Azure.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docs/architecture-azure.md</w:t>
      </w:r>
      <w:r>
        <w:t xml:space="preserve"> </w:t>
      </w:r>
      <w:r>
        <w:t xml:space="preserve">com diagrama Mermaid e mapeamento de serviços Azure.</w:t>
      </w:r>
    </w:p>
    <w:p>
      <w:pPr>
        <w:pStyle w:val="Compact"/>
        <w:numPr>
          <w:ilvl w:val="1"/>
          <w:numId w:val="1022"/>
        </w:numPr>
      </w:pPr>
      <w:r>
        <w:t xml:space="preserve">Plano de deploy e estimativa qualitativa de custo.</w:t>
      </w:r>
    </w:p>
    <w:p>
      <w:pPr>
        <w:pStyle w:val="Compact"/>
        <w:numPr>
          <w:ilvl w:val="1"/>
          <w:numId w:val="1022"/>
        </w:numPr>
      </w:pPr>
      <w:r>
        <w:t xml:space="preserve">Cobertura das camadas de compute, API, dados, IA/RAG, observabilidade, segurança, identidade e governança.</w:t>
      </w:r>
    </w:p>
    <w:p>
      <w:pPr>
        <w:pStyle w:val="Compact"/>
        <w:numPr>
          <w:ilvl w:val="1"/>
          <w:numId w:val="1022"/>
        </w:numPr>
      </w:pPr>
      <w:r>
        <w:t xml:space="preserve">Plano de gestão de segredos e credenciais usando Azure Key Vault e Managed Identity.</w:t>
      </w:r>
    </w:p>
    <w:p>
      <w:pPr>
        <w:pStyle w:val="Compact"/>
        <w:numPr>
          <w:ilvl w:val="1"/>
          <w:numId w:val="1022"/>
        </w:numPr>
      </w:pPr>
      <w:r>
        <w:rPr>
          <w:i/>
          <w:iCs/>
        </w:rPr>
        <w:t xml:space="preserve">Evidência de aceite:</w:t>
      </w:r>
      <w:r>
        <w:t xml:space="preserve"> </w:t>
      </w:r>
      <w:r>
        <w:t xml:space="preserve">a arquitetura usa exclusivamente Azure, cobre as camadas acima e justifica trade-offs sem depender de outro provedor de nuvem.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Etapa 7 — Ciclo de vida MLOps.</w:t>
      </w:r>
    </w:p>
    <w:p>
      <w:pPr>
        <w:pStyle w:val="Compact"/>
        <w:numPr>
          <w:ilvl w:val="1"/>
          <w:numId w:val="1023"/>
        </w:numPr>
      </w:pPr>
      <w:r>
        <w:rPr>
          <w:i/>
          <w:iCs/>
        </w:rPr>
        <w:t xml:space="preserve">Objetivo:</w:t>
      </w:r>
      <w:r>
        <w:t xml:space="preserve"> </w:t>
      </w:r>
      <w:r>
        <w:t xml:space="preserve">mostrar como novas políticas seriam testadas, aprovadas e promovidas.</w:t>
      </w:r>
    </w:p>
    <w:p>
      <w:pPr>
        <w:pStyle w:val="Compact"/>
        <w:numPr>
          <w:ilvl w:val="1"/>
          <w:numId w:val="1023"/>
        </w:numPr>
      </w:pPr>
      <w:r>
        <w:t xml:space="preserve">Plano de retreino com critérios de promoção, approval gate, rollback e versionamento de política.</w:t>
      </w:r>
    </w:p>
    <w:p>
      <w:pPr>
        <w:pStyle w:val="Compact"/>
        <w:numPr>
          <w:ilvl w:val="1"/>
          <w:numId w:val="1023"/>
        </w:numPr>
      </w:pPr>
      <w:r>
        <w:t xml:space="preserve">Monitoramento de drift e de recompensa documentado.</w:t>
      </w:r>
    </w:p>
    <w:p>
      <w:pPr>
        <w:pStyle w:val="Compact"/>
        <w:numPr>
          <w:ilvl w:val="1"/>
          <w:numId w:val="1023"/>
        </w:numPr>
      </w:pPr>
      <w:r>
        <w:t xml:space="preserve">Rastreio de experimentos em MLflow ou ferramenta equivalente.</w:t>
      </w:r>
    </w:p>
    <w:p>
      <w:pPr>
        <w:pStyle w:val="Compact"/>
        <w:numPr>
          <w:ilvl w:val="1"/>
          <w:numId w:val="1023"/>
        </w:numPr>
      </w:pPr>
      <w:r>
        <w:t xml:space="preserve">Procedimento de teste, aprovação humana estruturada e promoção de novas políticas para produção controlada.</w:t>
      </w:r>
    </w:p>
    <w:p>
      <w:pPr>
        <w:pStyle w:val="Compact"/>
        <w:numPr>
          <w:ilvl w:val="1"/>
          <w:numId w:val="1023"/>
        </w:numPr>
      </w:pPr>
      <w:r>
        <w:rPr>
          <w:i/>
          <w:iCs/>
        </w:rPr>
        <w:t xml:space="preserve">Evidência de aceite:</w:t>
      </w:r>
      <w:r>
        <w:t xml:space="preserve"> </w:t>
      </w:r>
      <w:r>
        <w:t xml:space="preserve">o grupo demonstra como uma nova hipótese de oferta/canal/mensagem sairia de experimento para produção controlada, com aprovação humana e rollback documentado.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Etapa 8 — Governança, Demo Day e relatórios.</w:t>
      </w:r>
    </w:p>
    <w:p>
      <w:pPr>
        <w:pStyle w:val="Compact"/>
        <w:numPr>
          <w:ilvl w:val="1"/>
          <w:numId w:val="1024"/>
        </w:numPr>
      </w:pPr>
      <w:r>
        <w:rPr>
          <w:i/>
          <w:iCs/>
        </w:rPr>
        <w:t xml:space="preserve">Objetivo:</w:t>
      </w:r>
      <w:r>
        <w:t xml:space="preserve"> </w:t>
      </w:r>
      <w:r>
        <w:t xml:space="preserve">fechar a entrega com responsabilidade operacional e narrativa coerente.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docs/model-card.md</w:t>
      </w:r>
      <w:r>
        <w:t xml:space="preserve"> </w:t>
      </w:r>
      <w:r>
        <w:t xml:space="preserve">com nome do modelo, versão, dados de treino e avaliação, métricas, intended use, out-of-scope use, análise de fairness, vieses conhecidos e limitações técnicas.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docs/system-card.md</w:t>
      </w:r>
      <w:r>
        <w:t xml:space="preserve"> </w:t>
      </w:r>
      <w:r>
        <w:t xml:space="preserve">com escopo do sistema, fluxo de decisão, dependências, guardrails, cenários de risco (reward hacking, manipulação do contexto, abuso do assistente, violação de suitability) e plano de monitoramento.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docs/lgpd-plan.md</w:t>
      </w:r>
      <w:r>
        <w:t xml:space="preserve"> </w:t>
      </w:r>
      <w:r>
        <w:t xml:space="preserve">com base legal, finalidade, minimização, ciclo de retenção, mapeamento de identificadores e atributos protegidos, política de logs e telemetria e plano de resposta a incidentes.</w:t>
      </w:r>
    </w:p>
    <w:p>
      <w:pPr>
        <w:pStyle w:val="Compact"/>
        <w:numPr>
          <w:ilvl w:val="1"/>
          <w:numId w:val="1024"/>
        </w:numPr>
      </w:pPr>
      <w:r>
        <w:t xml:space="preserve">Relatório técnico de até 10 páginas cobrindo problema, base escolhida, enriquecimento sintético, modelagem como multi-armed bandit, comparação quantitativa, arquitetura-alvo Azure, ciclo MLOps, limitações, riscos, hipóteses, trabalhos futuros e referências bibliográficas.</w:t>
      </w:r>
    </w:p>
    <w:p>
      <w:pPr>
        <w:pStyle w:val="Compact"/>
        <w:numPr>
          <w:ilvl w:val="1"/>
          <w:numId w:val="1024"/>
        </w:numPr>
      </w:pPr>
      <w:r>
        <w:t xml:space="preserve">Pitch de até 10 minutos seguido por 5 minutos de perguntas, com slides versionados no repositório em PDF ou formato aberto, roteiro cobrindo problema/abordagem/demonstração/evidências/riscos/governança/impacto, demonstração ao vivo ou gravada com cenário de exemplo e cenário adversarial, e distribuição clara de papéis entre integrantes.</w:t>
      </w:r>
    </w:p>
    <w:p>
      <w:pPr>
        <w:pStyle w:val="Compact"/>
        <w:numPr>
          <w:ilvl w:val="1"/>
          <w:numId w:val="1024"/>
        </w:numPr>
      </w:pPr>
      <w:r>
        <w:t xml:space="preserve">Demonstração da plataforma em operação durante o pitch é desejável e soma pontos extras na avaliação; o grupo deve indicar o cenário escolhido, registrar o plano de contingência caso a execução ao vivo falhe e versionar a gravação ou dataset de demonstração no repositório.</w:t>
      </w:r>
    </w:p>
    <w:p>
      <w:pPr>
        <w:pStyle w:val="Compact"/>
        <w:numPr>
          <w:ilvl w:val="1"/>
          <w:numId w:val="1024"/>
        </w:numPr>
      </w:pPr>
      <w:r>
        <w:t xml:space="preserve">Cobertura no pitch dos critérios de apresentação: FinOps com ROI, custo por serviço Azure e Total Cost of Ownership; justificativa de arquitetura técnica com diagrama, fronteiras de componentes e alternativas descartadas; cenários de escala e redução explicando maleabilidade arquitetônica sob diferentes volumes de requisições.</w:t>
      </w:r>
    </w:p>
    <w:p>
      <w:pPr>
        <w:pStyle w:val="Compact"/>
        <w:numPr>
          <w:ilvl w:val="1"/>
          <w:numId w:val="1024"/>
        </w:numPr>
      </w:pPr>
      <w:r>
        <w:t xml:space="preserve">Plano de revisão periódica do model card e do system card com responsáveis e cadência definidos.</w:t>
      </w:r>
    </w:p>
    <w:p>
      <w:pPr>
        <w:pStyle w:val="Compact"/>
        <w:numPr>
          <w:ilvl w:val="1"/>
          <w:numId w:val="1024"/>
        </w:numPr>
      </w:pPr>
      <w:r>
        <w:rPr>
          <w:i/>
          <w:iCs/>
        </w:rPr>
        <w:t xml:space="preserve">Evidência de aceite:</w:t>
      </w:r>
      <w:r>
        <w:t xml:space="preserve"> </w:t>
      </w:r>
      <w:r>
        <w:t xml:space="preserve">a banca encontra narrativa coerente de problema, solução, evidências, riscos, governança e valor de negócio, sem alegar prontidão para produção real regulada.</w:t>
      </w:r>
    </w:p>
    <w:bookmarkEnd w:id="36"/>
    <w:bookmarkStart w:id="39" w:name="critérios-de-avaliação"/>
    <w:p>
      <w:pPr>
        <w:pStyle w:val="Heading2"/>
      </w:pPr>
      <w:r>
        <w:t xml:space="preserve">Critérios de avaliação</w:t>
      </w:r>
    </w:p>
    <w:p>
      <w:pPr>
        <w:pStyle w:val="FirstParagraph"/>
      </w:pPr>
      <w:r>
        <w:t xml:space="preserve">A avaliação segue o contrato da Fase 05: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Peso</w:t>
            </w:r>
          </w:p>
        </w:tc>
        <w:tc>
          <w:tcPr/>
          <w:p>
            <w:pPr>
              <w:pStyle w:val="Compact"/>
            </w:pPr>
            <w:r>
              <w:t xml:space="preserve">O que a banca procura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Critérios de negócio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aderência ao problema escolhido, clareza de impacto, viabilidade, comunicação executiva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Validação técnica global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pipeline, MLOps, avaliação, observabilidade, segurança, governança, documentação e uso de PyTorch/MLflow quando aplicável</w:t>
            </w:r>
          </w:p>
        </w:tc>
      </w:tr>
    </w:tbl>
    <w:p>
      <w:pPr>
        <w:pStyle w:val="BodyText"/>
      </w:pPr>
      <w:r>
        <w:t xml:space="preserve">Os grupos devem definir métricas específicas para o desafio. Essas métricas precisam ser justificadas no relatório técnico e conectadas ao impacto de negócio, mas não substituem os critérios oficiais da fase.</w:t>
      </w:r>
    </w:p>
    <w:bookmarkStart w:id="37" w:name="Xc44b27a718ae8fc1629a84d8b0ab1010f4d5006"/>
    <w:p>
      <w:pPr>
        <w:pStyle w:val="Heading3"/>
      </w:pPr>
      <w:r>
        <w:t xml:space="preserve">Critério obrigatório — Arquitetura-alvo em Azure</w:t>
      </w:r>
    </w:p>
    <w:p>
      <w:pPr>
        <w:pStyle w:val="FirstParagraph"/>
      </w:pPr>
      <w:r>
        <w:t xml:space="preserve">A entrega arquitetural do Datathon deve ser planejada exclusivamente para Microsoft Azure. O grupo não precisa publicar recursos pagos nem manter uma implantação ativa em nuvem, mas deve apresentar uma arquitetura-alvo Azure, um plano de implantação e a justificativa dos serviços escolhidos. Arquiteturas baseadas em AWS, Google Cloud, provedores locais ou soluções genéricas multi-cloud ficam fora do escopo da avaliação, exceto quando usadas apenas como comparação breve de trade-offs.</w:t>
      </w:r>
    </w:p>
    <w:p>
      <w:pPr>
        <w:pStyle w:val="BodyText"/>
      </w:pPr>
      <w:r>
        <w:t xml:space="preserve">A banca não espera uma arquitetura única. O grupo pode escolher diferentes combinações de serviços Azure, desde que a proposta cubra computação, exposição de API ou interface, persistência de dados, observabilidade, segurança/governança e o componente de IA/RAG quando aplicável.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Exemplos de serviços Azure aceitáveis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Computação e execução</w:t>
            </w:r>
          </w:p>
        </w:tc>
        <w:tc>
          <w:tcPr/>
          <w:p>
            <w:pPr>
              <w:pStyle w:val="Compact"/>
            </w:pPr>
            <w:r>
              <w:t xml:space="preserve">Azure Container Apps, Azure App Service, Azure Functions, AKS, Azure Machine Learning endpoints, Azure Databricks Jobs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API, interface e integração</w:t>
            </w:r>
          </w:p>
        </w:tc>
        <w:tc>
          <w:tcPr/>
          <w:p>
            <w:pPr>
              <w:pStyle w:val="Compact"/>
            </w:pPr>
            <w:r>
              <w:t xml:space="preserve">Azure API Management, endpoints em App Service/Container Apps, Azure Functions HTTP, Azure Static Web Apps, Azure Front Door quando fizer sentido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Dados e eventos</w:t>
            </w:r>
          </w:p>
        </w:tc>
        <w:tc>
          <w:tcPr/>
          <w:p>
            <w:pPr>
              <w:pStyle w:val="Compact"/>
            </w:pPr>
            <w:r>
              <w:t xml:space="preserve">Azure Blob Storage ou Data Lake Storage Gen2, Azure SQL, Azure Database for PostgreSQL, Azure Cosmos DB, Azure Service Bus, Azure Event Hubs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IA, agentes e RAG</w:t>
            </w:r>
          </w:p>
        </w:tc>
        <w:tc>
          <w:tcPr/>
          <w:p>
            <w:pPr>
              <w:pStyle w:val="Compact"/>
            </w:pPr>
            <w:r>
              <w:t xml:space="preserve">Azure AI Foundry, Azure OpenAI/Foundry Models, Azure AI Search, Azure Machine Learning, embeddings, busca vetorial, busca híbrida ou semântica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Observabilidade</w:t>
            </w:r>
          </w:p>
        </w:tc>
        <w:tc>
          <w:tcPr/>
          <w:p>
            <w:pPr>
              <w:pStyle w:val="Compact"/>
            </w:pPr>
            <w:r>
              <w:t xml:space="preserve">Azure Monitor, Application Insights, Log Analytics, dashboards, alertas e rastreamento de métricas técnicas e de negócio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Segurança e governança</w:t>
            </w:r>
          </w:p>
        </w:tc>
        <w:tc>
          <w:tcPr/>
          <w:p>
            <w:pPr>
              <w:pStyle w:val="Compact"/>
            </w:pPr>
            <w:r>
              <w:t xml:space="preserve">Microsoft Entra ID, Managed Identity, Azure Key Vault, RBAC, Azure Policy, private endpoints/VNet quando justificado, plano LGPD e revisão humana</w:t>
            </w:r>
          </w:p>
        </w:tc>
      </w:tr>
    </w:tbl>
    <w:p>
      <w:pPr>
        <w:pStyle w:val="BodyText"/>
      </w:pPr>
      <w:r>
        <w:t xml:space="preserve">A arquitetura deve explicar como decisões, experimentos, políticas, modelos, prompts e versões seriam rastreados. Também deve indicar quais métricas seriam monitoradas em produção, incluindo latência, disponibilidade, custo estimado, qualidade da recomendação, exploração, fairness, segurança e uso do assistente com LLM.</w:t>
      </w:r>
    </w:p>
    <w:bookmarkEnd w:id="37"/>
    <w:bookmarkStart w:id="38" w:name="critérios-de-apresentação"/>
    <w:p>
      <w:pPr>
        <w:pStyle w:val="Heading3"/>
      </w:pPr>
      <w:r>
        <w:t xml:space="preserve">Critérios de apresentação</w:t>
      </w:r>
    </w:p>
    <w:p>
      <w:pPr>
        <w:pStyle w:val="FirstParagraph"/>
      </w:pPr>
      <w:r>
        <w:t xml:space="preserve">Além do conteúdo técnico, a banca avalia trê dimensões específicas durante o pitch do Demo Day. Os grupos devem reservar tempo no roteiro para tratar cada uma delas com evidência (números, faixas, diagramas, premissas), não apenas com afirmação.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Dimensão</w:t>
            </w:r>
          </w:p>
        </w:tc>
        <w:tc>
          <w:tcPr/>
          <w:p>
            <w:pPr>
              <w:pStyle w:val="Compact"/>
            </w:pPr>
            <w:r>
              <w:t xml:space="preserve">O que a banca procura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FinOps (ROI, custo e TCO)</w:t>
            </w:r>
          </w:p>
        </w:tc>
        <w:tc>
          <w:tcPr/>
          <w:p>
            <w:pPr>
              <w:pStyle w:val="Compact"/>
            </w:pPr>
            <w:r>
              <w:t xml:space="preserve">Estimativa qualitativa de custo de execução por serviço Azure escolhido, projeção de Retorno sobre Investimento (ROI) considerando o ganho de negócio esperado da política adaptativa em relação a uma campanha estática, e Total Cost of Ownership (TCO) cobrindo desenvolvimento, operação, observabilidade, retreino, governança e suporte. O grupo deve discutir trade-offs entre alternativas mais baratas e mais caras, identificar o ponto de equilíbrio em que a plataforma adaptativa compensa o custo adicional e indicar quais componentes geram custo mesmo ociosos.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Arquitetura técnica</w:t>
            </w:r>
          </w:p>
        </w:tc>
        <w:tc>
          <w:tcPr/>
          <w:p>
            <w:pPr>
              <w:pStyle w:val="Compact"/>
            </w:pPr>
            <w:r>
              <w:t xml:space="preserve">Justificativa explícita de cada serviço Azure escolhido, mapeamento dos limites entre componentes, fluxos de dados e de decisão, pontos de falha, fronteiras de segurança e identidade, e como o ciclo de vida de modelos e políticas é controlado. A banca espera coerência entre o diagrama de componentes, o código do repositório e o plano de operação, sem zonas cinzentas entre camadas, e racional sobre alternativas descartadas.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Cenários de escala e redução</w:t>
            </w:r>
          </w:p>
        </w:tc>
        <w:tc>
          <w:tcPr/>
          <w:p>
            <w:pPr>
              <w:pStyle w:val="Compact"/>
            </w:pPr>
            <w:r>
              <w:t xml:space="preserve">Maleabilidade arquitetônica em função do volume de requisições: como a arquitetura cresce de um cenário de baixa carga (poucas decisões por hora, experimentação isolada) para alta carga (picos sazonais, campanhas simultâneas, múltiplos canais), e como a redução é tratada quando o uso cai. O grupo deve indicar quais serviços escalam automaticamente, quais exigem ajuste manual, quais geram custo mesmo ociosos, e como o sistema preserva latência aceitável, qualidade da exploração e garantias de segurança sob pressão.</w:t>
            </w:r>
          </w:p>
        </w:tc>
      </w:tr>
    </w:tbl>
    <w:p>
      <w:pPr>
        <w:pStyle w:val="BodyText"/>
      </w:pPr>
      <w:r>
        <w:t xml:space="preserve">A análise não exige números reais de produção, mas exige racional consistente. Estimativas qualitativas, comparações relativas, faixas de magnitude e cenários hipotéticos com premissas claras são aceitos, desde que apresentados com transparência sobre as suposições e referência ao diagrama de arquitetura Azure do repositório.</w:t>
      </w:r>
    </w:p>
    <w:p>
      <w:pPr>
        <w:pStyle w:val="BodyText"/>
      </w:pPr>
      <w:r>
        <w:t xml:space="preserve">Demonstrações ao vivo ou gravadas durante a apresentação são desejáveis e somam pontos extras na avaliação. Um pitch que mostra a plataforma decidindo — selecionando um braço, registrando a recompensa, evoluindo a política e reagindo a um cenário adversarial — tem peso narrativo maior do que um pitch que apenas descreve o que o sistema faria, mesmo quando o cenário é sintético ou executado em ambiente local. Os grupos devem reservar tempo de pitch para a demonstração e prever um plano de contingência caso ela falhe ao vivo (por exemplo, gravação alternativa, dataset de demonstração reduzido, cenário pré-renderizado).</w:t>
      </w:r>
    </w:p>
    <w:bookmarkEnd w:id="38"/>
    <w:bookmarkEnd w:id="39"/>
    <w:bookmarkStart w:id="40" w:name="checklist-antes-do-demo-day"/>
    <w:p>
      <w:pPr>
        <w:pStyle w:val="Heading2"/>
      </w:pPr>
      <w:r>
        <w:t xml:space="preserve">Checklist antes do Demo Day</w:t>
      </w:r>
    </w:p>
    <w:p>
      <w:pPr>
        <w:pStyle w:val="Compact"/>
        <w:numPr>
          <w:ilvl w:val="0"/>
          <w:numId w:val="1025"/>
        </w:numPr>
      </w:pPr>
      <w:r>
        <w:t xml:space="preserve">O README do repositório do grupo explica o desafio, a execução local e as limitações.</w:t>
      </w:r>
    </w:p>
    <w:p>
      <w:pPr>
        <w:pStyle w:val="Compact"/>
        <w:numPr>
          <w:ilvl w:val="0"/>
          <w:numId w:val="1026"/>
        </w:numPr>
      </w:pPr>
      <w:r>
        <w:t xml:space="preserve">O pipeline usa uma base Kaggle compatível e documenta download, versão, fonte, licença e limitações.</w:t>
      </w:r>
    </w:p>
    <w:p>
      <w:pPr>
        <w:pStyle w:val="Compact"/>
        <w:numPr>
          <w:ilvl w:val="0"/>
          <w:numId w:val="1027"/>
        </w:numPr>
      </w:pPr>
      <w:r>
        <w:t xml:space="preserve">A base processada e o enriquecimento sintético estão documentados e separados da base Kaggle original.</w:t>
      </w:r>
    </w:p>
    <w:p>
      <w:pPr>
        <w:pStyle w:val="Compact"/>
        <w:numPr>
          <w:ilvl w:val="0"/>
          <w:numId w:val="1028"/>
        </w:numPr>
      </w:pPr>
      <w:r>
        <w:t xml:space="preserve">Os experimentos estão rastreados em MLflow ou ferramenta equivalente.</w:t>
      </w:r>
    </w:p>
    <w:p>
      <w:pPr>
        <w:pStyle w:val="Compact"/>
        <w:numPr>
          <w:ilvl w:val="0"/>
          <w:numId w:val="1029"/>
        </w:numPr>
      </w:pPr>
      <w:r>
        <w:t xml:space="preserve">Há pelo menos um baseline e uma abordagem principal comparados com métricas justificadas.</w:t>
      </w:r>
    </w:p>
    <w:p>
      <w:pPr>
        <w:pStyle w:val="Compact"/>
        <w:numPr>
          <w:ilvl w:val="0"/>
          <w:numId w:val="1030"/>
        </w:numPr>
      </w:pPr>
      <w:r>
        <w:t xml:space="preserve">A análise algorítmica referencia Thompson Sampling e Nilos-UCB, com justificativa de escolha ou descarte.</w:t>
      </w:r>
    </w:p>
    <w:p>
      <w:pPr>
        <w:pStyle w:val="Compact"/>
        <w:numPr>
          <w:ilvl w:val="0"/>
          <w:numId w:val="1031"/>
        </w:numPr>
      </w:pPr>
      <w:r>
        <w:t xml:space="preserve">A avaliação inclui um golden set com pelo menos 20 exemplos.</w:t>
      </w:r>
    </w:p>
    <w:p>
      <w:pPr>
        <w:pStyle w:val="Compact"/>
        <w:numPr>
          <w:ilvl w:val="0"/>
          <w:numId w:val="1032"/>
        </w:numPr>
      </w:pPr>
      <w:r>
        <w:t xml:space="preserve">A camada de retreino, teste, aprovação estruturada e promoção de novas políticas está documentada.</w:t>
      </w:r>
    </w:p>
    <w:p>
      <w:pPr>
        <w:pStyle w:val="Compact"/>
        <w:numPr>
          <w:ilvl w:val="0"/>
          <w:numId w:val="1033"/>
        </w:numPr>
      </w:pPr>
      <w:r>
        <w:t xml:space="preserve">O serviço, API, notebook executável ou interface demonstrável funciona com instruções claras.</w:t>
      </w:r>
    </w:p>
    <w:p>
      <w:pPr>
        <w:pStyle w:val="Compact"/>
        <w:numPr>
          <w:ilvl w:val="0"/>
          <w:numId w:val="1034"/>
        </w:numPr>
      </w:pPr>
      <w:r>
        <w:t xml:space="preserve">A arquitetura-alvo e o plano de deploy usam exclusivamente serviços Azure.</w:t>
      </w:r>
    </w:p>
    <w:p>
      <w:pPr>
        <w:pStyle w:val="Compact"/>
        <w:numPr>
          <w:ilvl w:val="0"/>
          <w:numId w:val="1035"/>
        </w:numPr>
      </w:pPr>
      <w:r>
        <w:t xml:space="preserve">O fluxo de trabalho da aplicação está documentado com diagrama Mermaid e explicação dos componentes.</w:t>
      </w:r>
    </w:p>
    <w:p>
      <w:pPr>
        <w:pStyle w:val="Compact"/>
        <w:numPr>
          <w:ilvl w:val="0"/>
          <w:numId w:val="1036"/>
        </w:numPr>
      </w:pPr>
      <w:r>
        <w:t xml:space="preserve">Os guardrails foram testados com cenários adversariais.</w:t>
      </w:r>
    </w:p>
    <w:p>
      <w:pPr>
        <w:pStyle w:val="Compact"/>
        <w:numPr>
          <w:ilvl w:val="0"/>
          <w:numId w:val="1037"/>
        </w:numPr>
      </w:pPr>
      <w:r>
        <w:t xml:space="preserve">Model Card, System Card e plano LGPD estão completos.</w:t>
      </w:r>
    </w:p>
    <w:p>
      <w:pPr>
        <w:pStyle w:val="Compact"/>
        <w:numPr>
          <w:ilvl w:val="0"/>
          <w:numId w:val="1038"/>
        </w:numPr>
      </w:pPr>
      <w:r>
        <w:t xml:space="preserve">O pitch separa problema, abordagem, demonstração, evidências, riscos e impacto.</w:t>
      </w:r>
    </w:p>
    <w:p>
      <w:pPr>
        <w:pStyle w:val="Compact"/>
        <w:numPr>
          <w:ilvl w:val="0"/>
          <w:numId w:val="1039"/>
        </w:numPr>
      </w:pPr>
      <w:r>
        <w:t xml:space="preserve">O pitch cobre FinOps com ROI, custo qualitativo por serviço Azure e Total Cost of Ownership.</w:t>
      </w:r>
    </w:p>
    <w:p>
      <w:pPr>
        <w:pStyle w:val="Compact"/>
        <w:numPr>
          <w:ilvl w:val="0"/>
          <w:numId w:val="1040"/>
        </w:numPr>
      </w:pPr>
      <w:r>
        <w:t xml:space="preserve">O pitch justifica a arquitetura técnica com diagrama, fronteiras de componentes e alternativas descartadas.</w:t>
      </w:r>
    </w:p>
    <w:p>
      <w:pPr>
        <w:pStyle w:val="Compact"/>
        <w:numPr>
          <w:ilvl w:val="0"/>
          <w:numId w:val="1041"/>
        </w:numPr>
      </w:pPr>
      <w:r>
        <w:t xml:space="preserve">O pitch apresenta cenários de escala e redução por volume de requisições, indicando comportamento de cada serviço sob baixa e alta carga.</w:t>
      </w:r>
    </w:p>
    <w:p>
      <w:pPr>
        <w:pStyle w:val="Compact"/>
        <w:numPr>
          <w:ilvl w:val="0"/>
          <w:numId w:val="1042"/>
        </w:numPr>
      </w:pPr>
      <w:r>
        <w:t xml:space="preserve">O pitch inclui demonstração ao vivo ou gravada da plataforma em operação, com plano de contingência caso a execução ao vivo falhe (desejável, soma pontos extras na avaliação).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../README.md" TargetMode="External" /><Relationship Type="http://schemas.openxmlformats.org/officeDocument/2006/relationships/hyperlink" Id="rId21" Target="https://www.kaggle.com/datasets/aguado/telemarketing-jyb-dataset" TargetMode="External" /><Relationship Type="http://schemas.openxmlformats.org/officeDocument/2006/relationships/hyperlink" Id="rId20" Target="https://www.kaggle.com/datasets/dharmik34/bank-term-deposit-subscription" TargetMode="External" /><Relationship Type="http://schemas.openxmlformats.org/officeDocument/2006/relationships/hyperlink" Id="rId18" Target="https://www.kaggle.com/datasets/henriqueyamahata/bank-marketing" TargetMode="External" /><Relationship Type="http://schemas.openxmlformats.org/officeDocument/2006/relationships/hyperlink" Id="rId19" Target="https://www.kaggle.com/datasets/tunguz/bank-marketing-data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../README.md" TargetMode="External" /><Relationship Type="http://schemas.openxmlformats.org/officeDocument/2006/relationships/hyperlink" Id="rId21" Target="https://www.kaggle.com/datasets/aguado/telemarketing-jyb-dataset" TargetMode="External" /><Relationship Type="http://schemas.openxmlformats.org/officeDocument/2006/relationships/hyperlink" Id="rId20" Target="https://www.kaggle.com/datasets/dharmik34/bank-term-deposit-subscription" TargetMode="External" /><Relationship Type="http://schemas.openxmlformats.org/officeDocument/2006/relationships/hyperlink" Id="rId18" Target="https://www.kaggle.com/datasets/henriqueyamahata/bank-marketing" TargetMode="External" /><Relationship Type="http://schemas.openxmlformats.org/officeDocument/2006/relationships/hyperlink" Id="rId19" Target="https://www.kaggle.com/datasets/tunguz/bank-marketing-data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pt-BR</dc:language>
  <cp:keywords/>
  <dcterms:created xsi:type="dcterms:W3CDTF">2026-05-23T02:09:50Z</dcterms:created>
  <dcterms:modified xsi:type="dcterms:W3CDTF">2026-05-23T02:09:50Z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