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CE8855F">
      <w:pPr>
        <w:spacing w:after="360"/>
        <w:jc w:val="center"/>
      </w:pPr>
      <w:r>
        <w:rPr>
          <w:rFonts w:ascii="微软雅黑" w:hAnsi="微软雅黑" w:eastAsia="微软雅黑"/>
          <w:b/>
          <w:sz w:val="36"/>
          <w:szCs w:val="36"/>
        </w:rPr>
        <w:t>新能源股票 AI 研究终端 软件介绍与使用说明</w:t>
      </w:r>
    </w:p>
    <w:p w14:paraId="376D689C">
      <w:pPr>
        <w:spacing w:after="360"/>
        <w:jc w:val="center"/>
      </w:pPr>
      <w:r>
        <w:rPr>
          <w:rFonts w:ascii="微软雅黑" w:hAnsi="微软雅黑" w:eastAsia="微软雅黑"/>
          <w:color w:val="667085"/>
          <w:sz w:val="21"/>
          <w:szCs w:val="21"/>
        </w:rPr>
        <w:t>生成日期：2026-05-17</w:t>
      </w:r>
    </w:p>
    <w:p w14:paraId="2D152ED3">
      <w:pPr>
        <w:spacing w:before="260" w:after="120"/>
        <w:outlineLvl w:val="0"/>
      </w:pPr>
      <w:r>
        <w:rPr>
          <w:rFonts w:ascii="微软雅黑" w:hAnsi="微软雅黑" w:eastAsia="微软雅黑"/>
          <w:b/>
          <w:color w:val="0B1F4D"/>
          <w:sz w:val="28"/>
          <w:szCs w:val="28"/>
        </w:rPr>
        <w:t>一、软件简介</w:t>
      </w:r>
    </w:p>
    <w:p w14:paraId="71E5A3D6">
      <w:pPr>
        <w:spacing w:after="120"/>
        <w:jc w:val="both"/>
      </w:pPr>
      <w:r>
        <w:rPr>
          <w:rFonts w:ascii="微软雅黑" w:hAnsi="微软雅黑" w:eastAsia="微软雅黑"/>
          <w:sz w:val="23"/>
          <w:szCs w:val="23"/>
        </w:rPr>
        <w:t>新能源股票 AI 研究终端是一套面向课程设计、研究演示和辅助分析场景的桌面端股票研究系统。系统围绕 BYD、TSLA 等新能源相关标的，提供行情概览、基本面分析、新闻情绪、候选筛选、AI 研究流程和报告导出能力。</w:t>
      </w:r>
    </w:p>
    <w:p w14:paraId="47148318">
      <w:pPr>
        <w:spacing w:after="120"/>
        <w:jc w:val="both"/>
      </w:pPr>
      <w:r>
        <w:rPr>
          <w:rFonts w:ascii="微软雅黑" w:hAnsi="微软雅黑" w:eastAsia="微软雅黑"/>
          <w:sz w:val="23"/>
          <w:szCs w:val="23"/>
        </w:rPr>
        <w:t>本软件不连接真实券商账户，不提供开户注册、KYC、下单交易或个性化投资建议，所有输出均应作为研究演示材料使用。</w:t>
      </w:r>
    </w:p>
    <w:p w14:paraId="4BA2D4ED">
      <w:pPr>
        <w:spacing w:before="260" w:after="120"/>
        <w:outlineLvl w:val="0"/>
      </w:pPr>
      <w:r>
        <w:rPr>
          <w:rFonts w:ascii="微软雅黑" w:hAnsi="微软雅黑" w:eastAsia="微软雅黑"/>
          <w:b/>
          <w:color w:val="0B1F4D"/>
          <w:sz w:val="28"/>
          <w:szCs w:val="28"/>
        </w:rPr>
        <w:t>二、运行环境</w:t>
      </w:r>
    </w:p>
    <w:p w14:paraId="09721611">
      <w:pPr>
        <w:spacing w:after="120"/>
        <w:jc w:val="both"/>
      </w:pPr>
      <w:r>
        <w:rPr>
          <w:rFonts w:ascii="微软雅黑" w:hAnsi="微软雅黑" w:eastAsia="微软雅黑"/>
          <w:sz w:val="23"/>
          <w:szCs w:val="23"/>
        </w:rPr>
        <w:t>1. 操作系统：Windows 10/11 或兼容 Python、Node.js 的桌面环境。</w:t>
      </w:r>
    </w:p>
    <w:p w14:paraId="1867F1C6">
      <w:pPr>
        <w:spacing w:after="120"/>
        <w:jc w:val="both"/>
      </w:pPr>
      <w:r>
        <w:rPr>
          <w:rFonts w:ascii="微软雅黑" w:hAnsi="微软雅黑" w:eastAsia="微软雅黑"/>
          <w:sz w:val="23"/>
          <w:szCs w:val="23"/>
        </w:rPr>
        <w:t>2. Python：建议 Python 3.11 及以上版本。</w:t>
      </w:r>
    </w:p>
    <w:p w14:paraId="0CF77978">
      <w:pPr>
        <w:spacing w:after="120"/>
        <w:jc w:val="both"/>
      </w:pPr>
      <w:r>
        <w:rPr>
          <w:rFonts w:ascii="微软雅黑" w:hAnsi="微软雅黑" w:eastAsia="微软雅黑"/>
          <w:sz w:val="23"/>
          <w:szCs w:val="23"/>
        </w:rPr>
        <w:t>3. Node.js/npm：用于安装前端依赖和构建 Vue 前端。</w:t>
      </w:r>
    </w:p>
    <w:p w14:paraId="2018F81E">
      <w:pPr>
        <w:spacing w:after="120"/>
        <w:jc w:val="both"/>
      </w:pPr>
      <w:r>
        <w:rPr>
          <w:rFonts w:ascii="微软雅黑" w:hAnsi="微软雅黑" w:eastAsia="微软雅黑"/>
          <w:sz w:val="23"/>
          <w:szCs w:val="23"/>
        </w:rPr>
        <w:t>4. 网络：首次安装依赖、接入模型 API 或刷新在线数据时需要网络。</w:t>
      </w:r>
    </w:p>
    <w:p w14:paraId="7C1D90CE">
      <w:pPr>
        <w:spacing w:before="260" w:after="120"/>
        <w:outlineLvl w:val="0"/>
      </w:pPr>
      <w:r>
        <w:rPr>
          <w:rFonts w:ascii="微软雅黑" w:hAnsi="微软雅黑" w:eastAsia="微软雅黑"/>
          <w:b/>
          <w:color w:val="0B1F4D"/>
          <w:sz w:val="28"/>
          <w:szCs w:val="28"/>
        </w:rPr>
        <w:t>三、推荐启动方式</w:t>
      </w:r>
    </w:p>
    <w:p w14:paraId="5921FFE9">
      <w:pPr>
        <w:spacing w:after="120"/>
        <w:jc w:val="both"/>
      </w:pPr>
      <w:r>
        <w:rPr>
          <w:rFonts w:ascii="微软雅黑" w:hAnsi="微软雅黑" w:eastAsia="微软雅黑"/>
          <w:sz w:val="23"/>
          <w:szCs w:val="23"/>
        </w:rPr>
        <w:t>在项目根目录打开 PowerShell，直接运行以下命令：</w:t>
      </w:r>
    </w:p>
    <w:p w14:paraId="46B1E319">
      <w:pPr>
        <w:shd w:val="clear" w:color="auto" w:fill="F3F6FB"/>
        <w:spacing w:before="80" w:after="120"/>
        <w:ind w:left="240" w:right="240"/>
      </w:pPr>
      <w:r>
        <w:rPr>
          <w:rFonts w:ascii="Consolas" w:hAnsi="Consolas" w:eastAsia="微软雅黑"/>
          <w:color w:val="0B1F4D"/>
          <w:sz w:val="21"/>
          <w:szCs w:val="21"/>
        </w:rPr>
        <w:t>python app.py</w:t>
      </w:r>
    </w:p>
    <w:p w14:paraId="07524CC7">
      <w:pPr>
        <w:spacing w:after="120"/>
        <w:jc w:val="both"/>
      </w:pPr>
      <w:r>
        <w:rPr>
          <w:rFonts w:ascii="微软雅黑" w:hAnsi="微软雅黑" w:eastAsia="微软雅黑"/>
          <w:sz w:val="23"/>
          <w:szCs w:val="23"/>
        </w:rPr>
        <w:t>app.py 是本交付包的推荐入口。它会自动检查依赖、启动 FastAPI 后端、构建并打开前端页面，最终进入 PySide6 桌面窗口。如果桌面 WebView 不可用，程序会自动改用默认浏览器打开。</w:t>
      </w:r>
    </w:p>
    <w:p w14:paraId="1B3B976C">
      <w:pPr>
        <w:spacing w:after="120"/>
        <w:jc w:val="both"/>
      </w:pPr>
      <w:r>
        <w:rPr>
          <w:rFonts w:ascii="微软雅黑" w:hAnsi="微软雅黑" w:eastAsia="微软雅黑"/>
          <w:sz w:val="23"/>
          <w:szCs w:val="23"/>
        </w:rPr>
        <w:t>首次启动可能较慢，因为系统需要安装前端 npm 包、后端 Python 包并构建前端。再次启动时会明显加快。</w:t>
      </w:r>
    </w:p>
    <w:p w14:paraId="57E97A21">
      <w:pPr>
        <w:spacing w:before="260" w:after="120"/>
        <w:outlineLvl w:val="0"/>
        <w:rPr>
          <w:rFonts w:hint="default" w:eastAsia="微软雅黑"/>
          <w:lang w:val="en-US" w:eastAsia="zh-CN"/>
        </w:rPr>
      </w:pPr>
      <w:r>
        <w:rPr>
          <w:rFonts w:ascii="微软雅黑" w:hAnsi="微软雅黑" w:eastAsia="微软雅黑"/>
          <w:b/>
          <w:color w:val="0B1F4D"/>
          <w:sz w:val="28"/>
          <w:szCs w:val="28"/>
        </w:rPr>
        <w:t>四、开发模式</w:t>
      </w:r>
      <w:r>
        <w:rPr>
          <w:rFonts w:hint="eastAsia" w:ascii="微软雅黑" w:hAnsi="微软雅黑" w:eastAsia="微软雅黑"/>
          <w:b/>
          <w:color w:val="0B1F4D"/>
          <w:sz w:val="28"/>
          <w:szCs w:val="28"/>
          <w:lang w:eastAsia="zh-CN"/>
        </w:rPr>
        <w:t>、</w:t>
      </w:r>
      <w:r>
        <w:rPr>
          <w:rFonts w:hint="eastAsia" w:ascii="微软雅黑" w:hAnsi="微软雅黑" w:eastAsia="微软雅黑"/>
          <w:b/>
          <w:color w:val="0B1F4D"/>
          <w:sz w:val="28"/>
          <w:szCs w:val="28"/>
          <w:lang w:val="en-US" w:eastAsia="zh-CN"/>
        </w:rPr>
        <w:t>启动应用</w:t>
      </w:r>
      <w:bookmarkStart w:id="0" w:name="_GoBack"/>
      <w:bookmarkEnd w:id="0"/>
    </w:p>
    <w:p w14:paraId="6D6700DD">
      <w:pPr>
        <w:spacing w:after="120"/>
        <w:jc w:val="both"/>
      </w:pPr>
      <w:r>
        <w:rPr>
          <w:rFonts w:ascii="微软雅黑" w:hAnsi="微软雅黑" w:eastAsia="微软雅黑"/>
          <w:sz w:val="23"/>
          <w:szCs w:val="23"/>
        </w:rPr>
        <w:t>如果需要修改前端页面并使用热更新，可运行：</w:t>
      </w:r>
    </w:p>
    <w:p w14:paraId="72CB9A03">
      <w:pPr>
        <w:shd w:val="clear" w:color="auto" w:fill="F3F6FB"/>
        <w:spacing w:before="80" w:after="120"/>
        <w:ind w:left="240" w:right="240"/>
      </w:pPr>
      <w:r>
        <w:rPr>
          <w:rFonts w:ascii="Consolas" w:hAnsi="Consolas" w:eastAsia="微软雅黑"/>
          <w:color w:val="0B1F4D"/>
          <w:sz w:val="21"/>
          <w:szCs w:val="21"/>
        </w:rPr>
        <w:t>python app.py --dev</w:t>
      </w:r>
    </w:p>
    <w:p w14:paraId="46839884">
      <w:pPr>
        <w:spacing w:before="260" w:after="120"/>
        <w:outlineLvl w:val="0"/>
      </w:pPr>
      <w:r>
        <w:rPr>
          <w:rFonts w:ascii="微软雅黑" w:hAnsi="微软雅黑" w:eastAsia="微软雅黑"/>
          <w:b/>
          <w:color w:val="0B1F4D"/>
          <w:sz w:val="28"/>
          <w:szCs w:val="28"/>
        </w:rPr>
        <w:t>五、首次使用流程</w:t>
      </w:r>
    </w:p>
    <w:p w14:paraId="2F89F055">
      <w:pPr>
        <w:spacing w:after="120"/>
        <w:jc w:val="both"/>
      </w:pPr>
      <w:r>
        <w:rPr>
          <w:rFonts w:ascii="微软雅黑" w:hAnsi="微软雅黑" w:eastAsia="微软雅黑"/>
          <w:sz w:val="23"/>
          <w:szCs w:val="23"/>
        </w:rPr>
        <w:t>第一次进入系统时，会先弹出基础资料设置窗口，要求填写显示名称、头像缩写、工作区名称和角色，简介为可选项。保存后，顶部头像、侧栏品牌和设置页个人资料会同步更新。</w:t>
      </w:r>
    </w:p>
    <w:p w14:paraId="2112F9AC">
      <w:pPr>
        <w:spacing w:after="120"/>
        <w:jc w:val="both"/>
      </w:pPr>
      <w:r>
        <w:rPr>
          <w:rFonts w:ascii="微软雅黑" w:hAnsi="微软雅黑" w:eastAsia="微软雅黑"/>
          <w:sz w:val="23"/>
          <w:szCs w:val="23"/>
        </w:rPr>
        <w:t>如果尚未配置模型 API，系统会继续弹出 API 接入提醒。用户可以选择接入主流模型服务商，也可以选择演示模式先体验系统功能。</w:t>
      </w:r>
    </w:p>
    <w:p w14:paraId="63B55A2C">
      <w:pPr>
        <w:spacing w:before="260" w:after="120"/>
        <w:outlineLvl w:val="0"/>
      </w:pPr>
      <w:r>
        <w:rPr>
          <w:rFonts w:ascii="微软雅黑" w:hAnsi="微软雅黑" w:eastAsia="微软雅黑"/>
          <w:b/>
          <w:color w:val="0B1F4D"/>
          <w:sz w:val="28"/>
          <w:szCs w:val="28"/>
        </w:rPr>
        <w:t>六、主要功能模块</w:t>
      </w:r>
    </w:p>
    <w:p w14:paraId="43133EE4">
      <w:pPr>
        <w:spacing w:after="120"/>
        <w:jc w:val="both"/>
      </w:pPr>
      <w:r>
        <w:rPr>
          <w:rFonts w:ascii="微软雅黑" w:hAnsi="微软雅黑" w:eastAsia="微软雅黑"/>
          <w:sz w:val="23"/>
          <w:szCs w:val="23"/>
        </w:rPr>
        <w:t>1. 仪表盘：展示市场概览、候选池、行情走势、AI 观察和研究摘要。</w:t>
      </w:r>
    </w:p>
    <w:p w14:paraId="67951124">
      <w:pPr>
        <w:spacing w:after="120"/>
        <w:jc w:val="both"/>
      </w:pPr>
      <w:r>
        <w:rPr>
          <w:rFonts w:ascii="微软雅黑" w:hAnsi="微软雅黑" w:eastAsia="微软雅黑"/>
          <w:sz w:val="23"/>
          <w:szCs w:val="23"/>
        </w:rPr>
        <w:t>2. 基本面分析：展示财务数据、估值指标、DCF 模型、同业比较和风险提示。</w:t>
      </w:r>
    </w:p>
    <w:p w14:paraId="3D89C133">
      <w:pPr>
        <w:spacing w:after="120"/>
        <w:jc w:val="both"/>
      </w:pPr>
      <w:r>
        <w:rPr>
          <w:rFonts w:ascii="微软雅黑" w:hAnsi="微软雅黑" w:eastAsia="微软雅黑"/>
          <w:sz w:val="23"/>
          <w:szCs w:val="23"/>
        </w:rPr>
        <w:t>3. 新闻与情绪：汇总新闻事件、情绪趋势、关键主题和研究影响。</w:t>
      </w:r>
    </w:p>
    <w:p w14:paraId="35A2B297">
      <w:pPr>
        <w:spacing w:after="120"/>
        <w:jc w:val="both"/>
      </w:pPr>
      <w:r>
        <w:rPr>
          <w:rFonts w:ascii="微软雅黑" w:hAnsi="微软雅黑" w:eastAsia="微软雅黑"/>
          <w:sz w:val="23"/>
          <w:szCs w:val="23"/>
        </w:rPr>
        <w:t>4. 组合与对比：用于观察候选标的、比较不同股票并辅助研究决策。</w:t>
      </w:r>
    </w:p>
    <w:p w14:paraId="5FA8132B">
      <w:pPr>
        <w:spacing w:after="120"/>
        <w:jc w:val="both"/>
      </w:pPr>
      <w:r>
        <w:rPr>
          <w:rFonts w:ascii="微软雅黑" w:hAnsi="微软雅黑" w:eastAsia="微软雅黑"/>
          <w:sz w:val="23"/>
          <w:szCs w:val="23"/>
        </w:rPr>
        <w:t>5. 筛选与提醒：支持新能源股票候选筛选和研究提醒。</w:t>
      </w:r>
    </w:p>
    <w:p w14:paraId="62B6B5AE">
      <w:pPr>
        <w:spacing w:after="120"/>
        <w:jc w:val="both"/>
      </w:pPr>
      <w:r>
        <w:rPr>
          <w:rFonts w:ascii="微软雅黑" w:hAnsi="微软雅黑" w:eastAsia="微软雅黑"/>
          <w:sz w:val="23"/>
          <w:szCs w:val="23"/>
        </w:rPr>
        <w:t>6. AI 候选工作台：生成候选股票、查看候选详情，并运行 AI 研究流程。</w:t>
      </w:r>
    </w:p>
    <w:p w14:paraId="77CABC95">
      <w:pPr>
        <w:spacing w:after="120"/>
        <w:jc w:val="both"/>
      </w:pPr>
      <w:r>
        <w:rPr>
          <w:rFonts w:ascii="微软雅黑" w:hAnsi="微软雅黑" w:eastAsia="微软雅黑"/>
          <w:sz w:val="23"/>
          <w:szCs w:val="23"/>
        </w:rPr>
        <w:t>7. 设置中心：管理个人资料、模型 API、界面偏好和本地配置。</w:t>
      </w:r>
    </w:p>
    <w:p w14:paraId="042C766F">
      <w:pPr>
        <w:spacing w:before="260" w:after="120"/>
        <w:outlineLvl w:val="0"/>
      </w:pPr>
      <w:r>
        <w:rPr>
          <w:rFonts w:ascii="微软雅黑" w:hAnsi="微软雅黑" w:eastAsia="微软雅黑"/>
          <w:b/>
          <w:color w:val="0B1F4D"/>
          <w:sz w:val="28"/>
          <w:szCs w:val="28"/>
        </w:rPr>
        <w:t>七、模型 API 接入</w:t>
      </w:r>
    </w:p>
    <w:p w14:paraId="69294AF7">
      <w:pPr>
        <w:spacing w:after="120"/>
        <w:jc w:val="both"/>
      </w:pPr>
      <w:r>
        <w:rPr>
          <w:rFonts w:ascii="微软雅黑" w:hAnsi="微软雅黑" w:eastAsia="微软雅黑"/>
          <w:sz w:val="23"/>
          <w:szCs w:val="23"/>
        </w:rPr>
        <w:t>系统支持多种主流国内外模型服务商，包括 OpenAI、Azure OpenAI、Anthropic、Google Gemini、Mistral、xAI、Groq、OpenRouter、Together AI、DeepSeek、通义千问、Kimi、智谱 GLM、百度千帆、腾讯混元、MiniMax、火山方舟和 SiliconFlow 等。</w:t>
      </w:r>
    </w:p>
    <w:p w14:paraId="643186B4">
      <w:pPr>
        <w:spacing w:after="120"/>
        <w:jc w:val="both"/>
      </w:pPr>
      <w:r>
        <w:rPr>
          <w:rFonts w:ascii="微软雅黑" w:hAnsi="微软雅黑" w:eastAsia="微软雅黑"/>
          <w:sz w:val="23"/>
          <w:szCs w:val="23"/>
        </w:rPr>
        <w:t>用户在设置弹窗中选择服务商后，系统会自动填充协议、Base URL、推荐模型和说明。没有 API Key 时，可以使用演示模式继续体验。</w:t>
      </w:r>
    </w:p>
    <w:p w14:paraId="4472A7CC">
      <w:pPr>
        <w:spacing w:before="260" w:after="120"/>
        <w:outlineLvl w:val="0"/>
      </w:pPr>
      <w:r>
        <w:rPr>
          <w:rFonts w:ascii="微软雅黑" w:hAnsi="微软雅黑" w:eastAsia="微软雅黑"/>
          <w:b/>
          <w:color w:val="0B1F4D"/>
          <w:sz w:val="28"/>
          <w:szCs w:val="28"/>
        </w:rPr>
        <w:t>八、报告附件</w:t>
      </w:r>
    </w:p>
    <w:p w14:paraId="6308F684">
      <w:pPr>
        <w:spacing w:after="120"/>
        <w:jc w:val="both"/>
      </w:pPr>
      <w:r>
        <w:rPr>
          <w:rFonts w:ascii="微软雅黑" w:hAnsi="微软雅黑" w:eastAsia="微软雅黑"/>
          <w:sz w:val="23"/>
          <w:szCs w:val="23"/>
        </w:rPr>
        <w:t>reports 目录包含 BYD 与 TSLA 的示例研究报告，分别提供 Markdown、HTML 和 PDF 三种格式：</w:t>
      </w:r>
    </w:p>
    <w:p w14:paraId="3C3D8153">
      <w:pPr>
        <w:spacing w:after="120"/>
        <w:jc w:val="both"/>
      </w:pPr>
      <w:r>
        <w:rPr>
          <w:rFonts w:ascii="微软雅黑" w:hAnsi="微软雅黑" w:eastAsia="微软雅黑"/>
          <w:sz w:val="23"/>
          <w:szCs w:val="23"/>
        </w:rPr>
        <w:t>1. BYD_002594_SZ.md / BYD_002594_SZ.html / BYD_002594_SZ.pdf</w:t>
      </w:r>
    </w:p>
    <w:p w14:paraId="274FED10">
      <w:pPr>
        <w:spacing w:after="120"/>
        <w:jc w:val="both"/>
      </w:pPr>
      <w:r>
        <w:rPr>
          <w:rFonts w:ascii="微软雅黑" w:hAnsi="微软雅黑" w:eastAsia="微软雅黑"/>
          <w:sz w:val="23"/>
          <w:szCs w:val="23"/>
        </w:rPr>
        <w:t>2. TSLA.md / TSLA.html / TSLA.pdf</w:t>
      </w:r>
    </w:p>
    <w:p w14:paraId="157B9577">
      <w:pPr>
        <w:spacing w:after="120"/>
        <w:jc w:val="both"/>
      </w:pPr>
      <w:r>
        <w:rPr>
          <w:rFonts w:ascii="微软雅黑" w:hAnsi="微软雅黑" w:eastAsia="微软雅黑"/>
          <w:sz w:val="23"/>
          <w:szCs w:val="23"/>
        </w:rPr>
        <w:t>报告为研究演示用途，不构成投资建议。</w:t>
      </w:r>
    </w:p>
    <w:p w14:paraId="64669184">
      <w:pPr>
        <w:spacing w:before="260" w:after="120"/>
        <w:outlineLvl w:val="0"/>
      </w:pPr>
      <w:r>
        <w:rPr>
          <w:rFonts w:ascii="微软雅黑" w:hAnsi="微软雅黑" w:eastAsia="微软雅黑"/>
          <w:b/>
          <w:color w:val="0B1F4D"/>
          <w:sz w:val="28"/>
          <w:szCs w:val="28"/>
        </w:rPr>
        <w:t>九、测试与验证</w:t>
      </w:r>
    </w:p>
    <w:p w14:paraId="503E0C26">
      <w:pPr>
        <w:spacing w:after="120"/>
        <w:jc w:val="both"/>
      </w:pPr>
      <w:r>
        <w:rPr>
          <w:rFonts w:ascii="微软雅黑" w:hAnsi="微软雅黑" w:eastAsia="微软雅黑"/>
          <w:sz w:val="23"/>
          <w:szCs w:val="23"/>
        </w:rPr>
        <w:t>后端测试命令：</w:t>
      </w:r>
    </w:p>
    <w:p w14:paraId="4F5F513A">
      <w:pPr>
        <w:shd w:val="clear" w:color="auto" w:fill="F3F6FB"/>
        <w:spacing w:before="80" w:after="120"/>
        <w:ind w:left="240" w:right="240"/>
      </w:pPr>
      <w:r>
        <w:rPr>
          <w:rFonts w:ascii="Consolas" w:hAnsi="Consolas" w:eastAsia="微软雅黑"/>
          <w:color w:val="0B1F4D"/>
          <w:sz w:val="21"/>
          <w:szCs w:val="21"/>
        </w:rPr>
        <w:t>cd apps/api</w:t>
      </w:r>
      <w:r>
        <w:rPr>
          <w:rFonts w:ascii="Consolas" w:hAnsi="Consolas" w:eastAsia="微软雅黑"/>
          <w:color w:val="0B1F4D"/>
          <w:sz w:val="21"/>
          <w:szCs w:val="21"/>
        </w:rPr>
        <w:br w:type="textWrapping"/>
      </w:r>
      <w:r>
        <w:rPr>
          <w:rFonts w:ascii="Consolas" w:hAnsi="Consolas" w:eastAsia="微软雅黑"/>
          <w:color w:val="0B1F4D"/>
          <w:sz w:val="21"/>
          <w:szCs w:val="21"/>
        </w:rPr>
        <w:t>$env:PYTHONPATH=(Get-Location).Path</w:t>
      </w:r>
      <w:r>
        <w:rPr>
          <w:rFonts w:ascii="Consolas" w:hAnsi="Consolas" w:eastAsia="微软雅黑"/>
          <w:color w:val="0B1F4D"/>
          <w:sz w:val="21"/>
          <w:szCs w:val="21"/>
        </w:rPr>
        <w:br w:type="textWrapping"/>
      </w:r>
      <w:r>
        <w:rPr>
          <w:rFonts w:ascii="Consolas" w:hAnsi="Consolas" w:eastAsia="微软雅黑"/>
          <w:color w:val="0B1F4D"/>
          <w:sz w:val="21"/>
          <w:szCs w:val="21"/>
        </w:rPr>
        <w:t>pytest tests</w:t>
      </w:r>
    </w:p>
    <w:p w14:paraId="1F1B6F3B">
      <w:pPr>
        <w:spacing w:after="120"/>
        <w:jc w:val="both"/>
      </w:pPr>
      <w:r>
        <w:rPr>
          <w:rFonts w:ascii="微软雅黑" w:hAnsi="微软雅黑" w:eastAsia="微软雅黑"/>
          <w:sz w:val="23"/>
          <w:szCs w:val="23"/>
        </w:rPr>
        <w:t>前端类型检查与构建命令：</w:t>
      </w:r>
    </w:p>
    <w:p w14:paraId="7B874F45">
      <w:pPr>
        <w:shd w:val="clear" w:color="auto" w:fill="F3F6FB"/>
        <w:spacing w:before="80" w:after="120"/>
        <w:ind w:left="240" w:right="240"/>
      </w:pPr>
      <w:r>
        <w:rPr>
          <w:rFonts w:ascii="Consolas" w:hAnsi="Consolas" w:eastAsia="微软雅黑"/>
          <w:color w:val="0B1F4D"/>
          <w:sz w:val="21"/>
          <w:szCs w:val="21"/>
        </w:rPr>
        <w:t>cd apps/web</w:t>
      </w:r>
      <w:r>
        <w:rPr>
          <w:rFonts w:ascii="Consolas" w:hAnsi="Consolas" w:eastAsia="微软雅黑"/>
          <w:color w:val="0B1F4D"/>
          <w:sz w:val="21"/>
          <w:szCs w:val="21"/>
        </w:rPr>
        <w:br w:type="textWrapping"/>
      </w:r>
      <w:r>
        <w:rPr>
          <w:rFonts w:ascii="Consolas" w:hAnsi="Consolas" w:eastAsia="微软雅黑"/>
          <w:color w:val="0B1F4D"/>
          <w:sz w:val="21"/>
          <w:szCs w:val="21"/>
        </w:rPr>
        <w:t>npm run typecheck</w:t>
      </w:r>
      <w:r>
        <w:rPr>
          <w:rFonts w:ascii="Consolas" w:hAnsi="Consolas" w:eastAsia="微软雅黑"/>
          <w:color w:val="0B1F4D"/>
          <w:sz w:val="21"/>
          <w:szCs w:val="21"/>
        </w:rPr>
        <w:br w:type="textWrapping"/>
      </w:r>
      <w:r>
        <w:rPr>
          <w:rFonts w:ascii="Consolas" w:hAnsi="Consolas" w:eastAsia="微软雅黑"/>
          <w:color w:val="0B1F4D"/>
          <w:sz w:val="21"/>
          <w:szCs w:val="21"/>
        </w:rPr>
        <w:t>npm run build</w:t>
      </w:r>
    </w:p>
    <w:p w14:paraId="05DB0163">
      <w:pPr>
        <w:spacing w:after="120"/>
        <w:jc w:val="both"/>
      </w:pPr>
    </w:p>
    <w:sectPr>
      <w:pgSz w:w="11906" w:h="16838"/>
      <w:pgMar w:top="1134" w:right="1134" w:bottom="1134" w:left="1134" w:header="720" w:footer="720" w:gutter="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documentProtection w:enforcement="0"/>
  <w:compat>
    <w:useFELayout/>
    <w:splitPgBreakAndParaMark/>
    <w:compatSetting w:name="compatibilityMode" w:uri="http://schemas.microsoft.com/office/word" w:val="12"/>
  </w:compat>
  <w:rsids>
    <w:rsidRoot w:val="00000000"/>
    <w:rsid w:val="24C30C8F"/>
    <w:rsid w:val="7C1C1C6D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sz w:val="21"/>
      <w:szCs w:val="22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3</Pages>
  <Words>1144</Words>
  <Characters>1647</Characters>
  <TotalTime>0</TotalTime>
  <ScaleCrop>false</ScaleCrop>
  <LinksUpToDate>false</LinksUpToDate>
  <CharactersWithSpaces>1747</CharactersWithSpaces>
  <Application>Aurora Markets Research Terminal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2026-05-17T13:23:00Z</dcterms:created>
  <dc:creator>Aurora Markets Research Terminal</dc:creator>
  <cp:lastModifiedBy>Aurora Markets Research Terminal</cp:lastModifiedBy>
  <dcterms:modified xsi:type="dcterms:W3CDTF">2026-05-19T08:24:00Z</dcterms:modified>
  <dc:title>Aurora Markets Research Terminal User Guide</dc:title>
</cp:coreProperties>
</file>