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52382" cy="2280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3629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452381" cy="228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14.36pt;height:17.9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/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/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/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/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/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40"/>
        </w:rPr>
        <w:t xml:space="preserve"> АВТОМАТИЗИРОВАННАЯ СИСТЕМА УПРАВЛЕНИЯ СТРАХОВЫМИ ОПЕРАЦИЯМИ</w:t>
        <w:br/>
        <w:t xml:space="preserve"> ООО "АГЕНТ АКАДЕМИИ"</w:t>
      </w:r>
      <w:r/>
    </w:p>
    <w:p>
      <w:pPr>
        <w:ind w:left="0" w:right="0" w:firstLine="0"/>
        <w:jc w:val="center"/>
        <w:spacing w:line="54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40"/>
        </w:rPr>
        <w:t xml:space="preserve">БАЗОВЫЙ ФУНКЦИОНАЛ МОДУЛЯ «ПРОЛОНГАЦИИ»</w:t>
      </w:r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 w:type="page" w:clear="all"/>
      </w:r>
      <w:r/>
    </w:p>
    <w:p>
      <w:pPr>
        <w:ind w:left="0" w:right="0" w:firstLine="0"/>
        <w:spacing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/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/>
    </w:p>
    <w:p>
      <w:pPr>
        <w:ind w:left="0" w:right="0" w:firstLine="0"/>
        <w:spacing w:line="60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pacing w:val="5"/>
          <w:sz w:val="40"/>
        </w:rPr>
        <w:t xml:space="preserve">Оглавление</w:t>
      </w:r>
      <w:r/>
    </w:p>
    <w:p>
      <w:pPr>
        <w:ind w:left="0" w:right="0" w:firstLine="0"/>
        <w:spacing w:line="276" w:lineRule="auto"/>
        <w:rPr>
          <w:b w:val="0"/>
          <w:bCs w:val="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b w:val="0"/>
          <w:bCs w:val="0"/>
        </w:rPr>
      </w:r>
      <w:hyperlink r:id="rId10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3" w:history="1">
        <w:r>
          <w:rPr>
            <w:rStyle w:val="81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u w:val="none"/>
          </w:rPr>
          <w:t xml:space="preserve">1.</w:t>
        </w:r>
        <w:r>
          <w:rPr>
            <w:rStyle w:val="816"/>
            <w:rFonts w:ascii="Times New Roman" w:hAnsi="Times New Roman" w:eastAsia="Times New Roman" w:cs="Times New Roman"/>
            <w:b w:val="0"/>
            <w:bCs w:val="0"/>
            <w:color w:val="000000" w:themeColor="text1"/>
            <w:sz w:val="28"/>
            <w:u w:val="none"/>
          </w:rPr>
          <w:t xml:space="preserve">Общ</w:t>
        </w:r>
        <w:r>
          <w:rPr>
            <w:rStyle w:val="816"/>
            <w:rFonts w:ascii="Times New Roman" w:hAnsi="Times New Roman" w:eastAsia="Times New Roman" w:cs="Times New Roman"/>
            <w:b w:val="0"/>
            <w:bCs w:val="0"/>
            <w:color w:val="000000"/>
            <w:sz w:val="28"/>
            <w:u w:val="none"/>
          </w:rPr>
          <w:t xml:space="preserve">ие сведения ...................................................................................................2</w:t>
        </w:r>
      </w:hyperlink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left="220" w:right="0" w:firstLine="0"/>
        <w:spacing w:line="276" w:lineRule="auto"/>
        <w:tabs>
          <w:tab w:val="left" w:pos="851" w:leader="none"/>
          <w:tab w:val="left" w:pos="9345" w:leader="none"/>
        </w:tabs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hyperlink r:id="rId11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4" w:history="1"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1.1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История изменений..................................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......................</w:t>
        </w:r>
        <w:r>
          <w:rPr>
            <w:rStyle w:val="816"/>
            <w:rFonts w:ascii="Times New Roman" w:hAnsi="Times New Roman" w:eastAsia="Times New Roman" w:cs="Times New Roman"/>
            <w:color w:val="000000"/>
            <w:sz w:val="28"/>
            <w:u w:val="none"/>
          </w:rPr>
          <w:t xml:space="preserve">................................2</w:t>
        </w:r>
      </w:hyperlink>
      <w:r/>
      <w:r/>
    </w:p>
    <w:p>
      <w:pPr>
        <w:ind w:left="220" w:right="0" w:firstLine="0"/>
        <w:spacing w:line="276" w:lineRule="auto"/>
        <w:tabs>
          <w:tab w:val="left" w:pos="851" w:leader="none"/>
          <w:tab w:val="left" w:pos="9345" w:leader="none"/>
        </w:tabs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</w:rPr>
      </w:r>
      <w:hyperlink r:id="rId12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5" w:history="1"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1.2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Определения и сокращения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...........................................................................2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spacing w:line="276" w:lineRule="auto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</w:rPr>
      </w:r>
      <w:hyperlink r:id="rId13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6" w:history="1"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2.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Цели и задачи 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......................................................................................................3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spacing w:line="276" w:lineRule="auto"/>
        <w:rPr>
          <w:color w:val="000000" w:themeColor="text1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  <w:u w:val="none"/>
        </w:rPr>
      </w:r>
      <w:hyperlink r:id="rId14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7" w:history="1"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3.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Область применения 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..........................................................................................4</w:t>
        </w:r>
      </w:hyperlink>
      <w:r>
        <w:rPr>
          <w:color w:val="000000" w:themeColor="text1"/>
          <w:u w:val="none"/>
        </w:rPr>
      </w:r>
      <w:r>
        <w:rPr>
          <w:color w:val="000000" w:themeColor="text1"/>
          <w:u w:val="none"/>
        </w:rPr>
      </w:r>
    </w:p>
    <w:p>
      <w:pPr>
        <w:ind w:left="0" w:right="0" w:firstLine="0"/>
        <w:spacing w:line="276" w:lineRule="auto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</w:rPr>
      </w:r>
      <w:hyperlink r:id="rId15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8" w:history="1"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4. 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Функциональные требования ............................................................................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5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spacing w:line="276" w:lineRule="auto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</w:rPr>
      </w:r>
      <w:hyperlink r:id="rId16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9" w:history="1"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5. 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Пользовательский интерфейс ............................................................................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6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20" w:right="0" w:firstLine="0"/>
        <w:spacing w:line="276" w:lineRule="auto"/>
        <w:tabs>
          <w:tab w:val="left" w:pos="851" w:leader="none"/>
          <w:tab w:val="left" w:pos="9345" w:leader="none"/>
        </w:tabs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</w:rPr>
      </w:r>
      <w:hyperlink r:id="rId17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60" w:history="1"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5.1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Форма пролонгации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.....................................................................................6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20" w:right="0" w:firstLine="0"/>
        <w:spacing w:line="276" w:lineRule="auto"/>
        <w:tabs>
          <w:tab w:val="left" w:pos="851" w:leader="none"/>
          <w:tab w:val="left" w:pos="9345" w:leader="none"/>
        </w:tabs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</w:rPr>
      </w:r>
      <w:hyperlink r:id="rId18" w:tooltip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61" w:history="1"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5.2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 Форма договора страхования ОСАГО ........................................................</w:t>
        </w:r>
        <w:r>
          <w:rPr>
            <w:rStyle w:val="816"/>
            <w:rFonts w:ascii="Times New Roman" w:hAnsi="Times New Roman" w:eastAsia="Times New Roman" w:cs="Times New Roman"/>
            <w:color w:val="000000" w:themeColor="text1"/>
            <w:sz w:val="28"/>
            <w:u w:val="none"/>
          </w:rPr>
          <w:t xml:space="preserve">8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220" w:right="0" w:firstLine="0"/>
        <w:spacing w:line="276" w:lineRule="auto"/>
        <w:tabs>
          <w:tab w:val="left" w:pos="851" w:leader="none"/>
          <w:tab w:val="left" w:pos="9345" w:leader="none"/>
        </w:tabs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spacing w:line="600" w:lineRule="atLeast"/>
        <w:tabs>
          <w:tab w:val="left" w:pos="5633" w:leader="none"/>
        </w:tabs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pacing w:val="5"/>
          <w:sz w:val="40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  <w:br/>
        <w:t xml:space="preserve"> </w:t>
      </w:r>
      <w:r/>
    </w:p>
    <w:p>
      <w:pPr>
        <w:ind w:left="0" w:right="0" w:firstLine="0"/>
        <w:spacing w:line="600" w:lineRule="atLeast"/>
        <w:tabs>
          <w:tab w:val="left" w:pos="5633" w:leader="none"/>
        </w:tabs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pacing w:val="5"/>
          <w:sz w:val="40"/>
        </w:rPr>
        <w:tab/>
      </w:r>
      <w:r/>
    </w:p>
    <w:p>
      <w:pPr>
        <w:ind w:left="0" w:right="0" w:firstLine="0"/>
        <w:spacing w:line="600" w:lineRule="atLeast"/>
        <w:tabs>
          <w:tab w:val="left" w:pos="5633" w:leader="none"/>
        </w:tabs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pacing w:val="5"/>
          <w:sz w:val="40"/>
        </w:rPr>
        <w:tab/>
      </w:r>
      <w:r/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>
        <w:rPr>
          <w:rFonts w:ascii="Times New Roman" w:hAnsi="Times New Roman" w:eastAsia="Times New Roman" w:cs="Times New Roman"/>
          <w:color w:val="000000"/>
          <w:sz w:val="28"/>
        </w:rPr>
        <w:br/>
        <w:t xml:space="preserve"> </w:t>
      </w:r>
      <w:r/>
    </w:p>
    <w:p>
      <w:pPr>
        <w:pStyle w:val="65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pacing w:val="5"/>
          <w:sz w:val="40"/>
        </w:rPr>
        <w:t xml:space="preserve">Общие сведения</w:t>
      </w:r>
      <w:r/>
    </w:p>
    <w:p>
      <w:pPr>
        <w:pStyle w:val="66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История изменений</w:t>
        <w:br/>
      </w:r>
      <w:r/>
    </w:p>
    <w:tbl>
      <w:tblPr>
        <w:tblStyle w:val="690"/>
        <w:tblW w:w="0" w:type="auto"/>
        <w:tblInd w:w="-142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2126"/>
        <w:gridCol w:w="851"/>
        <w:gridCol w:w="5528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99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Дата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21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Автор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85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Версия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552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Изменения 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2024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212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Селезнева.М.С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8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1.0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552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Документ создан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2025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212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Селезнева М.С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8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1.1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552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https://agentacademy.kaiten.ru/space/280462/boards/card/44473178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2025 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2126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 Селезнева М.С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851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96" w:type="dxa"/>
              <w:top w:w="0" w:type="dxa"/>
              <w:right w:w="96" w:type="dxa"/>
              <w:bottom w:w="0" w:type="dxa"/>
            </w:tcMar>
            <w:tcW w:w="5528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https://agentacademy.kaiten.ru/space/280462/boards/card/44810381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/>
    </w:p>
    <w:p>
      <w:pPr>
        <w:pStyle w:val="66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Определения и сокращения</w:t>
      </w:r>
      <w:r/>
    </w:p>
    <w:tbl>
      <w:tblPr>
        <w:tblStyle w:val="690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97"/>
        <w:gridCol w:w="6457"/>
      </w:tblGrid>
      <w:tr>
        <w:tblPrEx/>
        <w:trPr>
          <w:trHeight w:val="315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Термин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Описание 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center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Пролонгация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Повторное заключение договора страхования на новый период.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center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Гос.номер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Государственный регистрационный номер транспортного средства — индивидуальное буквенно-цифровое обозначение, присваиваемое транспортному средству регистрационным подразделением. 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center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ИКП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Индивидуальный код продавца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center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Свидетельство о регистрации транспортного средства (СТС) — это документ, который выдаётся ГИБДД и подтверждает факт постановки автомобиля на учёт.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ПТС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Паспорт транспортного средства — документ, удостоверяющий право собственности на транспортное средство (автомобиль, мотоцикл и т. д.) и содержащий информацию о его технических характеристиках.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ЭПТС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Электронный паспорт транспортного средства — это цифровой документ, содержащий уникальный идентификатор с 15-значным кодом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VIN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Идентификационный номер транспортного средства — уникальный код транспортного средства, состоящий из 17 знаков.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Субагент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Лицо или компания, которое работает под контролем и на основании договора со страховым агентом.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Марка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Название производителя автомобиля, которое обозначает бренд.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Модель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Конкретный тип или версия автомобиля, производимая под определенной маркой. 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Мощность 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Мощность транспортного средства обычно измеряется в лошадиных силах (л.с.) или киловаттах (кВт) и указывает на способность двигателя производить работу.</w:t>
            </w:r>
            <w:r/>
          </w:p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 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Страхователь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Физическое или юридическое лицо, которое заключает договор страхования и обязуется уплачивать страховые взносы в обмен на защиту от определенных рисков.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Страховой агент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Физическое или юридическое лицо, от имени и по поручению страховой компании занимающееся продажей страховых полисов и/или заключением договоров страхования.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Автоматизированная система управления деятельностью Агент Академии 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Страховой агрегатор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Онлайн-платформа, на которой собрана информация о страховых продуктах от различных страховых компаний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Полис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Документ, выдаваемый страховой компанией страхователю или застрахованному лицу и подтверждающий заключение договора страхования.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Скоринг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Система оценки рисков и надёжности потенциальных клиентов страховых компаний.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РСА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Централизованная система, которая содержит информацию о всех полисах обязательного страхования гражданской ответственности владельцев транспортных средств (ОСАГО) в России. В контексте продления автопомошник. 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ВУ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Водительское удостоверение</w:t>
            </w:r>
            <w:r/>
          </w:p>
        </w:tc>
      </w:tr>
      <w:tr>
        <w:tblPrEx/>
        <w:trPr>
          <w:trHeight w:val="315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97" w:type="dxa"/>
            <w:vAlign w:val="top"/>
            <w:textDirection w:val="lrTb"/>
            <w:noWrap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Котировка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457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12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  <w:t xml:space="preserve">Данные о страхователе, которые передаём в страховые компании партнёры.</w:t>
            </w:r>
            <w:r/>
          </w:p>
        </w:tc>
      </w:tr>
    </w:tbl>
    <w:p>
      <w:pPr>
        <w:ind w:left="0" w:right="0" w:firstLine="0"/>
        <w:spacing w:line="36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2. Цели и задачи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  <w:br/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Эта спецификация требований к ПО описывает функциональные и нефункциональные требования к версии 1.0 веб-сервиса «Агент Академии» в части продления полиса ОСАГО физических и юридических лиц. Этот документ предназначен для команды, которая реализовывает и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проверяет корректность работы веб-сервиса. </w:t>
      </w:r>
      <w:r>
        <w:rPr>
          <w:rFonts w:ascii="Times New Roman" w:hAnsi="Times New Roman" w:eastAsia="Times New Roman" w:cs="Times New Roman"/>
          <w:color w:val="000000"/>
          <w:sz w:val="28"/>
        </w:rPr>
        <w:br/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Модуль формы пролонгации предназначен для оптимизации процесса продления страховых полисов. Он играет ключевую роль в повышении эффективности работы агентов и качестве обслуживания клиентов. </w:t>
        <w:br/>
        <w:t xml:space="preserve"> </w:t>
        <w:br/>
        <w:t xml:space="preserve"> Основные преимущества модуля включают:</w:t>
        <w:br/>
      </w:r>
      <w:r>
        <w:rPr>
          <w:rFonts w:ascii="Times New Roman" w:hAnsi="Times New Roman" w:eastAsia="Times New Roman" w:cs="Times New Roman"/>
          <w:b/>
          <w:color w:val="262626"/>
          <w:sz w:val="28"/>
        </w:rPr>
        <w:t xml:space="preserve"> 1. Упрощение процесса продления: 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Обеспечивает удобный интерфейс для агентов, позволяя им быстро находить и продлевать полисы существующих клиентов.</w:t>
      </w:r>
      <w:r/>
    </w:p>
    <w:p>
      <w:pPr>
        <w:ind w:left="0" w:right="0" w:firstLine="0"/>
        <w:spacing w:after="120" w:line="36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262626"/>
          <w:sz w:val="28"/>
        </w:rPr>
        <w:t xml:space="preserve">2. Интеграция с внешними системами: 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Позволяет подтягивать данные о клиентах из сторонних сервисов через API, что расширяет базу данных и улучшает актуальность информации.</w:t>
      </w:r>
      <w:r/>
    </w:p>
    <w:p>
      <w:pPr>
        <w:ind w:left="0" w:right="0" w:firstLine="0"/>
        <w:spacing w:after="120" w:line="36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262626"/>
          <w:sz w:val="28"/>
        </w:rPr>
        <w:t xml:space="preserve">3. Автоматическое заполнение данных: 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При заполнении карточки продления полиса данные автоматически заполняются на основе ответов сторонних систем, что минимизирует ручной труд и снижает вероятность ошибок.</w:t>
      </w:r>
      <w:r/>
    </w:p>
    <w:p>
      <w:pPr>
        <w:ind w:left="0" w:right="0" w:firstLine="0"/>
        <w:spacing w:after="120" w:line="36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262626"/>
          <w:sz w:val="28"/>
        </w:rPr>
        <w:t xml:space="preserve">4. Обработка новых клиентов: 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Агенты могут находить клиентов, которые отсутствуют в системе, и инициировать процесс их добавления, что позволяет расширять клиентскую базу.</w:t>
      </w:r>
      <w:r/>
    </w:p>
    <w:p>
      <w:pPr>
        <w:ind w:left="0" w:right="0" w:firstLine="0"/>
        <w:spacing w:after="120" w:line="36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262626"/>
          <w:sz w:val="28"/>
        </w:rPr>
        <w:t xml:space="preserve">5. Управление данными клиентов: 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Обеспечивает возможность редактирования и обновления информации о клиентах, что способствует поддержанию актуальности данных.</w:t>
        <w:br/>
        <w:t xml:space="preserve"> </w:t>
      </w:r>
      <w:r>
        <w:rPr>
          <w:rFonts w:ascii="Times New Roman" w:hAnsi="Times New Roman" w:eastAsia="Times New Roman" w:cs="Times New Roman"/>
          <w:b/>
          <w:color w:val="262626"/>
          <w:sz w:val="28"/>
        </w:rPr>
        <w:t xml:space="preserve">6. Удобство для клиентов: 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Упрощает процесс продления полисов для клиентов, так как агенты могут быстро и эффективно обрабатывать их запросы.</w:t>
      </w:r>
      <w:r/>
    </w:p>
    <w:p>
      <w:pPr>
        <w:ind w:left="0" w:right="0" w:firstLine="0"/>
        <w:spacing w:after="120" w:line="36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262626"/>
          <w:sz w:val="28"/>
        </w:rPr>
        <w:t xml:space="preserve">7. Отчетность и аналитика: 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Позволяет собирать данные о продленных полисов, что может быть использовано для анализа и улучшения бизнес-процессов.</w:t>
      </w:r>
      <w:r/>
    </w:p>
    <w:p>
      <w:pPr>
        <w:ind w:left="0" w:right="0" w:firstLine="0"/>
        <w:spacing w:after="120" w:line="36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br/>
        <w:t xml:space="preserve"> 3. Область применения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Модуль пролонгации полисов разработан для использования страховыми агентами в страховых компаниях, работающих по модели B2B.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Основные категории пользователей: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- Страховые агенты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- Субагенты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- Администраторы</w:t>
        <w:br/>
        <w:t xml:space="preserve"> - Кураторы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Модуль предназначен для автоматизации процессов продления и пролонгации страховых договоров, заключенных между страховыми компаниями и корпоративными клиентами.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 Ключевые функции модуля: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- Интеграция с API страховых компаний для получения актуальной информации о страховых полисах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- Управление заявками на пролонгацию полисов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- Ведение базы данных клиентов и их страховых договоров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- Формирование отчетности и аналитики по процессам пролонгации</w:t>
        <w:br/>
        <w:t xml:space="preserve"> 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262626"/>
          <w:sz w:val="36"/>
        </w:rPr>
        <w:t xml:space="preserve">4. Функциональные требования</w:t>
        <w:br/>
        <w:t xml:space="preserve"> </w:t>
        <w:br/>
        <w:t xml:space="preserve"> </w:t>
      </w:r>
      <w:r>
        <w:rPr>
          <w:rFonts w:ascii="Times New Roman" w:hAnsi="Times New Roman" w:eastAsia="Times New Roman" w:cs="Times New Roman"/>
          <w:b/>
          <w:color w:val="262626"/>
          <w:sz w:val="28"/>
        </w:rPr>
        <w:t xml:space="preserve">ФТ-1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 Пользователь в форме пролонгации может воспользоваться поиском клиента у которого имеется полис ОСАГО физического или юридического лица, нажав на активатор «Найти», после заполнения полей: «ФИО» страхователя, «Государственный номер», «Водительское удостов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ерение».</w:t>
        <w:br/>
        <w:t xml:space="preserve"> </w:t>
        <w:br/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ФТ-3 </w:t>
      </w:r>
      <w:r>
        <w:rPr>
          <w:rFonts w:ascii="Times New Roman" w:hAnsi="Times New Roman" w:eastAsia="Times New Roman" w:cs="Times New Roman"/>
          <w:color w:val="262626"/>
          <w:sz w:val="28"/>
        </w:rPr>
        <w:t xml:space="preserve">В форме пролонгации выводим список физических и юридических лиц с полисом ОСАГО, а также полис ипотечного страхования.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ФТ-4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Пользователь может на странице пролонгации воспользоваться фильтром по типу клиентов: «Все клиенты», «Оформленные», «Одобренные», «Оформленные в РСА», «Не прошли скоринг».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ФТ-5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Система предоставляет возможность посмотреть уровень пролонгации в процентах в форме «Продление полиса».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ФТ-6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Система предоставляет возможность оставить комментарий – заметку по страхователю при нажатии правой кнопки мыши по данным страхователя в форме пролонгации.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ФТ-7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Система предоставляет возможность вывести общий список клиентов, которым нужно продлить полис при нажатии правой кнопки мыши по данным страхователя в форме «Продление полиса», в текстовом и табличном документе.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ФТ-8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Система выводит данные клиентов в форме пролонгации за последние 30 дней до окончания страхового полиса.</w:t>
        <w:br/>
        <w:t xml:space="preserve"> </w:t>
        <w:br/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ФТ-9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Система автоматически удаляет данные о страховых полисах из формы пролонгации, если срок их действия истек более 30 дней назад.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ФТ-10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Система поддерживает интеграцию со следующими сервисами для получения данных о ТС: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- Ренессанс - получение данных о транспортном средстве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- Spectrum - получение данных полиса по VIN-номеру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- APICloud - получение данных о транспортном средстве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ФТ-11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 карточке продление полиса ОСАГО пользователь может редактировать данные страхователя.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ФТ-12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Система сохраняет информацию о пользователях и их страховых продуктах.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ФТ-13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Модуль пролонгации полисов отображает статус страховых полисов с использованием следующей цветовой индикации: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- Красный цвет: Полис просрочен, требуется немедленное продление.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- Зеленый цвет: Полис успешно продлен.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- Желтый цвет: До окончания срока действия полиса осталось 10 дней, требуется внимание к пролонгации.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ФТ-14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Система обеспечивает возможность оплаты страховых полисов через онлайн эквайринг для физических и юридических лиц и счётом на оплату только для юридических лиц. 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ФТ-15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Пользователь может скачать страховой полис, заявление на страхование и кросс продукт, если статус полиса «Оформлен» и отправить его страхователю.</w:t>
        <w:br/>
        <w:t xml:space="preserve"> 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ФТ-16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При вводе пользователем информации в карточке продления полиса ОСАГО юридического лица в поле «ИНН», система должна автоматически обращаться к внешнему сервису DaData для получения информации о юридическом лице. Полученные данные должны использоваться для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автоматического заполнения соответствующих полей в разделе «Страхователь юридическое лицо».</w:t>
        <w:br/>
        <w:t xml:space="preserve"> </w:t>
        <w:br/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ФТ-17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Система предлагает варианты адресов регистрации по мере ввода пользователем данных в поле «Адрес регистрации». Система получает эти варианты от внешнего DaData Service и отображает их для выбора пользователем.</w:t>
        <w:br/>
        <w:t xml:space="preserve"> </w:t>
        <w:br/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ФТ-18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Система должна быть интегрирована с API страховых компаний-партнеров для получения актуальных тарифов на пролонгацию страховых полисов ОСАГО. При запросе пользователя на пролонгацию полиса, система должна отправлять запрос через API к страховым компаниям,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получать ответ с предложением по тарифу, и выводить это предложение на экранную форму для пользователя в разделе «Оформления полиса ОСАГО».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 </w:t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Пользовательский интерфейс </w:t>
        <w:br/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5.1 Форма пролонгации</w:t>
        <w:br/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ПИ-1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Пользователь имеет возможность перейти на страницу «Продления полиса», нажав на знак «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5525" cy="19048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2948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05525" cy="190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6.18pt;height:15.0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» в правой панели меню.</w:t>
        <w:br/>
        <w:t xml:space="preserve"> </w:t>
        <w:br/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ПИ-2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Интерфейс предоставляет возможность пользователю легко находить информацию о клиентах и продлевать полиса. Главное окно для поиска клиента рис.1 окно под номером 1.</w:t>
        <w:br/>
        <w:t xml:space="preserve"> 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ПИ-3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Пользовательский инт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ерфейс в форме «Пролонгации»  обеспечивает доступ к данным о клиентах с информацией: «ФИО» страхователя, «Марка-модель» автомобиля, «Номер полиса», «Дата окончания полиса», «Страховая компания», «Цена ОСАГО прошлый год», «Номер телефона», «Статуса полиса».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br/>
        <w:t xml:space="preserve">ПИ- 4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 форме «Продление полиса» доступен просмотр уровня пролонгации рис.1 окно под номером 2. </w:t>
        <w:br/>
        <w:br/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ПИ- 5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 поле выбора данных под номером 3 рис.1 пользователь может настроить фильтры по агентам и по клиентам и воспользоваться окном быстрый поиск.</w:t>
        <w:br/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9310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6464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793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41.19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                                  Рисунок 1- «Интерфейс раздела продления»</w:t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</w:t>
        <w:br/>
        <w:t xml:space="preserve"> ПИ-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6 Пользователь может оставить заметки/комментарий по клиенту и вывести список в текстовом и табличном формате документа, нажав на знак  «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8246" cy="14945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6763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158245" cy="149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2.46pt;height:11.77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», расположенный в строке данных о клиенте рис.2</w:t>
        <w:br/>
        <w:t xml:space="preserve"> </w:t>
      </w:r>
      <w:r/>
    </w:p>
    <w:p>
      <w:pPr>
        <w:ind w:left="0" w:right="0" w:firstLine="0"/>
        <w:jc w:val="left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5651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1696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1756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38.31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                                              Рисунок 2 – «Окно заметки – экспорт»</w:t>
        <w:br/>
        <w:br/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5.2 Форма договора ОСАГО</w:t>
        <w:br/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Пользователь может перейти в форму договора ОСАГО пролонгации из раздела «Продление полиса», кликнув 2 раза мышью строку с информацией о клиенте. </w:t>
        <w:br/>
        <w:t xml:space="preserve"> В данной форме есть разделение на физические и юридические лица, чтобы перейти в карточку юридического или ф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изического лица нужно кликнуть 1 раз на данный раздел рис.3 </w:t>
        <w:br/>
        <w:t xml:space="preserve">Если клиент ранее оформля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л полис в Агент Академии, то карточка в форме ОСАГО будет заполнена, а поля доступны к редактированию.</w:t>
        <w:br/>
        <w:br/>
        <w:t xml:space="preserve">Если клиента нет в нашей базе данных, то в карточке ОСАГО будут заполнены поля: «Фамилия», «Имя», «Отчество», «Гос.знак», «Водительское удостоверение».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 случае если данные не заполнились автоматически, исходя из ответа из внешних систем нужно проверить данные и заполнить пустые окна.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С логикой заполнения полей в форме ОСАГО физических и юридических лиц можно в </w:t>
      </w:r>
      <w:r>
        <w:rPr>
          <w:rFonts w:ascii="Times New Roman" w:hAnsi="Times New Roman" w:eastAsia="Times New Roman" w:cs="Times New Roman"/>
          <w:color w:val="000000"/>
          <w:sz w:val="28"/>
        </w:rPr>
      </w:r>
      <w:hyperlink r:id="rId23" w:tooltip="https://disk.yandex.ru/edit/disk/disk%2FМодуль %22Оформление полиса ОСАГО%22.docx?source=docs&amp;sk=y5a7cdde3e88b69c8c22e39efbd59d41f" w:history="1">
        <w:r>
          <w:rPr>
            <w:rStyle w:val="816"/>
            <w:rFonts w:ascii="Times New Roman" w:hAnsi="Times New Roman" w:eastAsia="Times New Roman" w:cs="Times New Roman"/>
            <w:sz w:val="28"/>
          </w:rPr>
          <w:t xml:space="preserve">документе "Оформление полиса ОСАГО"</w:t>
        </w:r>
      </w:hyperlink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В случае возникновения вопросов или нестандартных ситуаций, пользователь может обратиться в чат службы поддержки «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2412" cy="21547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279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242410" cy="215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19.09pt;height:16.97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», который расположен в нижнем правом углу экранной формы.</w:t>
      </w:r>
      <w:r>
        <w:rPr>
          <w:rFonts w:ascii="Times New Roman" w:hAnsi="Times New Roman" w:eastAsia="Times New Roman" w:cs="Times New Roman"/>
          <w:color w:val="000000"/>
          <w:sz w:val="28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8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807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56554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208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52.60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</w:rPr>
        <w:br/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                       Рисунок 3 - «Форма договора ОСАГО – физического лица»</w:t>
        <w:br/>
        <w:t xml:space="preserve"> </w:t>
        <w:br/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878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7673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3128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246.36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                               Рисунок 4 – «Форма договора ОСАГО – юридического лица»</w:t>
        <w:br/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 xml:space="preserve"> </w:t>
        <w:br/>
        <w:br/>
      </w:r>
      <w:r/>
    </w:p>
    <w:p>
      <w:pPr>
        <w:ind w:left="0" w:right="0" w:firstLine="0"/>
        <w:spacing w:line="360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 w:type="page" w:clear="all"/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262626"/>
          <w:sz w:val="28"/>
        </w:rPr>
        <w:t xml:space="preserve"> </w:t>
      </w:r>
      <w:r/>
    </w:p>
    <w:p>
      <w:pPr>
        <w:ind w:left="0" w:right="0" w:firstLine="0"/>
        <w:spacing w:line="420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262626"/>
          <w:sz w:val="28"/>
        </w:rPr>
        <w:t xml:space="preserve"> </w:t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52" w:hanging="432"/>
      </w:pPr>
      <w:rPr>
        <w:rFonts w:ascii="Times New Roman" w:hAnsi="Times New Roman" w:eastAsia="Times New Roman" w:cs="Times New Roman"/>
      </w:rPr>
    </w:lvl>
    <w:lvl w:ilvl="1">
      <w:start w:val="1"/>
      <w:numFmt w:val="decimal"/>
      <w:isLgl w:val="false"/>
      <w:suff w:val="tab"/>
      <w:lvlText w:val="%1.%2"/>
      <w:lvlJc w:val="left"/>
      <w:pPr>
        <w:ind w:left="796" w:hanging="576"/>
      </w:pPr>
    </w:lvl>
    <w:lvl w:ilvl="2">
      <w:start w:val="1"/>
      <w:numFmt w:val="decimal"/>
      <w:isLgl w:val="false"/>
      <w:suff w:val="tab"/>
      <w:lvlText w:val="%1.%2.%3"/>
      <w:lvlJc w:val="left"/>
      <w:pPr>
        <w:ind w:left="94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84" w:hanging="864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228" w:hanging="1008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372" w:hanging="1152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516" w:hanging="1296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66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4" w:hanging="1584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4"/>
    <w:next w:val="83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9">
    <w:name w:val="Heading 1 Char"/>
    <w:link w:val="658"/>
    <w:uiPriority w:val="9"/>
    <w:rPr>
      <w:rFonts w:ascii="Liberation Sans" w:hAnsi="Liberation Sans" w:eastAsia="Liberation Sans" w:cs="Liberation Sans"/>
    </w:rPr>
  </w:style>
  <w:style w:type="paragraph" w:styleId="660">
    <w:name w:val="Heading 2"/>
    <w:basedOn w:val="658"/>
    <w:next w:val="834"/>
    <w:link w:val="661"/>
    <w:uiPriority w:val="9"/>
    <w:unhideWhenUsed/>
    <w:qFormat/>
    <w:rPr>
      <w:rFonts w:ascii="Liberation Sans" w:hAnsi="Liberation Sans" w:eastAsia="Liberation Sans" w:cs="Liberation Sans"/>
    </w:rPr>
  </w:style>
  <w:style w:type="character" w:styleId="661">
    <w:name w:val="Heading 2 Char"/>
    <w:link w:val="660"/>
    <w:uiPriority w:val="9"/>
    <w:rPr>
      <w:rFonts w:ascii="Liberation Sans" w:hAnsi="Liberation Sans" w:eastAsia="Liberation Sans" w:cs="Liberation Sans"/>
      <w:sz w:val="34"/>
    </w:rPr>
  </w:style>
  <w:style w:type="paragraph" w:styleId="662">
    <w:name w:val="Heading 3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3">
    <w:name w:val="Heading 3 Char"/>
    <w:link w:val="662"/>
    <w:uiPriority w:val="9"/>
    <w:rPr>
      <w:rFonts w:ascii="Liberation Sans" w:hAnsi="Liberation Sans" w:cs="Liberation Sans"/>
    </w:rPr>
  </w:style>
  <w:style w:type="paragraph" w:styleId="664">
    <w:name w:val="Heading 4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5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6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7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8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9"/>
    <w:basedOn w:val="834"/>
    <w:next w:val="834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No Spacing"/>
    <w:basedOn w:val="834"/>
    <w:uiPriority w:val="1"/>
    <w:qFormat/>
    <w:pPr>
      <w:spacing w:after="0" w:line="240" w:lineRule="auto"/>
    </w:pPr>
  </w:style>
  <w:style w:type="paragraph" w:styleId="838">
    <w:name w:val="List Paragraph"/>
    <w:basedOn w:val="834"/>
    <w:uiPriority w:val="34"/>
    <w:qFormat/>
    <w:pPr>
      <w:contextualSpacing/>
      <w:ind w:left="720"/>
    </w:pPr>
  </w:style>
  <w:style w:type="character" w:styleId="83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3" TargetMode="External"/><Relationship Id="rId11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4" TargetMode="External"/><Relationship Id="rId12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5" TargetMode="External"/><Relationship Id="rId13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6" TargetMode="External"/><Relationship Id="rId14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7" TargetMode="External"/><Relationship Id="rId15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8" TargetMode="External"/><Relationship Id="rId16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59" TargetMode="External"/><Relationship Id="rId17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60" TargetMode="External"/><Relationship Id="rId18" Type="http://schemas.openxmlformats.org/officeDocument/2006/relationships/hyperlink" Target="https://galiu4xdcslkqxse_vla_808_3b6d0f3841a2cb456d6ac431e9133202.onlyoffice.disk.yandex.net/2024.1.1-375/web-apps/apps/documenteditor/main/index_loader.html?_dc=2024.1.1-375&amp;lang=ru&amp;customer=%D0%AF%D0%BD%D0%B4%D0%B5%D0%BA%D1%81.%D0%94%D0%B8%D1%81%D0%BA&amp;headerlogo=https%3A%2F%2Fyastatic.net%2Fs3%2Feditor%2F_%2Feditor_docs_icon_ru_v1.svg&amp;frameEditorId=only-office-app&amp;parentOrigin=https://disk.yandex.ru#_Toc171676661" TargetMode="Externa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s://disk.yandex.ru/edit/disk/disk%2F&#1052;&#1086;&#1076;&#1091;&#1083;&#1100; %22&#1054;&#1092;&#1086;&#1088;&#1084;&#1083;&#1077;&#1085;&#1080;&#1077; &#1087;&#1086;&#1083;&#1080;&#1089;&#1072; &#1054;&#1057;&#1040;&#1043;&#1054;%22.docx?source=docs&amp;sk=y5a7cdde3e88b69c8c22e39efbd59d41f" TargetMode="External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Мария Селезнева</cp:lastModifiedBy>
  <cp:revision>9</cp:revision>
  <dcterms:modified xsi:type="dcterms:W3CDTF">2025-02-12T13:07:32Z</dcterms:modified>
</cp:coreProperties>
</file>