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1d5dd8c4fa497a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Rasterizer</w:t>
      </w:r>
      <w:r>
        <w:rPr>
          <w:sz w:val="48"/>
          <w:rFonts w:ascii="Calibri (Body)"/>
        </w:rPr>
        <w:rPr>
          <w:color w:val="252525"/>
        </w:rPr>
        <w:t xml:space="preserve">: </w:t>
      </w:r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is dedicated hardware that converts the three-dimensional representation of a triangle into a series of pixels that need to be drawn onto the screen</w:t>
      </w:r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.32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Vertex:A single point in space. Except when used for point and line primitives, it also defines the point at which two edges of a polygon meet.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Front end</w:t>
      </w:r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 of Graphical pipeline: Processes vertices and </w:t>
      </w:r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primitives.E</w:t>
      </w:r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ventually</w:t>
      </w:r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 forming them into the points, lines, and triangles that will be handed off to the rasterizer. This is known as primitive </w:t>
      </w:r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assembly.After</w:t>
      </w:r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 going through the rasterizer, the geometry has been converted from what is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essentially a vector representation into a large number of independent pixels.32B,52PDF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  <w:p>
      <w:r>
        <w:br w:type="page"/>
      </w:r>
    </w:p>
    <w:altChunk xmlns:r="http://schemas.openxmlformats.org/officeDocument/2006/relationships" r:id="AltChunkId3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/Relationships>
</file>