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drawing>
          <wp:anchor behindDoc="0" distT="0" distB="0" distL="0" distR="0" simplePos="0" locked="0" layoutInCell="1" allowOverlap="1" relativeHeight="2">
            <wp:simplePos x="0" y="0"/>
            <wp:positionH relativeFrom="column">
              <wp:posOffset>9068435</wp:posOffset>
            </wp:positionH>
            <wp:positionV relativeFrom="paragraph">
              <wp:posOffset>41275</wp:posOffset>
            </wp:positionV>
            <wp:extent cx="1140460" cy="114490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LOnormal"/>
              <w:widowControl w:val="false"/>
              <w:spacing w:lineRule="auto" w:line="240" w:before="0" w:after="0"/>
              <w:rPr/>
            </w:pPr>
            <w:r>
              <w:rPr>
                <w:rFonts w:eastAsia="Arial Unicode MS" w:cs="Arial Unicode MS" w:ascii="Arial Unicode MS" w:hAnsi="Arial Unicode MS"/>
                <w:b/>
                <w:sz w:val="28"/>
                <w:szCs w:val="28"/>
              </w:rPr>
              <w:t xml:space="preserve">AC MAINTENANCE CONTRACT № </w:t>
            </w:r>
            <w:r>
              <w:rPr>
                <w:rFonts w:eastAsia="Arial Narrow" w:cs="Arial Narrow" w:ascii="Arial Narrow" w:hAnsi="Arial Narrow"/>
                <w:b/>
                <w:sz w:val="28"/>
                <w:szCs w:val="28"/>
              </w:rPr>
              <w:t>[contract_number_cpm]</w:t>
            </w:r>
            <w:r>
              <w:rPr>
                <w:rFonts w:eastAsia="Arial Narrow" w:cs="Arial Narrow" w:ascii="Arial Narrow" w:hAnsi="Arial Narrow"/>
                <w:b/>
                <w:sz w:val="24"/>
                <w:szCs w:val="24"/>
                <w:u w:val="single"/>
              </w:rPr>
              <w:br/>
            </w:r>
            <w:r>
              <w:rPr>
                <w:rFonts w:eastAsia="Arial Narrow" w:cs="Arial Narrow" w:ascii="Arial Narrow" w:hAnsi="Arial Narrow"/>
                <w:b/>
                <w:sz w:val="20"/>
                <w:szCs w:val="20"/>
              </w:rPr>
              <w:t xml:space="preserve">Date: [date]           </w:t>
            </w:r>
          </w:p>
        </w:tc>
        <w:tc>
          <w:tcPr>
            <w:tcW w:w="3987" w:type="dxa"/>
            <w:tcBorders/>
          </w:tcPr>
          <w:p>
            <w:pPr>
              <w:pStyle w:val="LOnormal"/>
              <w:widowControl w:val="false"/>
              <w:spacing w:lineRule="auto" w:line="240" w:before="0" w:after="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LOnormal"/>
              <w:widowControl w:val="false"/>
              <w:spacing w:lineRule="auto" w:line="240" w:before="0" w:after="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Client </w:t>
            </w:r>
            <w:r>
              <w:rPr>
                <w:rFonts w:eastAsia="Arial Narrow" w:cs="Arial Narrow" w:ascii="Arial Narrow" w:hAnsi="Arial Narrow"/>
                <w:sz w:val="20"/>
                <w:szCs w:val="20"/>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name: </w:t>
            </w:r>
            <w:r>
              <w:rPr>
                <w:rFonts w:eastAsia="Arial Narrow" w:cs="Arial Narrow" w:ascii="Arial Narrow" w:hAnsi="Arial Narrow"/>
                <w:sz w:val="20"/>
                <w:szCs w:val="20"/>
                <w:u w:val="single"/>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br/>
              <w:t xml:space="preserve">Address:  </w:t>
            </w:r>
            <w:r>
              <w:rPr>
                <w:rFonts w:eastAsia="Arial Narrow" w:cs="Arial Narrow" w:ascii="Arial Narrow" w:hAnsi="Arial Narrow"/>
                <w:sz w:val="20"/>
                <w:szCs w:val="20"/>
                <w:u w:val="single"/>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w:t>
            </w:r>
            <w:r>
              <w:rPr>
                <w:rFonts w:eastAsia="Arial Narrow" w:cs="Arial Narrow" w:ascii="Arial Narrow" w:hAnsi="Arial Narrow"/>
                <w:sz w:val="20"/>
                <w:szCs w:val="20"/>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signature: </w:t>
            </w:r>
          </w:p>
        </w:tc>
        <w:tc>
          <w:tcPr>
            <w:tcW w:w="8899" w:type="dxa"/>
            <w:tcBorders/>
            <w:tcMar>
              <w:top w:w="0" w:type="dxa"/>
              <w:left w:w="108" w:type="dxa"/>
              <w:right w:w="108" w:type="dxa"/>
            </w:tcMar>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drawing>
                <wp:anchor behindDoc="0" distT="114300" distB="114300" distL="114300" distR="114300" simplePos="0" locked="0" layoutInCell="1" allowOverlap="1" relativeHeight="3">
                  <wp:simplePos x="0" y="0"/>
                  <wp:positionH relativeFrom="column">
                    <wp:posOffset>3164840</wp:posOffset>
                  </wp:positionH>
                  <wp:positionV relativeFrom="paragraph">
                    <wp:posOffset>42545</wp:posOffset>
                  </wp:positionV>
                  <wp:extent cx="2292985" cy="1240155"/>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K</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limatika AC and Refrigerator Maintenance LLC:</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General Manager: Mr. Andrei Solovjev</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 signature:</w:t>
            </w:r>
          </w:p>
        </w:tc>
      </w:tr>
    </w:tbl>
    <w:p>
      <w:pPr>
        <w:pStyle w:val="LOnormal"/>
        <w:spacing w:lineRule="auto" w:line="240" w:before="0" w:after="0"/>
        <w:rPr>
          <w:rFonts w:ascii="Arial Narrow" w:hAnsi="Arial Narrow" w:eastAsia="Arial Narrow" w:cs="Arial Narrow"/>
          <w:b/>
          <w:b/>
          <w:sz w:val="20"/>
          <w:szCs w:val="20"/>
        </w:rPr>
      </w:pPr>
      <w:r>
        <w:rPr>
          <w:rFonts w:eastAsia="Arial Narrow" w:cs="Arial Narrow" w:ascii="Arial Narrow" w:hAnsi="Arial Narrow"/>
          <w:b/>
          <w:sz w:val="20"/>
          <w:szCs w:val="20"/>
        </w:rPr>
      </w:r>
    </w:p>
    <w:p>
      <w:pPr>
        <w:pStyle w:val="LOnormal"/>
        <w:spacing w:lineRule="auto" w:line="240" w:before="0" w:after="0"/>
        <w:rPr>
          <w:rFonts w:ascii="Arial Narrow" w:hAnsi="Arial Narrow" w:eastAsia="Arial Narrow" w:cs="Arial Narrow"/>
          <w:b/>
          <w:b/>
          <w:sz w:val="20"/>
          <w:szCs w:val="20"/>
        </w:rPr>
      </w:pPr>
      <w:r>
        <w:rPr>
          <w:rFonts w:eastAsia="Arial Narrow" w:cs="Arial Narrow" w:ascii="Arial Narrow" w:hAnsi="Arial Narrow"/>
          <w:b/>
          <w:sz w:val="20"/>
          <w:szCs w:val="20"/>
        </w:rPr>
      </w:r>
    </w:p>
    <w:p>
      <w:pPr>
        <w:pStyle w:val="LOnormal"/>
        <w:pBdr>
          <w:bottom w:val="single" w:sz="4" w:space="1" w:color="000000"/>
        </w:pBdr>
        <w:spacing w:lineRule="auto" w:line="240" w:before="0" w:after="0"/>
        <w:rPr/>
      </w:pPr>
      <w:r>
        <w:rPr>
          <w:rFonts w:eastAsia="Arial Narrow" w:cs="Arial Narrow" w:ascii="Arial Narrow" w:hAnsi="Arial Narrow"/>
          <w:b/>
          <w:sz w:val="24"/>
          <w:szCs w:val="24"/>
        </w:rPr>
        <w:t>FINANCIAL TERMS</w:t>
      </w:r>
    </w:p>
    <w:p>
      <w:pPr>
        <w:pStyle w:val="LOnormal"/>
        <w:spacing w:lineRule="auto" w:line="240" w:before="0" w:after="0"/>
        <w:rPr>
          <w:rFonts w:ascii="Arial Narrow" w:hAnsi="Arial Narrow" w:eastAsia="Arial Narrow" w:cs="Arial Narrow"/>
          <w:b/>
          <w:b/>
          <w:sz w:val="20"/>
          <w:szCs w:val="20"/>
        </w:rPr>
      </w:pPr>
      <w:r>
        <w:rPr>
          <w:rFonts w:eastAsia="Arial Narrow" w:cs="Arial Narrow" w:ascii="Arial Narrow" w:hAnsi="Arial Narrow"/>
          <w:b/>
          <w:sz w:val="20"/>
          <w:szCs w:val="20"/>
        </w:rPr>
      </w:r>
    </w:p>
    <w:tbl>
      <w:tblPr>
        <w:tblStyle w:val="Table3"/>
        <w:tblpPr w:vertAnchor="text" w:horzAnchor="text" w:bottomFromText="180" w:leftFromText="180" w:rightFromText="180" w:topFromText="180" w:tblpX="249" w:tblpY="0"/>
        <w:tblW w:w="14970" w:type="dxa"/>
        <w:jc w:val="left"/>
        <w:tblInd w:w="0" w:type="dxa"/>
        <w:tblCellMar>
          <w:top w:w="0" w:type="dxa"/>
          <w:left w:w="0" w:type="dxa"/>
          <w:bottom w:w="0" w:type="dxa"/>
          <w:right w:w="0" w:type="dxa"/>
        </w:tblCellMar>
        <w:tblLook w:val="0400"/>
      </w:tblPr>
      <w:tblGrid>
        <w:gridCol w:w="929"/>
        <w:gridCol w:w="7756"/>
        <w:gridCol w:w="6285"/>
      </w:tblGrid>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b/>
                <w:sz w:val="24"/>
                <w:szCs w:val="24"/>
                <w:u w:val="single"/>
              </w:rPr>
            </w:pPr>
            <w:r>
              <w:rPr>
                <w:rFonts w:eastAsia="Arial Unicode MS" w:cs="Arial Unicode MS" w:ascii="Arial Unicode MS" w:hAnsi="Arial Unicode MS"/>
                <w:b/>
                <w:sz w:val="24"/>
                <w:szCs w:val="24"/>
                <w:u w:val="single"/>
              </w:rPr>
              <w:t>№</w:t>
            </w:r>
          </w:p>
        </w:tc>
        <w:tc>
          <w:tcPr>
            <w:tcW w:w="7756" w:type="dxa"/>
            <w:tcBorders/>
            <w:vAlign w:val="center"/>
          </w:tcPr>
          <w:p>
            <w:pPr>
              <w:pStyle w:val="LOnormal"/>
              <w:widowControl w:val="false"/>
              <w:spacing w:lineRule="auto" w:line="240" w:before="0" w:after="60"/>
              <w:rPr>
                <w:rFonts w:ascii="Arial Narrow" w:hAnsi="Arial Narrow" w:eastAsia="Arial Narrow" w:cs="Arial Narrow"/>
                <w:b/>
                <w:b/>
                <w:sz w:val="24"/>
                <w:szCs w:val="24"/>
                <w:u w:val="single"/>
              </w:rPr>
            </w:pPr>
            <w:r>
              <w:rPr>
                <w:rFonts w:eastAsia="Arial Narrow" w:cs="Arial Narrow" w:ascii="Arial Narrow" w:hAnsi="Arial Narrow"/>
                <w:b/>
                <w:sz w:val="24"/>
                <w:szCs w:val="24"/>
                <w:u w:val="single"/>
              </w:rPr>
              <w:t>Services Description</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b/>
                <w:sz w:val="24"/>
                <w:szCs w:val="24"/>
                <w:u w:val="single"/>
              </w:rPr>
            </w:pPr>
            <w:r>
              <w:rPr>
                <w:rFonts w:eastAsia="Arial Narrow" w:cs="Arial Narrow" w:ascii="Arial Narrow" w:hAnsi="Arial Narrow"/>
                <w:b/>
                <w:sz w:val="24"/>
                <w:szCs w:val="24"/>
                <w:u w:val="single"/>
              </w:rPr>
              <w:t>Amount</w:t>
            </w:r>
          </w:p>
        </w:tc>
      </w:tr>
      <w:tr>
        <w:trPr>
          <w:trHeight w:val="140"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b/>
                <w:color w:val="FFFFFF"/>
                <w:sz w:val="24"/>
                <w:szCs w:val="24"/>
              </w:rPr>
            </w:pPr>
            <w:r>
              <w:rPr>
                <w:rFonts w:eastAsia="Arial Narrow" w:cs="Arial Narrow" w:ascii="Arial Narrow" w:hAnsi="Arial Narrow"/>
                <w:b/>
                <w:color w:val="FFFFFF"/>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61" w:hRule="atLeast"/>
        </w:trPr>
        <w:tc>
          <w:tcPr>
            <w:tcW w:w="14970" w:type="dxa"/>
            <w:gridSpan w:val="3"/>
            <w:tcBorders/>
            <w:vAlign w:val="center"/>
          </w:tcPr>
          <w:p>
            <w:pPr>
              <w:pStyle w:val="LOnormal"/>
              <w:widowControl w:val="false"/>
              <w:spacing w:lineRule="auto" w:line="240" w:before="0" w:after="60"/>
              <w:rPr>
                <w:rFonts w:ascii="Arial Narrow" w:hAnsi="Arial Narrow" w:eastAsia="Arial Narrow" w:cs="Arial Narrow"/>
                <w:b/>
                <w:b/>
                <w:sz w:val="24"/>
                <w:szCs w:val="24"/>
              </w:rPr>
            </w:pPr>
            <w:r>
              <w:rPr>
                <w:rFonts w:eastAsia="Arial Narrow" w:cs="Arial Narrow" w:ascii="Arial Narrow" w:hAnsi="Arial Narrow"/>
                <w:b/>
                <w:sz w:val="24"/>
                <w:szCs w:val="24"/>
              </w:rPr>
              <w:t>Service</w:t>
            </w:r>
          </w:p>
        </w:tc>
      </w:tr>
      <w:tr>
        <w:trPr>
          <w:trHeight w:val="123"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b/>
                <w:sz w:val="24"/>
                <w:szCs w:val="24"/>
              </w:rPr>
            </w:pPr>
            <w:r>
              <w:rPr>
                <w:rFonts w:eastAsia="Arial Narrow" w:cs="Arial Narrow" w:ascii="Arial Narrow" w:hAnsi="Arial Narrow"/>
                <w:b/>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ind w:right="-2199" w:hanging="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[index1]</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[service1_name]</w:t>
            </w:r>
          </w:p>
        </w:tc>
        <w:tc>
          <w:tcPr>
            <w:tcW w:w="6285" w:type="dxa"/>
            <w:tcBorders/>
            <w:vAlign w:val="center"/>
          </w:tcPr>
          <w:p>
            <w:pPr>
              <w:pStyle w:val="LOnormal"/>
              <w:widowControl w:val="false"/>
              <w:suppressAutoHyphens w:val="true"/>
              <w:bidi w:val="0"/>
              <w:spacing w:lineRule="auto" w:line="240" w:before="0" w:after="60"/>
              <w:ind w:left="0" w:right="0" w:hanging="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[AED1]   [service1_price]</w:t>
            </w:r>
          </w:p>
        </w:tc>
      </w:tr>
      <w:tr>
        <w:trPr>
          <w:trHeight w:val="88"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[index2]</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[service2_name]</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[AED2]   [service2_price]</w:t>
            </w:r>
          </w:p>
        </w:tc>
      </w:tr>
      <w:tr>
        <w:trPr>
          <w:trHeight w:val="27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[index3]</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[service3_name]</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[AED3]   [service3_price]</w:t>
            </w:r>
          </w:p>
        </w:tc>
      </w:tr>
      <w:tr>
        <w:trPr>
          <w:trHeight w:val="19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bottom w:val="single" w:sz="4" w:space="0" w:color="000000"/>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Discount</w:t>
            </w:r>
          </w:p>
        </w:tc>
        <w:tc>
          <w:tcPr>
            <w:tcW w:w="6285" w:type="dxa"/>
            <w:tcBorders>
              <w:bottom w:val="single" w:sz="4" w:space="0" w:color="000000"/>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[discount_price]</w:t>
            </w:r>
          </w:p>
        </w:tc>
      </w:tr>
      <w:tr>
        <w:trPr>
          <w:trHeight w:val="249" w:hRule="atLeast"/>
        </w:trPr>
        <w:tc>
          <w:tcPr>
            <w:tcW w:w="929"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VAT (5%)</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 [vat]</w:t>
            </w:r>
          </w:p>
        </w:tc>
      </w:tr>
      <w:tr>
        <w:trPr>
          <w:trHeight w:val="249"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t>TOTAL</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b/>
                <w:color w:val="00B050"/>
                <w:sz w:val="24"/>
                <w:szCs w:val="24"/>
              </w:rPr>
            </w:pPr>
            <w:r>
              <w:rPr>
                <w:rFonts w:eastAsia="Arial Narrow" w:cs="Arial Narrow" w:ascii="Arial Narrow" w:hAnsi="Arial Narrow"/>
                <w:b/>
                <w:color w:val="00B050"/>
                <w:sz w:val="24"/>
                <w:szCs w:val="24"/>
              </w:rPr>
              <w:t>AED [total]</w:t>
            </w:r>
          </w:p>
        </w:tc>
      </w:tr>
    </w:tbl>
    <w:p>
      <w:pPr>
        <w:pStyle w:val="LOnormal"/>
        <w:spacing w:lineRule="auto" w:line="240" w:before="0" w:after="0"/>
        <w:rPr>
          <w:rFonts w:ascii="Arial Narrow" w:hAnsi="Arial Narrow" w:eastAsia="Arial Narrow" w:cs="Arial Narrow"/>
          <w:b/>
          <w:b/>
          <w:sz w:val="20"/>
          <w:szCs w:val="20"/>
        </w:rPr>
      </w:pPr>
      <w:r>
        <w:rPr>
          <w:rFonts w:eastAsia="Arial Narrow" w:cs="Arial Narrow" w:ascii="Arial Narrow" w:hAnsi="Arial Narrow"/>
          <w:b/>
          <w:sz w:val="20"/>
          <w:szCs w:val="20"/>
        </w:rPr>
      </w:r>
      <w:r>
        <w:br w:type="page"/>
      </w:r>
    </w:p>
    <w:p>
      <w:pPr>
        <w:pStyle w:val="LOnormal"/>
        <w:pBdr>
          <w:bottom w:val="single" w:sz="4" w:space="1" w:color="000000"/>
        </w:pBdr>
        <w:spacing w:lineRule="auto" w:line="240" w:before="0" w:after="0"/>
        <w:rPr/>
      </w:pPr>
      <w:r>
        <w:rPr>
          <w:rFonts w:eastAsia="Arial Narrow" w:cs="Arial Narrow" w:ascii="Arial Narrow" w:hAnsi="Arial Narrow"/>
          <w:b/>
          <w:sz w:val="24"/>
          <w:szCs w:val="24"/>
        </w:rPr>
        <w:t>SCOPE OF WORKS</w:t>
      </w:r>
    </w:p>
    <w:tbl>
      <w:tblPr>
        <w:tblStyle w:val="Table4"/>
        <w:tblW w:w="15830" w:type="dxa"/>
        <w:jc w:val="left"/>
        <w:tblInd w:w="0" w:type="dxa"/>
        <w:tblCellMar>
          <w:top w:w="0" w:type="dxa"/>
          <w:left w:w="108" w:type="dxa"/>
          <w:bottom w:w="0" w:type="dxa"/>
          <w:right w:w="108" w:type="dxa"/>
        </w:tblCellMar>
        <w:tblLook w:val="0400"/>
      </w:tblPr>
      <w:tblGrid>
        <w:gridCol w:w="10772"/>
        <w:gridCol w:w="2170"/>
        <w:gridCol w:w="2888"/>
      </w:tblGrid>
      <w:tr>
        <w:trPr/>
        <w:tc>
          <w:tcPr>
            <w:tcW w:w="10772" w:type="dxa"/>
            <w:tcBorders/>
          </w:tcPr>
          <w:p>
            <w:pPr>
              <w:pStyle w:val="LOnormal"/>
              <w:widowControl w:val="false"/>
              <w:spacing w:lineRule="auto" w:line="240" w:before="0" w:after="0"/>
              <w:rPr/>
            </w:pPr>
            <w:r>
              <w:rPr>
                <w:rFonts w:eastAsia="Arial Narrow" w:cs="Arial Narrow" w:ascii="Arial Narrow" w:hAnsi="Arial Narrow"/>
                <w:b/>
                <w:color w:val="00B050"/>
                <w:sz w:val="20"/>
                <w:szCs w:val="20"/>
              </w:rPr>
              <w:t>INCLUDED</w:t>
            </w:r>
          </w:p>
        </w:tc>
        <w:tc>
          <w:tcPr>
            <w:tcW w:w="2170" w:type="dxa"/>
            <w:tcBorders/>
          </w:tcPr>
          <w:p>
            <w:pPr>
              <w:pStyle w:val="LOnormal"/>
              <w:widowControl w:val="false"/>
              <w:spacing w:lineRule="auto" w:line="240" w:before="0" w:after="0"/>
              <w:jc w:val="center"/>
              <w:rPr/>
            </w:pPr>
            <w:r>
              <w:rPr>
                <w:rFonts w:eastAsia="Arial Narrow" w:cs="Arial Narrow" w:ascii="Arial Narrow" w:hAnsi="Arial Narrow"/>
                <w:b/>
                <w:color w:val="FF0000"/>
                <w:sz w:val="20"/>
                <w:szCs w:val="20"/>
              </w:rPr>
              <w:t>ALSO EXCLUDED</w:t>
            </w:r>
          </w:p>
        </w:tc>
        <w:tc>
          <w:tcPr>
            <w:tcW w:w="2888" w:type="dxa"/>
            <w:tcBorders/>
          </w:tcPr>
          <w:p>
            <w:pPr>
              <w:pStyle w:val="LOnormal"/>
              <w:widowControl w:val="false"/>
              <w:spacing w:lineRule="auto" w:line="240" w:before="0" w:after="0"/>
              <w:jc w:val="center"/>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fan coil unit (VAV, blower fans, air-filter, evaporator coil, drain tray (if accessible)). For split systems – external unit, pressure check-up, filter and radiator wash-through.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 Check-up and adjustment of valves, fan belts, pulleys, coil, filter, strainer, pipe joints, insulation, bearings, drain trays, drain pipes and manometer tubes. VRV system errors and pressure check-up.</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Checking for noise, leaks, smell, vibration and general performance issues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thermostat (villas and other premises – starters, relays and timers)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with antibacterial detergent</w:t>
            </w:r>
          </w:p>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clean with rotating brush of different diameter), grills and diffusers</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and fungicide fumigation (with cold fog-machine)</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leak-proffness and air-tightness</w:t>
            </w:r>
          </w:p>
          <w:p>
            <w:pPr>
              <w:pStyle w:val="LO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Other Premium Services: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electrical check-up (inspecting for burns or deterioration, trip testing and recommendations for extra works)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plumbing check-up (inspecting valves and pipes for leakage and damage)</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filter change and installation (if approved by the client)</w:t>
            </w:r>
          </w:p>
          <w:p>
            <w:pPr>
              <w:pStyle w:val="LOnormal"/>
              <w:widowControl w:val="false"/>
              <w:spacing w:lineRule="auto" w:line="240" w:before="0" w:after="0"/>
              <w:rPr/>
            </w:pPr>
            <w:r>
              <w:rPr>
                <w:rFonts w:eastAsia="Arial Narrow" w:cs="Arial Narrow" w:ascii="Arial Narrow" w:hAnsi="Arial Narrow"/>
                <w:b/>
                <w:color w:val="FF0000"/>
                <w:sz w:val="24"/>
                <w:szCs w:val="24"/>
              </w:rPr>
              <w:t>NOT INCLUDED</w:t>
            </w:r>
          </w:p>
          <w:p>
            <w:pPr>
              <w:pStyle w:val="LOnormal"/>
              <w:widowControl w:val="false"/>
              <w:spacing w:lineRule="auto" w:line="240" w:before="0" w:after="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major repair job and insulation fixing, sealing, taping and re-taping and leakage prevention </w:t>
            </w:r>
          </w:p>
          <w:p>
            <w:pPr>
              <w:pStyle w:val="LO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b w:val="false"/>
                <w:i w:val="false"/>
                <w:i w:val="false"/>
                <w:caps w:val="false"/>
                <w:smallCaps w:val="false"/>
                <w:strike w:val="false"/>
                <w:dstrike w:val="false"/>
                <w:color w:val="000000"/>
                <w:position w:val="0"/>
                <w:sz w:val="20"/>
                <w:sz w:val="20"/>
                <w:szCs w:val="20"/>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r>
          </w:p>
        </w:tc>
        <w:tc>
          <w:tcPr>
            <w:tcW w:w="2170" w:type="dxa"/>
            <w:tcBorders/>
          </w:tcPr>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Spare parts and material (incl. repair and replacement of electronic items).</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Any service or material not expressly mentioned in the Scope.</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Pest control, fire alarm and firefighting, gas detection and gas pipeline job.</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Concealed and hidden leaks and pipe works (unless otherwise agreed)</w:t>
            </w:r>
          </w:p>
        </w:tc>
        <w:tc>
          <w:tcPr>
            <w:tcW w:w="2888" w:type="dxa"/>
            <w:tcBorders/>
          </w:tcPr>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Works under Scope are covered with (i) </w:t>
            </w:r>
            <w:r>
              <w:rPr>
                <w:rFonts w:eastAsia="Arial Narrow" w:cs="Arial Narrow" w:ascii="Arial Narrow" w:hAnsi="Arial Narrow"/>
                <w:b w:val="false"/>
                <w:sz w:val="20"/>
                <w:szCs w:val="20"/>
                <w:u w:val="single"/>
              </w:rPr>
              <w:t>1 month</w:t>
            </w:r>
            <w:r>
              <w:rPr>
                <w:rFonts w:eastAsia="Arial Narrow" w:cs="Arial Narrow" w:ascii="Arial Narrow" w:hAnsi="Arial Narrow"/>
                <w:b w:val="false"/>
                <w:sz w:val="20"/>
                <w:szCs w:val="20"/>
              </w:rPr>
              <w:t xml:space="preserve"> warranty (for one-time visits) and (2)  </w:t>
            </w:r>
            <w:r>
              <w:rPr>
                <w:rFonts w:eastAsia="Arial Narrow" w:cs="Arial Narrow" w:ascii="Arial Narrow" w:hAnsi="Arial Narrow"/>
                <w:b w:val="false"/>
                <w:sz w:val="20"/>
                <w:szCs w:val="20"/>
                <w:u w:val="single"/>
              </w:rPr>
              <w:t>4 months</w:t>
            </w:r>
            <w:r>
              <w:rPr>
                <w:rFonts w:eastAsia="Arial Narrow" w:cs="Arial Narrow" w:ascii="Arial Narrow" w:hAnsi="Arial Narrow"/>
                <w:b w:val="false"/>
                <w:sz w:val="20"/>
                <w:szCs w:val="20"/>
              </w:rPr>
              <w:t xml:space="preserve"> warranty for every visit under annual contract.</w:t>
            </w:r>
          </w:p>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Spare parts and materials are covered with manufacturer’s and/or distributor’s warranty only. </w:t>
            </w:r>
          </w:p>
          <w:p>
            <w:pPr>
              <w:pStyle w:val="LOnormal"/>
              <w:keepNext w:val="false"/>
              <w:keepLines w:val="false"/>
              <w:widowControl w:val="false"/>
              <w:numPr>
                <w:ilvl w:val="0"/>
                <w:numId w:val="4"/>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Shall you provide your own spare parts and material, we reserve the right not to use them with reasonable arguments or, if used, there is no warranty on those parts.</w:t>
            </w:r>
          </w:p>
        </w:tc>
      </w:tr>
    </w:tbl>
    <w:p>
      <w:pPr>
        <w:pStyle w:val="LOnormal"/>
        <w:spacing w:lineRule="auto" w:line="240" w:before="0" w:after="0"/>
        <w:rPr/>
      </w:pPr>
      <w:r>
        <w:rPr>
          <w:rFonts w:eastAsia="Arial Narrow" w:cs="Arial Narrow" w:ascii="Arial Narrow" w:hAnsi="Arial Narrow"/>
          <w:b/>
          <w:sz w:val="24"/>
          <w:szCs w:val="24"/>
        </w:rPr>
        <w:t>TERMS and CONDITIONS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shall arrange any access permits or any other authorizations that may require to get access to client’s property in advance.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The client may request any necessary documents from us to get such permits and authorizations as the client may need not later than 24 hours for apartment access and 12 hours for villas.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absence or unresponsiveness shall not be attributed to our fault.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Provisions of this contract are applicable to one-time service visits as well unless expressly provided herein. One-time visits’ scope is provided in invoices sent to the client after the services have been performed.</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are subject to the following:</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annual contract clients – their requests are prioritized over first-timer client and those not covered by the annual contract,</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former clients (of one-time service) – their requests are processed in priority to first time clients and subject to availability of our team.</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Duct system of a villa and/or an apartment of immediate and instant danger to the property or people, or can cause substantial damage to the property if left unattended. </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Payment </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Subject to our professional opinion and pre-approval of the Client we may subcontract certain </w:t>
      </w:r>
      <w:r>
        <w:rPr>
          <w:rFonts w:eastAsia="Arial Narrow" w:cs="Arial Narrow" w:ascii="Arial Narrow" w:hAnsi="Arial Narrow"/>
          <w:sz w:val="16"/>
          <w:szCs w:val="16"/>
        </w:rPr>
        <w:t>parts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header="0" w:top="330" w:footer="312" w:bottom="556"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Wingdings">
    <w:charset w:val="02"/>
    <w:family w:val="auto"/>
    <w:pitch w:val="default"/>
  </w:font>
  <w:font w:name="Courier New">
    <w:charset w:val="01"/>
    <w:family w:val="auto"/>
    <w:pitch w:val="default"/>
  </w:font>
  <w:font w:name="Noto Sans Symbols">
    <w:charset w:val="01"/>
    <w:family w:val="auto"/>
    <w:pitch w:val="default"/>
  </w:font>
  <w:font w:name="Arial">
    <w:charset w:val="01"/>
    <w:family w:val="auto"/>
    <w:pitch w:val="default"/>
  </w:font>
  <w:font w:name="AppleSystemUI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2024-2025 Page </w:t>
    </w:r>
    <w:r>
      <w:rPr/>
      <w:fldChar w:fldCharType="begin"/>
    </w:r>
    <w:r>
      <w:rPr/>
      <w:instrText> PAGE </w:instrText>
    </w:r>
    <w:r>
      <w:rPr/>
      <w:fldChar w:fldCharType="separate"/>
    </w:r>
    <w:r>
      <w:rPr/>
      <w:t>2</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NUMPAGES </w:instrText>
    </w:r>
    <w:r>
      <w:rPr/>
      <w:fldChar w:fldCharType="separate"/>
    </w:r>
    <w:r>
      <w:rPr/>
      <w:t>2</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57"/>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Heading1">
    <w:name w:val="Heading 1"/>
    <w:basedOn w:val="LOnormal"/>
    <w:next w:val="LOnormal"/>
    <w:qFormat/>
    <w:pPr>
      <w:spacing w:lineRule="auto" w:line="240" w:before="120" w:after="170"/>
    </w:pPr>
    <w:rPr>
      <w:b/>
      <w:sz w:val="22"/>
      <w:szCs w:val="22"/>
    </w:rPr>
  </w:style>
  <w:style w:type="paragraph" w:styleId="Heading2">
    <w:name w:val="Heading 2"/>
    <w:basedOn w:val="LOnormal"/>
    <w:next w:val="LOnormal"/>
    <w:qFormat/>
    <w:pPr>
      <w:spacing w:lineRule="auto" w:line="240" w:before="134" w:after="0"/>
      <w:ind w:left="80" w:hanging="0"/>
    </w:pPr>
    <w:rPr>
      <w:sz w:val="43"/>
      <w:szCs w:val="43"/>
    </w:rPr>
  </w:style>
  <w:style w:type="paragraph" w:styleId="Heading3">
    <w:name w:val="Heading 3"/>
    <w:basedOn w:val="LOnormal"/>
    <w:next w:val="LOnormal"/>
    <w:qFormat/>
    <w:pPr>
      <w:spacing w:lineRule="auto" w:line="240" w:before="20" w:after="0"/>
    </w:pPr>
    <w:rPr>
      <w:b/>
      <w:sz w:val="40"/>
      <w:szCs w:val="40"/>
    </w:rPr>
  </w:style>
  <w:style w:type="paragraph" w:styleId="Heading4">
    <w:name w:val="Heading 4"/>
    <w:basedOn w:val="LOnormal"/>
    <w:next w:val="LOnormal"/>
    <w:qFormat/>
    <w:pPr>
      <w:spacing w:lineRule="auto" w:line="240" w:before="99" w:after="0"/>
    </w:pPr>
    <w:rPr>
      <w:b/>
      <w:sz w:val="23"/>
      <w:szCs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LOnormal"/>
    <w:next w:val="LOnormal"/>
    <w:qFormat/>
    <w:pPr>
      <w:spacing w:lineRule="auto" w:line="180"/>
    </w:pPr>
    <w:rPr>
      <w:rFonts w:ascii="Open Sans" w:hAnsi="Open Sans" w:eastAsia="Open Sans" w:cs="Open Sans"/>
      <w:b/>
      <w:sz w:val="72"/>
      <w:szCs w:val="72"/>
    </w:rPr>
  </w:style>
  <w:style w:type="paragraph" w:styleId="Subtitle">
    <w:name w:val="Subtitle"/>
    <w:basedOn w:val="LOnormal"/>
    <w:next w:val="LOnormal"/>
    <w:qFormat/>
    <w:pPr>
      <w:spacing w:lineRule="auto" w:line="240" w:before="0" w:after="120"/>
    </w:pPr>
    <w:rPr>
      <w:rFonts w:ascii="Open Sans" w:hAnsi="Open Sans" w:eastAsia="Open Sans" w:cs="Open Sans"/>
      <w:b/>
      <w:sz w:val="28"/>
      <w:szCs w:val="2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7915" w:leader="none"/>
        <w:tab w:val="right" w:pos="15830" w:leader="none"/>
      </w:tabs>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TotalTime>
  <Application>LibreOffice/6.4.7.2$Linux_X86_64 LibreOffice_project/40$Build-2</Application>
  <Pages>2</Pages>
  <Words>1251</Words>
  <Characters>6605</Characters>
  <CharactersWithSpaces>7881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2025-01-13T19:48:38Z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