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AD9" w:rsidRDefault="00800A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800AD9" w:rsidRDefault="00800AD9" w:rsidP="00800AD9">
    <w:pPr>
      <w:widowControl w:val="0"/>
      <w:tabs>
        <w:tab w:val="left" w:leader="underscore" w:pos="2400"/>
      </w:tabs>
      <w:spacing w:line="800" w:lineRule="exact"/>
      <w:ind w:right="5773"/>
      <w:jc w:val="both"/>
      <w:rPr>
        <w:b/>
      </w:rPr>
    </w:pPr>
    <w:r w:rsidRPr="00800AD9">
      <w:rPr>
        <w:b/>
        <w:color w:val="000000"/>
        <w:szCs w:val="20"/>
      </w:rPr>
      <w:t>Please compare item 204 with item 719, then write a brief account of the differences. Broad capitals such as W and M sit beside narrow letters in this printed sample.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AD9" w:rsidRDefault="00800A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AD9" w:rsidRDefault="00800A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AD9" w:rsidRDefault="00800AD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800AD9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2026-09-14T02:02:00Z</dcterms:created>
  <dcterms:modified xsi:type="dcterms:W3CDTF">2026-09-14T02:02:00Z</dcterms:modified>
</cp:coreProperties>
</file>