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</w:t>
        <w:softHyphen/>
        <w:t>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micro</w:t>
        <w:softHyphen/>
        <w:t>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antidisestab</w:t>
        <w:softHyphen/>
        <w:t>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alpha</w:t>
        <w:softHyphen/>
        <w:t>beta</w:t>
        <w:softHyphen/>
        <w:t>gammadelta</w:t>
        <w:softHyphen/>
        <w:t>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</w:t>
        <w:softHyphen/>
        <w:t xml:space="preserve">B </w:t>
        <w:softHyphen/>
        <w:t>C D</w:t>
        <w:softHyphen/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alpha</w:t>
        <w:softHyphen/>
        <w:softHyphen/>
        <w:t>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</w:t>
        <w:softHyphen/>
        <w:t>B A-B</w:t>
      </w:r>
    </w:p>
    <w:sectPr>
      <w:pgSz w:w="32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