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E8E6" w14:textId="5C13A3FE" w:rsidR="00BD4497" w:rsidRPr="0048222E" w:rsidRDefault="0048222E">
      <w:pPr>
        <w:rPr>
          <w:b/>
          <w:bCs/>
        </w:rPr>
      </w:pPr>
      <w:r w:rsidRPr="0048222E">
        <w:rPr>
          <w:b/>
          <w:bCs/>
        </w:rPr>
        <w:t>Ayuda</w:t>
      </w:r>
    </w:p>
    <w:p w14:paraId="3EE561AF" w14:textId="788730FF" w:rsidR="0048222E" w:rsidRPr="0048222E" w:rsidRDefault="0048222E">
      <w:pPr>
        <w:rPr>
          <w:b/>
          <w:bCs/>
        </w:rPr>
      </w:pPr>
    </w:p>
    <w:p w14:paraId="756F9740" w14:textId="16D865F3" w:rsidR="0048222E" w:rsidRDefault="0048222E">
      <w:pPr>
        <w:rPr>
          <w:b/>
          <w:bCs/>
        </w:rPr>
      </w:pPr>
      <w:r w:rsidRPr="0048222E">
        <w:rPr>
          <w:b/>
          <w:bCs/>
        </w:rPr>
        <w:t xml:space="preserve">que sintaxis maneja el </w:t>
      </w:r>
      <w:r w:rsidRPr="0048222E">
        <w:rPr>
          <w:b/>
          <w:bCs/>
        </w:rPr>
        <w:t>código</w:t>
      </w:r>
      <w:r w:rsidRPr="0048222E">
        <w:rPr>
          <w:b/>
          <w:bCs/>
        </w:rPr>
        <w:t xml:space="preserve"> para evaluar las funciones ingresadas por el </w:t>
      </w:r>
      <w:r w:rsidRPr="0048222E">
        <w:rPr>
          <w:b/>
          <w:bCs/>
        </w:rPr>
        <w:t>usuario</w:t>
      </w:r>
      <w:r w:rsidRPr="0048222E">
        <w:rPr>
          <w:b/>
          <w:bCs/>
        </w:rPr>
        <w:t>?</w:t>
      </w:r>
    </w:p>
    <w:p w14:paraId="72977DC8" w14:textId="77777777" w:rsidR="0048222E" w:rsidRPr="0048222E" w:rsidRDefault="0048222E" w:rsidP="0048222E">
      <w:pPr>
        <w:spacing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El código utiliza la función 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eval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de Python para evaluar las funciones ingresadas por el usuario. La función 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eval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toma una cadena de texto como entrada y la evalúa como una expresión de Python. Esto significa que la sintaxis para las funciones debe seguir la sintaxis de Python para las operaciones matemáticas. Aquí tienes algunos ejemplos:</w:t>
      </w:r>
    </w:p>
    <w:p w14:paraId="38C1689A" w14:textId="77777777" w:rsidR="0048222E" w:rsidRPr="0048222E" w:rsidRDefault="0048222E" w:rsidP="004822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Para sumar dos números: </w:t>
      </w:r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3 + 2</w:t>
      </w:r>
    </w:p>
    <w:p w14:paraId="6ED6BB07" w14:textId="77777777" w:rsidR="0048222E" w:rsidRPr="0048222E" w:rsidRDefault="0048222E" w:rsidP="004822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Para restar dos números: </w:t>
      </w:r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3 - 2</w:t>
      </w:r>
    </w:p>
    <w:p w14:paraId="3ED1E8A4" w14:textId="77777777" w:rsidR="0048222E" w:rsidRPr="0048222E" w:rsidRDefault="0048222E" w:rsidP="004822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Para multiplicar dos números: </w:t>
      </w:r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3 * 2</w:t>
      </w:r>
    </w:p>
    <w:p w14:paraId="15D6A10A" w14:textId="77777777" w:rsidR="0048222E" w:rsidRPr="0048222E" w:rsidRDefault="0048222E" w:rsidP="004822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Para dividir dos números: </w:t>
      </w:r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3 / 2</w:t>
      </w:r>
    </w:p>
    <w:p w14:paraId="65ECBEB8" w14:textId="77777777" w:rsidR="0048222E" w:rsidRPr="0048222E" w:rsidRDefault="0048222E" w:rsidP="004822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Para elevar un número a una potencia: </w:t>
      </w:r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3 ** 2</w:t>
      </w:r>
    </w:p>
    <w:p w14:paraId="465D7AA0" w14:textId="77777777" w:rsidR="0048222E" w:rsidRPr="0048222E" w:rsidRDefault="0048222E" w:rsidP="004822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Para calcular el seno de un número: </w:t>
      </w:r>
      <w:proofErr w:type="spellStart"/>
      <w:proofErr w:type="gram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math.sin</w:t>
      </w:r>
      <w:proofErr w:type="spellEnd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3)</w:t>
      </w:r>
    </w:p>
    <w:p w14:paraId="0B36278B" w14:textId="77777777" w:rsidR="0048222E" w:rsidRPr="0048222E" w:rsidRDefault="0048222E" w:rsidP="004822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Para calcular el coseno de un número: </w:t>
      </w:r>
      <w:proofErr w:type="spellStart"/>
      <w:proofErr w:type="gram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math.cos</w:t>
      </w:r>
      <w:proofErr w:type="spellEnd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3)</w:t>
      </w:r>
    </w:p>
    <w:p w14:paraId="3797A3B0" w14:textId="77777777" w:rsidR="0048222E" w:rsidRPr="0048222E" w:rsidRDefault="0048222E" w:rsidP="004822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Para calcular la tangente de un número: </w:t>
      </w:r>
      <w:proofErr w:type="spellStart"/>
      <w:proofErr w:type="gram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math.tan</w:t>
      </w:r>
      <w:proofErr w:type="spellEnd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3)</w:t>
      </w:r>
    </w:p>
    <w:p w14:paraId="4F6F6683" w14:textId="77777777" w:rsidR="0048222E" w:rsidRPr="0048222E" w:rsidRDefault="0048222E" w:rsidP="004822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Para calcular el logaritmo natural de un número: </w:t>
      </w:r>
      <w:proofErr w:type="gram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math.log(</w:t>
      </w:r>
      <w:proofErr w:type="gramEnd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3)</w:t>
      </w:r>
    </w:p>
    <w:p w14:paraId="7FBC85AE" w14:textId="77777777" w:rsidR="0048222E" w:rsidRPr="0048222E" w:rsidRDefault="0048222E" w:rsidP="004822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Para calcular el logaritmo en base 10 de un número: </w:t>
      </w:r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math.log10(3)</w:t>
      </w:r>
    </w:p>
    <w:p w14:paraId="7E615918" w14:textId="77777777" w:rsidR="0048222E" w:rsidRPr="0048222E" w:rsidRDefault="0048222E" w:rsidP="0048222E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Para calcular la exponencial de un número: </w:t>
      </w:r>
      <w:proofErr w:type="spellStart"/>
      <w:proofErr w:type="gram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math.exp</w:t>
      </w:r>
      <w:proofErr w:type="spellEnd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3)</w:t>
      </w:r>
    </w:p>
    <w:p w14:paraId="77A3FBB4" w14:textId="767CE800" w:rsidR="0048222E" w:rsidRPr="0048222E" w:rsidRDefault="0048222E" w:rsidP="00482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 xml:space="preserve">Por favor, ten en cuenta </w:t>
      </w: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que,</w:t>
      </w: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 xml:space="preserve"> para las funciones trigonométricas, logarítmicas y exponenciales, necesitas incluir el módulo 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en la expresión, como se muestra en los ejemplos. Además, la función 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eval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evalúa la expresión en radianes, no en grados</w:t>
      </w:r>
    </w:p>
    <w:p w14:paraId="06CBCD7C" w14:textId="30DD4F52" w:rsidR="0048222E" w:rsidRDefault="0048222E">
      <w:pPr>
        <w:rPr>
          <w:b/>
          <w:bCs/>
        </w:rPr>
      </w:pPr>
    </w:p>
    <w:p w14:paraId="3538D86D" w14:textId="064BC71B" w:rsidR="0048222E" w:rsidRDefault="0048222E">
      <w:pPr>
        <w:rPr>
          <w:b/>
          <w:bCs/>
        </w:rPr>
      </w:pPr>
      <w:r w:rsidRPr="0048222E">
        <w:rPr>
          <w:b/>
          <w:bCs/>
        </w:rPr>
        <w:t xml:space="preserve">y se puede usar para funciones </w:t>
      </w:r>
      <w:r w:rsidRPr="0048222E">
        <w:rPr>
          <w:b/>
          <w:bCs/>
        </w:rPr>
        <w:t>más</w:t>
      </w:r>
      <w:r w:rsidRPr="0048222E">
        <w:rPr>
          <w:b/>
          <w:bCs/>
        </w:rPr>
        <w:t xml:space="preserve"> complejas?</w:t>
      </w:r>
    </w:p>
    <w:p w14:paraId="4526181D" w14:textId="77777777" w:rsidR="0048222E" w:rsidRPr="0048222E" w:rsidRDefault="0048222E" w:rsidP="0048222E">
      <w:pPr>
        <w:spacing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Sí, la función 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eval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de Python puede manejar expresiones matemáticas bastante complejas, siempre y cuando estén escritas en una sintaxis que Python pueda entender. Puedes usar cualquier operador matemático que Python reconozca, y también puedes usar funciones matemáticas más avanzadas del módulo 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de Python, como </w:t>
      </w:r>
      <w:proofErr w:type="spellStart"/>
      <w:proofErr w:type="gram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math.sqrt</w:t>
      </w:r>
      <w:proofErr w:type="spellEnd"/>
      <w:proofErr w:type="gram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para la raíz cuadrada, 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math.sin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para el seno, 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math.cos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para el coseno, 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math.tan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para la tangente, 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math.exp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para la exponencial, </w:t>
      </w:r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math.log</w:t>
      </w: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para el logaritmo, entre otras.</w:t>
      </w:r>
    </w:p>
    <w:p w14:paraId="6177DBFC" w14:textId="77777777" w:rsidR="0048222E" w:rsidRPr="0048222E" w:rsidRDefault="0048222E" w:rsidP="00482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Además, puedes usar paréntesis para controlar el orden de las operaciones, al igual que en matemáticas regulares. Por ejemplo, la expresión </w:t>
      </w:r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3 + 4 * 2</w:t>
      </w: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se evaluará como </w:t>
      </w:r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11</w:t>
      </w: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porque la multiplicación se realiza antes que la suma, pero si escribes la expresión como </w:t>
      </w:r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(3 + 4) * 2</w:t>
      </w: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, se evaluará como </w:t>
      </w:r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14</w:t>
      </w: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porque los paréntesis indican que la suma se debe realizar primero.</w:t>
      </w:r>
    </w:p>
    <w:p w14:paraId="4E3F4F60" w14:textId="77777777" w:rsidR="0048222E" w:rsidRPr="0048222E" w:rsidRDefault="0048222E" w:rsidP="00482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Aquí tienes un ejemplo de una función más compleja: </w:t>
      </w:r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3 * 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math.sin</w:t>
      </w:r>
      <w:proofErr w:type="spellEnd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(x) + 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math.exp</w:t>
      </w:r>
      <w:proofErr w:type="spellEnd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(x) / 2 - </w:t>
      </w:r>
      <w:proofErr w:type="spellStart"/>
      <w:proofErr w:type="gram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math.sqrt</w:t>
      </w:r>
      <w:proofErr w:type="spellEnd"/>
      <w:proofErr w:type="gramEnd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abs</w:t>
      </w:r>
      <w:proofErr w:type="spellEnd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(x))</w:t>
      </w: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. Esta función incluye una multiplicación, una función trigonométrica (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math.sin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), una función exponencial (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math.exp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), una división, una función de raíz cuadrada (</w:t>
      </w:r>
      <w:proofErr w:type="spellStart"/>
      <w:proofErr w:type="gram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math.sqrt</w:t>
      </w:r>
      <w:proofErr w:type="spellEnd"/>
      <w:proofErr w:type="gram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) y una función de valor absoluto (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abs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).</w:t>
      </w:r>
    </w:p>
    <w:p w14:paraId="6DD5073D" w14:textId="77777777" w:rsidR="0048222E" w:rsidRPr="0048222E" w:rsidRDefault="0048222E" w:rsidP="00482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Por favor, ten en cuenta que la función </w:t>
      </w:r>
      <w:proofErr w:type="spellStart"/>
      <w:r w:rsidRPr="0048222E">
        <w:rPr>
          <w:rFonts w:ascii="Courier New" w:eastAsia="Times New Roman" w:hAnsi="Courier New" w:cs="Courier New"/>
          <w:sz w:val="20"/>
          <w:szCs w:val="20"/>
          <w:lang w:eastAsia="es-ES"/>
        </w:rPr>
        <w:t>eval</w:t>
      </w:r>
      <w:proofErr w:type="spellEnd"/>
      <w:r w:rsidRPr="0048222E">
        <w:rPr>
          <w:rFonts w:ascii="Segoe UI" w:eastAsia="Times New Roman" w:hAnsi="Segoe UI" w:cs="Segoe UI"/>
          <w:sz w:val="21"/>
          <w:szCs w:val="21"/>
          <w:lang w:eastAsia="es-ES"/>
        </w:rPr>
        <w:t> evalúa la expresión en radianes, no en grados, para las funciones trigonométricas.</w:t>
      </w:r>
    </w:p>
    <w:p w14:paraId="24220138" w14:textId="77777777" w:rsidR="0048222E" w:rsidRPr="0048222E" w:rsidRDefault="0048222E">
      <w:pPr>
        <w:rPr>
          <w:b/>
          <w:bCs/>
        </w:rPr>
      </w:pPr>
    </w:p>
    <w:sectPr w:rsidR="0048222E" w:rsidRPr="0048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F0CD9"/>
    <w:multiLevelType w:val="multilevel"/>
    <w:tmpl w:val="1A86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E"/>
    <w:rsid w:val="0048222E"/>
    <w:rsid w:val="00B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B4C3"/>
  <w15:chartTrackingRefBased/>
  <w15:docId w15:val="{0A1BB50F-6D8C-4C08-9611-1BDCFD2D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22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 CORRALES FLOREZ</dc:creator>
  <cp:keywords/>
  <dc:description/>
  <cp:lastModifiedBy>MICHAEL FELIPE CORRALES FLOREZ</cp:lastModifiedBy>
  <cp:revision>1</cp:revision>
  <dcterms:created xsi:type="dcterms:W3CDTF">2023-11-19T06:40:00Z</dcterms:created>
  <dcterms:modified xsi:type="dcterms:W3CDTF">2023-11-19T06:42:00Z</dcterms:modified>
</cp:coreProperties>
</file>