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3: Performance metrics based on the leave-one-source-out approach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Pearson's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-47.82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-199.96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-39.32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113.09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-17.89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-27.32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-52.75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-44.72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46.02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506.87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222.83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34.13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245.12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50.59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39.98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2025-12-16T13:05:57Z</dcterms:created>
  <dcterms:modified xsi:type="dcterms:W3CDTF">2025-12-16T13:05:57Z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