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rFonts w:ascii="Calibri" w:hAnsi="Calibri"/>
          <w:sz w:val="24"/>
          <w:color w:val="333333"/>
        </w:rPr>
        <w:t xml:space="default">Table 3: Performance metrics based on the leave-one-source-out approach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Comparison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Method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Pearson's 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Mean Relative Error (%)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Mean Error (µg/m³)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LoA Low (µg/m³)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LoA High (µg/m³)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Candles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-20.45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-17.26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-51.99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17.47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-2.96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-27.89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21.98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0.78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-76.76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-124.08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-384.37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136.22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0.78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-47.14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-96.24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-335.85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143.38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Candles High RH (70 - 80%)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3.69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-33.78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31.18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26.61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9.49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-28.63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47.61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-35.81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-40.38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-166.38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85.62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0.78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16.16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-24.06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-148.66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100.54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Cigarette Smoke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37.07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8.88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-16.02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33.79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33.46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13.42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-22.47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49.32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0.78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398.3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69.28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-19.65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158.21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0.78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211.5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44.27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-42.34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130.88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Cooking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13.64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10.93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-29.34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51.2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25.48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24.26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-26.38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74.9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223.53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129.31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-26.43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285.05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104.47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62.33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-28.27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152.92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Cooking High RH (70 - 80%)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-20.02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22.37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25.5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9.57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-21.6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40.75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194.86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42.16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-16.95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101.27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117.11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28.31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-26.12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82.75</w:t>
            </w:r>
          </w:p>
        </w:tc>
      </w:tr>
    </w:tbl>
    <w:p>
      <w:pPr>
        <w:pStyle w:val="FirstParagraph"/>
      </w:pPr>
      <w:r>
        <w:t xml:space="preserve"/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2025-11-05T08:52:29Z</dcterms:created>
  <dcterms:modified xsi:type="dcterms:W3CDTF">2025-11-05T08:52:29Z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