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4"/>
        </w:rPr>
        <w:t>Especificação Técnica da Rede Neural e Treinamento</w:t>
      </w:r>
    </w:p>
    <w:p>
      <w:pPr>
        <w:spacing w:after="400"/>
        <w:jc w:val="center"/>
      </w:pPr>
      <w:r>
        <w:rPr>
          <w:rFonts w:ascii="Calibri" w:hAnsi="Calibri"/>
          <w:i/>
          <w:color w:val="2B6CB0"/>
          <w:sz w:val="26"/>
        </w:rPr>
        <w:t>Projeto InterpretArte – Tradutor de Libras em Tempo Real para Área da Saúde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 xml:space="preserve">Documento: 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 xml:space="preserve">Especificação de Arquitetura e Treinamento de IA 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 xml:space="preserve">Framework: </w:t>
            </w:r>
          </w:p>
        </w:tc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 xml:space="preserve">TensorFlow 2.x / Keras com MediaPipe Holistic 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Visão Geral e Estrutura dos Arquivos de Código</w:t>
      </w:r>
    </w:p>
    <w:p>
      <w:pPr>
        <w:spacing w:after="120"/>
      </w:pPr>
      <w:r>
        <w:t>O treinamento e a inferência dos sinais em Língua Brasileira de Sinais (Libras) são implementados em Python utilizando o framework TensorFlow / Keras em conjunto com a biblioteca Google MediaPipe Holistic para extração das coordenadas dos membros corporais em vídeos. O fluxo de engenharia de dados e modelagem está modularizado nos seguintes arquivos no repositório:</w:t>
      </w:r>
    </w:p>
    <w:p>
      <w:pPr>
        <w:pStyle w:val="ListBullet"/>
        <w:spacing w:after="60"/>
      </w:pPr>
      <w:r>
        <w:rPr>
          <w:b/>
          <w:color w:val="222222"/>
        </w:rPr>
        <w:t xml:space="preserve">src/feature_extraction.py: </w:t>
      </w:r>
      <w:r>
        <w:t>Responsável por processar os vídeos gravados e extrair as coordenadas tridimensionais (keypoints) de pose e mãos via MediaPipe Holistic, salvando os arrays numpy (.npy).</w:t>
      </w:r>
    </w:p>
    <w:p>
      <w:pPr>
        <w:pStyle w:val="ListBullet"/>
        <w:spacing w:after="60"/>
      </w:pPr>
      <w:r>
        <w:rPr>
          <w:b/>
          <w:color w:val="222222"/>
        </w:rPr>
        <w:t xml:space="preserve">src/preprocess_data.py: </w:t>
      </w:r>
      <w:r>
        <w:t>Padroniza o comprimento das sequências temporais (fixado em 45 frames por corte) utilizando padding e gera as divisões de treino, validação e teste (X_train, y_train, etc.).</w:t>
      </w:r>
    </w:p>
    <w:p>
      <w:pPr>
        <w:pStyle w:val="ListBullet"/>
        <w:spacing w:after="60"/>
      </w:pPr>
      <w:r>
        <w:rPr>
          <w:b/>
          <w:color w:val="222222"/>
        </w:rPr>
        <w:t xml:space="preserve">src/model_training.py: </w:t>
      </w:r>
      <w:r>
        <w:t>Contém a definição exata da rede neural profunda recorrente (LSTM), compilação com otimizador Adam, callbacks de regularização, pesos de classes e rotina completa de treino.</w:t>
      </w:r>
    </w:p>
    <w:p>
      <w:pPr>
        <w:pStyle w:val="ListBullet"/>
        <w:spacing w:after="60"/>
      </w:pPr>
      <w:r>
        <w:rPr>
          <w:b/>
          <w:color w:val="222222"/>
        </w:rPr>
        <w:t xml:space="preserve">scripts/evaluate_model.py: </w:t>
      </w:r>
      <w:r>
        <w:t>Executa a avaliação estatística no conjunto de teste independente, gerando matriz de confusão e métricas de acurácia, precisão, revocação e F1-Score.</w:t>
      </w:r>
    </w:p>
    <w:p>
      <w:pPr>
        <w:pStyle w:val="ListBullet"/>
        <w:spacing w:after="60"/>
      </w:pPr>
      <w:r>
        <w:rPr>
          <w:b/>
          <w:color w:val="222222"/>
        </w:rPr>
        <w:t xml:space="preserve">scripts/run_full_pipeline.py: </w:t>
      </w:r>
      <w:r>
        <w:t>Orquestrador de execução em lote do pipeline de ponta a ponta (corte -&gt; extração -&gt; pré-processamento -&gt; treino -&gt; avaliação).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Formato e Dimensões dos Dados de Entrada (Input Shape)</w:t>
      </w:r>
    </w:p>
    <w:p>
      <w:pPr>
        <w:spacing w:after="80"/>
      </w:pPr>
      <w:r>
        <w:t>A rede neural recebe sequências temporais tridimensionais no formato (Batch_Size, Frames, Features), onde cada amostra representa a execução gestual contínua de um sinal:</w:t>
      </w:r>
    </w:p>
    <w:p>
      <w:pPr>
        <w:pStyle w:val="ListBullet"/>
        <w:spacing w:after="40"/>
      </w:pPr>
      <w:r>
        <w:rPr>
          <w:b/>
        </w:rPr>
        <w:t xml:space="preserve">Formato de Entrada (Input Shape): </w:t>
      </w:r>
      <w:r>
        <w:t>(None, 45, 258)</w:t>
      </w:r>
    </w:p>
    <w:p>
      <w:pPr>
        <w:pStyle w:val="ListBullet"/>
        <w:spacing w:after="40"/>
      </w:pPr>
      <w:r>
        <w:rPr>
          <w:b/>
        </w:rPr>
        <w:t xml:space="preserve">Número de Frames por Sequência: </w:t>
      </w:r>
      <w:r>
        <w:t>45 frames normalizados (com padding para sequências menores).</w:t>
      </w:r>
    </w:p>
    <w:p>
      <w:pPr>
        <w:pStyle w:val="ListBullet"/>
        <w:spacing w:after="40"/>
      </w:pPr>
      <w:r>
        <w:rPr>
          <w:b/>
        </w:rPr>
        <w:t xml:space="preserve">Dimensão de Características por Frame: </w:t>
      </w:r>
      <w:r>
        <w:t>258 valores contínuos normalizados:</w:t>
      </w:r>
    </w:p>
    <w:p>
      <w:pPr>
        <w:pStyle w:val="ListBullet2"/>
        <w:spacing w:after="40"/>
      </w:pPr>
      <w:r>
        <w:rPr>
          <w:b/>
        </w:rPr>
        <w:t xml:space="preserve">Pose Corporal: </w:t>
      </w:r>
      <w:r>
        <w:t>33 marcos corporais × 4 valores (x, y, z, visibilidade) = 132 dimensões.</w:t>
      </w:r>
    </w:p>
    <w:p>
      <w:pPr>
        <w:pStyle w:val="ListBullet2"/>
        <w:spacing w:after="40"/>
      </w:pPr>
      <w:r>
        <w:rPr>
          <w:b/>
        </w:rPr>
        <w:t xml:space="preserve">Mão Esquerda: </w:t>
      </w:r>
      <w:r>
        <w:t>21 marcos articulares × 3 coordenadas espaciais (x, y, z) = 63 dimensões.</w:t>
      </w:r>
    </w:p>
    <w:p>
      <w:pPr>
        <w:pStyle w:val="ListBullet2"/>
        <w:spacing w:after="40"/>
      </w:pPr>
      <w:r>
        <w:rPr>
          <w:b/>
        </w:rPr>
        <w:t xml:space="preserve">Mão Direita: </w:t>
      </w:r>
      <w:r>
        <w:t>21 marcos articulares × 3 coordenadas espaciais (x, y, z) = 63 dimensões.</w:t>
      </w:r>
    </w:p>
    <w:p>
      <w:pPr>
        <w:pStyle w:val="ListBullet2"/>
        <w:spacing w:after="40"/>
      </w:pPr>
      <w:r>
        <w:rPr>
          <w:b/>
        </w:rPr>
        <w:t xml:space="preserve">Total consolidado por frame: </w:t>
      </w:r>
      <w:r>
        <w:t>132 + 63 + 63 = 258 dimensões numéricas por passo de tempo.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Arquitetura da Rede Neural (Sequential LSTM + Dense)</w:t>
      </w:r>
    </w:p>
    <w:p>
      <w:pPr>
        <w:spacing w:after="120"/>
      </w:pPr>
      <w:r>
        <w:t>A arquitetura foi projetada com uma combinação de camadas recorrentes Long Short-Term Memory (LSTM), adequadas para capturar a dinâmica espaço-temporal dos sinais em Libras, seguidas por camadas densas (Fully Connected) de tomada de decisão e uma camada Softmax final de classificação probabilística.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Unidades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Ativação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Dimensão de Saída</w:t>
            </w:r>
          </w:p>
        </w:tc>
        <w:tc>
          <w:tcPr>
            <w:tcW w:type="dxa" w:w="158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Parâmetros</w:t>
            </w:r>
          </w:p>
        </w:tc>
      </w:tr>
      <w:tr>
        <w:tc>
          <w:tcPr>
            <w:tcW w:type="dxa" w:w="576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1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lstm</w:t>
            </w:r>
          </w:p>
        </w:tc>
        <w:tc>
          <w:tcPr>
            <w:tcW w:type="dxa" w:w="1440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LSTM</w:t>
            </w:r>
          </w:p>
        </w:tc>
        <w:tc>
          <w:tcPr>
            <w:tcW w:type="dxa" w:w="1296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64</w:t>
            </w:r>
          </w:p>
        </w:tc>
        <w:tc>
          <w:tcPr>
            <w:tcW w:type="dxa" w:w="1296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ReLU</w:t>
            </w:r>
          </w:p>
        </w:tc>
        <w:tc>
          <w:tcPr>
            <w:tcW w:type="dxa" w:w="2160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(None, 45, 64)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color w:val="222222"/>
                <w:sz w:val="19"/>
              </w:rPr>
              <w:t>82.688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lstm_1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LSTM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128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ReLU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(None, 45, 128)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color w:val="222222"/>
                <w:sz w:val="19"/>
              </w:rPr>
              <w:t>98.816</w:t>
            </w:r>
          </w:p>
        </w:tc>
      </w:tr>
      <w:tr>
        <w:tc>
          <w:tcPr>
            <w:tcW w:type="dxa" w:w="576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3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lstm_2</w:t>
            </w:r>
          </w:p>
        </w:tc>
        <w:tc>
          <w:tcPr>
            <w:tcW w:type="dxa" w:w="1440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LSTM</w:t>
            </w:r>
          </w:p>
        </w:tc>
        <w:tc>
          <w:tcPr>
            <w:tcW w:type="dxa" w:w="1296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64</w:t>
            </w:r>
          </w:p>
        </w:tc>
        <w:tc>
          <w:tcPr>
            <w:tcW w:type="dxa" w:w="1296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ReLU</w:t>
            </w:r>
          </w:p>
        </w:tc>
        <w:tc>
          <w:tcPr>
            <w:tcW w:type="dxa" w:w="2160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(None, 64)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color w:val="222222"/>
                <w:sz w:val="19"/>
              </w:rPr>
              <w:t>49.408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dense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Dense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64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ReLU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(None, 64)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color w:val="222222"/>
                <w:sz w:val="19"/>
              </w:rPr>
              <w:t>4.160</w:t>
            </w:r>
          </w:p>
        </w:tc>
      </w:tr>
      <w:tr>
        <w:tc>
          <w:tcPr>
            <w:tcW w:type="dxa" w:w="576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5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dense_1</w:t>
            </w:r>
          </w:p>
        </w:tc>
        <w:tc>
          <w:tcPr>
            <w:tcW w:type="dxa" w:w="1440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Dense</w:t>
            </w:r>
          </w:p>
        </w:tc>
        <w:tc>
          <w:tcPr>
            <w:tcW w:type="dxa" w:w="1296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32</w:t>
            </w:r>
          </w:p>
        </w:tc>
        <w:tc>
          <w:tcPr>
            <w:tcW w:type="dxa" w:w="1296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ReLU</w:t>
            </w:r>
          </w:p>
        </w:tc>
        <w:tc>
          <w:tcPr>
            <w:tcW w:type="dxa" w:w="2160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(None, 32)</w:t>
            </w:r>
          </w:p>
        </w:tc>
        <w:tc>
          <w:tcPr>
            <w:tcW w:type="dxa" w:w="1584"/>
            <w:shd w:fill="F9FB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color w:val="222222"/>
                <w:sz w:val="19"/>
              </w:rPr>
              <w:t>2.080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dense_2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Dense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5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color w:val="222222"/>
                <w:sz w:val="19"/>
              </w:rPr>
              <w:t>Softmax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222222"/>
                <w:sz w:val="19"/>
              </w:rPr>
              <w:t>(None, 5)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0"/>
              <w:jc w:val="right"/>
            </w:pPr>
            <w:r>
              <w:rPr>
                <w:color w:val="222222"/>
                <w:sz w:val="19"/>
              </w:rPr>
              <w:t>165</w:t>
            </w:r>
          </w:p>
        </w:tc>
      </w:tr>
    </w:tbl>
    <w:p>
      <w:pPr>
        <w:spacing w:before="120" w:after="200"/>
      </w:pPr>
      <w:r>
        <w:rPr>
          <w:b/>
        </w:rPr>
        <w:t xml:space="preserve">Total de Parâmetros Treináveis: </w:t>
      </w:r>
      <w:r>
        <w:t>237.317 parâmetros (aprox. 927.02 KB em memória). Não há parâmetros congelados (0 non-trainable).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Hiperparâmetros de Treinamento e Otimizador</w:t>
      </w:r>
    </w:p>
    <w:p>
      <w:pPr>
        <w:pStyle w:val="ListBullet"/>
        <w:spacing w:after="60"/>
      </w:pPr>
      <w:r>
        <w:rPr>
          <w:b/>
          <w:color w:val="222222"/>
        </w:rPr>
        <w:t xml:space="preserve">Otimizador: </w:t>
      </w:r>
      <w:r>
        <w:t>Adam (Adaptive Moment Estimation).</w:t>
      </w:r>
    </w:p>
    <w:p>
      <w:pPr>
        <w:pStyle w:val="ListBullet"/>
        <w:spacing w:after="60"/>
      </w:pPr>
      <w:r>
        <w:rPr>
          <w:b/>
          <w:color w:val="222222"/>
        </w:rPr>
        <w:t xml:space="preserve">Taxa de Aprendizado (Learning Rate): </w:t>
      </w:r>
      <w:r>
        <w:t>0.0003 (3e-4) inicial, proporcionando convergência suave sem oscilações drásticas.</w:t>
      </w:r>
    </w:p>
    <w:p>
      <w:pPr>
        <w:pStyle w:val="ListBullet"/>
        <w:spacing w:after="60"/>
      </w:pPr>
      <w:r>
        <w:rPr>
          <w:b/>
          <w:color w:val="222222"/>
        </w:rPr>
        <w:t xml:space="preserve">Clipagem de Gradiente (clipnorm): </w:t>
      </w:r>
      <w:r>
        <w:t>1.0 — técnica essencial para mitigar o problema de explosão de gradientes (exploding gradients) em redes recorrentes LSTM.</w:t>
      </w:r>
    </w:p>
    <w:p>
      <w:pPr>
        <w:pStyle w:val="ListBullet"/>
        <w:spacing w:after="60"/>
      </w:pPr>
      <w:r>
        <w:rPr>
          <w:b/>
          <w:color w:val="222222"/>
        </w:rPr>
        <w:t xml:space="preserve">Função de Perda (Loss): </w:t>
      </w:r>
      <w:r>
        <w:t>Categorical Crossentropy (adequada para problemas multiclasse com saídas one-hot encoded).</w:t>
      </w:r>
    </w:p>
    <w:p>
      <w:pPr>
        <w:pStyle w:val="ListBullet"/>
        <w:spacing w:after="60"/>
      </w:pPr>
      <w:r>
        <w:rPr>
          <w:b/>
          <w:color w:val="222222"/>
        </w:rPr>
        <w:t xml:space="preserve">Métrica Principal: </w:t>
      </w:r>
      <w:r>
        <w:t>Categorical Accuracy (percentual de predições corretas da classe alvo).</w:t>
      </w:r>
    </w:p>
    <w:p>
      <w:pPr>
        <w:pStyle w:val="ListBullet"/>
        <w:spacing w:after="60"/>
      </w:pPr>
      <w:r>
        <w:rPr>
          <w:b/>
          <w:color w:val="222222"/>
        </w:rPr>
        <w:t xml:space="preserve">Tamanho do Lote (Batch Size): </w:t>
      </w:r>
      <w:r>
        <w:t>32 amostras por iteração.</w:t>
      </w:r>
    </w:p>
    <w:p>
      <w:pPr>
        <w:pStyle w:val="ListBullet"/>
        <w:spacing w:after="60"/>
      </w:pPr>
      <w:r>
        <w:rPr>
          <w:b/>
          <w:color w:val="222222"/>
        </w:rPr>
        <w:t xml:space="preserve">Épocas de Treinamento (Epochs): </w:t>
      </w:r>
      <w:r>
        <w:t>Até 200 épocas (com critério de parada antecipada).</w:t>
      </w:r>
    </w:p>
    <w:p>
      <w:pPr>
        <w:pStyle w:val="ListBullet"/>
        <w:spacing w:after="60"/>
      </w:pPr>
      <w:r>
        <w:rPr>
          <w:b/>
          <w:color w:val="222222"/>
        </w:rPr>
        <w:t xml:space="preserve">Ponderação de Classes (class_weight): </w:t>
      </w:r>
      <w:r>
        <w:t>Cálculo balanceado dinamicamente com base na frequência inversa das amostras no split de treino, acrescido de reforço multiplicador de 1.5× para as classes de maior confusão gestual (curar e doenca).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5. Callbacks e Mecanismos de Regularização</w:t>
      </w:r>
    </w:p>
    <w:p>
      <w:pPr>
        <w:spacing w:after="80"/>
      </w:pPr>
      <w:r>
        <w:t>Durante o ciclo de ajuste dos pesos, três callbacks do Keras atuam de forma automática para garantir a generalização do modelo e evitar overfitting:</w:t>
      </w:r>
    </w:p>
    <w:p>
      <w:pPr>
        <w:pStyle w:val="ListBullet"/>
        <w:spacing w:after="60"/>
      </w:pPr>
      <w:r>
        <w:rPr>
          <w:b/>
          <w:color w:val="222222"/>
        </w:rPr>
        <w:t xml:space="preserve">ModelCheckpoint: </w:t>
      </w:r>
      <w:r>
        <w:t>Monitora 'val_categorical_accuracy' com modo 'max' e 'save_best_only=True'. Garante que o arquivo models/melhor_modelo.keras retenha sempre a melhor versão da rede na validação, prevenindo regressões de performance.</w:t>
      </w:r>
    </w:p>
    <w:p>
      <w:pPr>
        <w:pStyle w:val="ListBullet"/>
        <w:spacing w:after="60"/>
      </w:pPr>
      <w:r>
        <w:rPr>
          <w:b/>
          <w:color w:val="222222"/>
        </w:rPr>
        <w:t xml:space="preserve">EarlyStopping: </w:t>
      </w:r>
      <w:r>
        <w:t>Monitora 'val_loss' com paciência de 15 épocas ('patience=15') e restaura os melhores pesos automaticamente ('restore_best_weights=True'), interrompendo o treino quando a rede atinge platô.</w:t>
      </w:r>
    </w:p>
    <w:p>
      <w:pPr>
        <w:pStyle w:val="ListBullet"/>
        <w:spacing w:after="60"/>
      </w:pPr>
      <w:r>
        <w:rPr>
          <w:b/>
          <w:color w:val="222222"/>
        </w:rPr>
        <w:t xml:space="preserve">ReduceLROnPlateau: </w:t>
      </w:r>
      <w:r>
        <w:t>Monitora 'val_loss'. Se a perda estagnar por 8 épocas ('patience=8'), reduz a taxa de aprendizado pela metade ('factor=0.5') até o piso de '1e-5', permitindo ajustes finos nos pesos.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6. Conjunto de Dados, Classes e Divisão Experimental</w:t>
      </w:r>
    </w:p>
    <w:p>
      <w:pPr>
        <w:spacing w:after="80"/>
      </w:pPr>
      <w:r>
        <w:t>O vocabulário atual compreende 5 sinais prioritários voltados para o atendimento clínico e hospitalar em Libras:</w:t>
      </w:r>
    </w:p>
    <w:p>
      <w:pPr>
        <w:pStyle w:val="ListBullet"/>
        <w:spacing w:after="40"/>
      </w:pPr>
      <w:r>
        <w:rPr>
          <w:b/>
        </w:rPr>
        <w:t xml:space="preserve">1. curar: </w:t>
      </w:r>
      <w:r>
        <w:t>Sinal indicativo de cura / recuperação clínica.</w:t>
      </w:r>
    </w:p>
    <w:p>
      <w:pPr>
        <w:pStyle w:val="ListBullet"/>
        <w:spacing w:after="40"/>
      </w:pPr>
      <w:r>
        <w:rPr>
          <w:b/>
        </w:rPr>
        <w:t xml:space="preserve">2. doenca: </w:t>
      </w:r>
      <w:r>
        <w:t>Sinal indicativo de patologia / enfermidade.</w:t>
      </w:r>
    </w:p>
    <w:p>
      <w:pPr>
        <w:pStyle w:val="ListBullet"/>
        <w:spacing w:after="40"/>
      </w:pPr>
      <w:r>
        <w:rPr>
          <w:b/>
        </w:rPr>
        <w:t xml:space="preserve">3. dor: </w:t>
      </w:r>
      <w:r>
        <w:t>Sinal indicativo de queixa álgica / sensação de dor do paciente.</w:t>
      </w:r>
    </w:p>
    <w:p>
      <w:pPr>
        <w:pStyle w:val="ListBullet"/>
        <w:spacing w:after="40"/>
      </w:pPr>
      <w:r>
        <w:rPr>
          <w:b/>
        </w:rPr>
        <w:t xml:space="preserve">4. remedio: </w:t>
      </w:r>
      <w:r>
        <w:t>Sinal indicativo de prescrição / fármaco / medicação.</w:t>
      </w:r>
    </w:p>
    <w:p>
      <w:pPr>
        <w:pStyle w:val="ListBullet"/>
        <w:spacing w:after="40"/>
      </w:pPr>
      <w:r>
        <w:rPr>
          <w:b/>
        </w:rPr>
        <w:t xml:space="preserve">5. saude: </w:t>
      </w:r>
      <w:r>
        <w:t>Sinal indicativo de estado geral de saúde / bem-estar.</w:t>
      </w:r>
    </w:p>
    <w:p>
      <w:pPr>
        <w:spacing w:before="120" w:after="80"/>
      </w:pPr>
      <w:r>
        <w:rPr>
          <w:b/>
        </w:rPr>
        <w:t>Divisão das sequências de treino, validação e teste:</w:t>
      </w:r>
    </w:p>
    <w:p>
      <w:pPr>
        <w:pStyle w:val="ListBullet"/>
        <w:spacing w:after="40"/>
      </w:pPr>
      <w:r>
        <w:rPr>
          <w:b/>
        </w:rPr>
        <w:t xml:space="preserve">Conjunto de Treinamento (X_train / y_train): </w:t>
      </w:r>
      <w:r>
        <w:t>213 sequências de vídeo (70.5%)</w:t>
      </w:r>
    </w:p>
    <w:p>
      <w:pPr>
        <w:pStyle w:val="ListBullet"/>
        <w:spacing w:after="40"/>
      </w:pPr>
      <w:r>
        <w:rPr>
          <w:b/>
        </w:rPr>
        <w:t xml:space="preserve">Conjunto de Validação (X_val / y_val): </w:t>
      </w:r>
      <w:r>
        <w:t>41 sequências de vídeo (13.6%)</w:t>
      </w:r>
    </w:p>
    <w:p>
      <w:pPr>
        <w:pStyle w:val="ListBullet"/>
        <w:spacing w:after="40"/>
      </w:pPr>
      <w:r>
        <w:rPr>
          <w:b/>
        </w:rPr>
        <w:t xml:space="preserve">Conjunto de Teste Independente (X_test / y_test): </w:t>
      </w:r>
      <w:r>
        <w:t>48 sequências de vídeo (15.9%)</w:t>
      </w:r>
    </w:p>
    <w:p>
      <w:pPr>
        <w:pStyle w:val="ListBullet"/>
        <w:spacing w:after="40"/>
      </w:pPr>
      <w:r>
        <w:rPr>
          <w:b/>
        </w:rPr>
        <w:t xml:space="preserve">Total de Amostras Avaliadas: </w:t>
      </w:r>
      <w:r>
        <w:t>302 sequências de 45 frames cada.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