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Heading1doc-title"/>
        <w:bidi w:val="0"/>
        <w:spacing w:before="240" w:after="283"/>
        <w:rPr/>
      </w:pPr>
      <w:r>
        <w:rPr/>
        <w:t>Wohnungsbauträgervertrag mit Auflassung — Deutsch/English</w:t>
      </w:r>
    </w:p>
    <w:p>
      <w:pPr>
        <w:pStyle w:val="BodyTextdoc-note"/>
        <w:bidi w:val="0"/>
        <w:rPr/>
      </w:pPr>
      <w:r>
        <w:rPr/>
        <w:t>Deutsch-englische Lesefassung. Bei Abweichungen ist die deutsche Sprachfassung maßgeblich.</w:t>
      </w:r>
    </w:p>
    <w:tbl>
      <w:tblPr>
        <w:tblW w:w="15534" w:type="dxa"/>
        <w:jc w:val="start"/>
        <w:tblInd w:w="0" w:type="dxa"/>
        <w:tblLayout w:type="fixed"/>
        <w:tblCellMar>
          <w:top w:w="28" w:type="dxa"/>
          <w:start w:w="28" w:type="dxa"/>
          <w:bottom w:w="28" w:type="dxa"/>
          <w:end w:w="28" w:type="dxa"/>
        </w:tblCellMar>
      </w:tblPr>
      <w:tblGrid>
        <w:gridCol w:w="7738"/>
        <w:gridCol w:w="7796"/>
      </w:tblGrid>
      <w:tr>
        <w:trPr>
          <w:tblHeader w:val="true"/>
        </w:trPr>
        <w:tc>
          <w:tcPr>
            <w:tcW w:w="7738" w:type="dxa"/>
            <w:tcBorders/>
            <w:vAlign w:val="center"/>
          </w:tcPr>
          <w:p>
            <w:pPr>
              <w:pStyle w:val="TableHeading"/>
              <w:suppressLineNumbers/>
              <w:bidi w:val="0"/>
              <w:spacing w:before="0" w:after="283"/>
              <w:jc w:val="center"/>
              <w:rPr/>
            </w:pPr>
            <w:r>
              <w:rPr/>
              <w:t>Deutsche Fassung</w:t>
            </w:r>
          </w:p>
        </w:tc>
        <w:tc>
          <w:tcPr>
            <w:tcW w:w="7796" w:type="dxa"/>
            <w:tcBorders/>
            <w:vAlign w:val="center"/>
          </w:tcPr>
          <w:p>
            <w:pPr>
              <w:pStyle w:val="TableHeading"/>
              <w:suppressLineNumbers/>
              <w:bidi w:val="0"/>
              <w:spacing w:before="0" w:after="283"/>
              <w:jc w:val="center"/>
              <w:rPr/>
            </w:pPr>
            <w:r>
              <w:rPr/>
              <w:t>English convenience translation</w:t>
            </w:r>
          </w:p>
        </w:tc>
      </w:tr>
      <w:tr>
        <w:trPr/>
        <w:tc>
          <w:tcPr>
            <w:tcW w:w="7738" w:type="dxa"/>
            <w:tcBorders/>
            <w:vAlign w:val="center"/>
          </w:tcPr>
          <w:p>
            <w:pPr>
              <w:pStyle w:val="Heading1"/>
              <w:bidi w:val="0"/>
              <w:spacing w:before="240" w:after="283"/>
              <w:ind w:hanging="0" w:start="0" w:end="0"/>
              <w:rPr/>
            </w:pPr>
            <w:bookmarkStart w:id="0" w:name="bauträgervertrag"/>
            <w:bookmarkEnd w:id="0"/>
            <w:r>
              <w:rPr/>
              <w:t>Bauträgervertrag</w:t>
            </w:r>
          </w:p>
        </w:tc>
        <w:tc>
          <w:tcPr>
            <w:tcW w:w="7796" w:type="dxa"/>
            <w:tcBorders/>
            <w:vAlign w:val="center"/>
          </w:tcPr>
          <w:p>
            <w:pPr>
              <w:pStyle w:val="Heading1"/>
              <w:bidi w:val="0"/>
              <w:spacing w:before="240" w:after="283"/>
              <w:ind w:hanging="0" w:start="0" w:end="0"/>
              <w:rPr/>
            </w:pPr>
            <w:bookmarkStart w:id="1" w:name="property-development-contract"/>
            <w:bookmarkEnd w:id="1"/>
            <w:r>
              <w:rPr/>
              <w:t>Property Development Contract</w:t>
            </w:r>
          </w:p>
        </w:tc>
      </w:tr>
      <w:tr>
        <w:trPr/>
        <w:tc>
          <w:tcPr>
            <w:tcW w:w="7738" w:type="dxa"/>
            <w:tcBorders/>
            <w:vAlign w:val="center"/>
          </w:tcPr>
          <w:p>
            <w:pPr>
              <w:pStyle w:val="Heading2"/>
              <w:bidi w:val="0"/>
              <w:spacing w:before="200" w:after="120"/>
              <w:ind w:hanging="0" w:start="0" w:end="0"/>
              <w:rPr/>
            </w:pPr>
            <w:bookmarkStart w:id="2" w:name="sprachfassung-verlesung-und-verständnish"/>
            <w:bookmarkEnd w:id="2"/>
            <w:r>
              <w:rPr/>
              <w:t>Sprachfassung, Verlesung und Verständnishilfe</w:t>
            </w:r>
          </w:p>
        </w:tc>
        <w:tc>
          <w:tcPr>
            <w:tcW w:w="7796" w:type="dxa"/>
            <w:tcBorders/>
            <w:vAlign w:val="center"/>
          </w:tcPr>
          <w:p>
            <w:pPr>
              <w:pStyle w:val="Heading2"/>
              <w:bidi w:val="0"/>
              <w:spacing w:before="200" w:after="120"/>
              <w:ind w:hanging="0" w:start="0" w:end="0"/>
              <w:rPr/>
            </w:pPr>
            <w:bookmarkStart w:id="3" w:name="language-version-reading-aloud-and-compr"/>
            <w:bookmarkEnd w:id="3"/>
            <w:r>
              <w:rPr/>
              <w:t>Language Version, Reading Aloud and Comprehension Aid</w:t>
            </w:r>
          </w:p>
        </w:tc>
      </w:tr>
      <w:tr>
        <w:trPr/>
        <w:tc>
          <w:tcPr>
            <w:tcW w:w="7738" w:type="dxa"/>
            <w:tcBorders/>
            <w:vAlign w:val="center"/>
          </w:tcPr>
          <w:p>
            <w:pPr>
              <w:pStyle w:val="TableContents"/>
              <w:bidi w:val="0"/>
              <w:spacing w:before="0" w:after="283"/>
              <w:rPr/>
            </w:pPr>
            <w:r>
              <w:rPr>
                <w:rStyle w:val="Strong"/>
              </w:rPr>
              <w:t>S.0</w:t>
            </w:r>
            <w:r>
              <w:rPr/>
              <w:t xml:space="preserve"> Diese Urkunde ist in einer deutsch-englischen Lesefassung erstellt. Der amtierende Notar beurkundet und verliest im Beurkundungstermin ausschließlich die deutsche Sprachfassung. Die englische Sprachfassung ist keine selbständige Vertragssprache, wird nicht verlesen und dient allein dem besseren Verständnis des Käufers; sie begründet keine von der deutschen Sprachfassung abweichenden Rechte, Pflichten, Fälligkeiten, Fristen, Beschaffenheiten oder Rechtsfolgen.</w:t>
            </w:r>
          </w:p>
        </w:tc>
        <w:tc>
          <w:tcPr>
            <w:tcW w:w="7796" w:type="dxa"/>
            <w:tcBorders/>
            <w:vAlign w:val="center"/>
          </w:tcPr>
          <w:p>
            <w:pPr>
              <w:pStyle w:val="TableContents"/>
              <w:bidi w:val="0"/>
              <w:spacing w:before="0" w:after="283"/>
              <w:rPr/>
            </w:pPr>
            <w:r>
              <w:rPr>
                <w:rStyle w:val="Strong"/>
              </w:rPr>
              <w:t>S.0</w:t>
            </w:r>
            <w:r>
              <w:rPr/>
              <w:t xml:space="preserve"> This deed has been prepared as a German/English reading version. At the notarisation appointment, the acting notary records and reads aloud only the German language version. The English language version is not an independent contractual language, is not read aloud and serves solely to assist the Buyer in understanding the deed; it does not create any rights, obligations, due dates, time limits, qualities or legal consequences differing from the German language version.</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4" w:name="ur-nr.-1882026-kq"/>
            <w:bookmarkEnd w:id="4"/>
            <w:r>
              <w:rPr/>
              <w:t>UR-Nr. 188/2026 KQ</w:t>
            </w:r>
          </w:p>
        </w:tc>
        <w:tc>
          <w:tcPr>
            <w:tcW w:w="7796" w:type="dxa"/>
            <w:tcBorders/>
            <w:vAlign w:val="center"/>
          </w:tcPr>
          <w:p>
            <w:pPr>
              <w:pStyle w:val="Heading1"/>
              <w:bidi w:val="0"/>
              <w:spacing w:before="240" w:after="283"/>
              <w:ind w:hanging="0" w:start="0" w:end="0"/>
              <w:rPr/>
            </w:pPr>
            <w:bookmarkStart w:id="5" w:name="ur-no-1882026-kq"/>
            <w:bookmarkEnd w:id="5"/>
            <w:r>
              <w:rPr/>
              <w:t>UR No 188/2026 KQ</w:t>
            </w:r>
          </w:p>
        </w:tc>
      </w:tr>
      <w:tr>
        <w:trPr/>
        <w:tc>
          <w:tcPr>
            <w:tcW w:w="7738" w:type="dxa"/>
            <w:tcBorders/>
            <w:vAlign w:val="center"/>
          </w:tcPr>
          <w:p>
            <w:pPr>
              <w:pStyle w:val="Heading2"/>
              <w:bidi w:val="0"/>
              <w:spacing w:before="200" w:after="120"/>
              <w:ind w:hanging="0" w:start="0" w:end="0"/>
              <w:rPr/>
            </w:pPr>
            <w:bookmarkStart w:id="6" w:name="verhandelt"/>
            <w:bookmarkEnd w:id="6"/>
            <w:r>
              <w:rPr/>
              <w:t>Verhandelt</w:t>
            </w:r>
          </w:p>
        </w:tc>
        <w:tc>
          <w:tcPr>
            <w:tcW w:w="7796" w:type="dxa"/>
            <w:tcBorders/>
            <w:vAlign w:val="center"/>
          </w:tcPr>
          <w:p>
            <w:pPr>
              <w:pStyle w:val="Heading2"/>
              <w:bidi w:val="0"/>
              <w:spacing w:before="200" w:after="120"/>
              <w:ind w:hanging="0" w:start="0" w:end="0"/>
              <w:rPr/>
            </w:pPr>
            <w:bookmarkStart w:id="7" w:name="negotiated"/>
            <w:bookmarkEnd w:id="7"/>
            <w:r>
              <w:rPr/>
              <w:t>Negotiated</w:t>
            </w:r>
          </w:p>
        </w:tc>
      </w:tr>
      <w:tr>
        <w:trPr/>
        <w:tc>
          <w:tcPr>
            <w:tcW w:w="7738" w:type="dxa"/>
            <w:tcBorders/>
            <w:vAlign w:val="center"/>
          </w:tcPr>
          <w:p>
            <w:pPr>
              <w:pStyle w:val="TableContents"/>
              <w:bidi w:val="0"/>
              <w:spacing w:before="0" w:after="283"/>
              <w:rPr/>
            </w:pPr>
            <w:r>
              <w:rPr/>
              <w:t>zu Berlin, am 14. März 2026</w:t>
            </w:r>
          </w:p>
        </w:tc>
        <w:tc>
          <w:tcPr>
            <w:tcW w:w="7796" w:type="dxa"/>
            <w:tcBorders/>
            <w:vAlign w:val="center"/>
          </w:tcPr>
          <w:p>
            <w:pPr>
              <w:pStyle w:val="TableContents"/>
              <w:bidi w:val="0"/>
              <w:spacing w:before="0" w:after="283"/>
              <w:rPr/>
            </w:pPr>
            <w:r>
              <w:rPr/>
              <w:t>in Berlin, on 14 March 2026</w:t>
            </w:r>
          </w:p>
        </w:tc>
      </w:tr>
      <w:tr>
        <w:trPr/>
        <w:tc>
          <w:tcPr>
            <w:tcW w:w="7738" w:type="dxa"/>
            <w:tcBorders/>
            <w:vAlign w:val="center"/>
          </w:tcPr>
          <w:p>
            <w:pPr>
              <w:pStyle w:val="TableContents"/>
              <w:bidi w:val="0"/>
              <w:spacing w:before="0" w:after="283"/>
              <w:rPr/>
            </w:pPr>
            <w:r>
              <w:rPr/>
              <w:t>Vor mir, dem unterzeichnenden Notar im Bezirk des Kammergerichts</w:t>
            </w:r>
          </w:p>
        </w:tc>
        <w:tc>
          <w:tcPr>
            <w:tcW w:w="7796" w:type="dxa"/>
            <w:tcBorders/>
            <w:vAlign w:val="center"/>
          </w:tcPr>
          <w:p>
            <w:pPr>
              <w:pStyle w:val="TableContents"/>
              <w:bidi w:val="0"/>
              <w:spacing w:before="0" w:after="283"/>
              <w:rPr/>
            </w:pPr>
            <w:r>
              <w:rPr/>
              <w:t>Before me, the undersigned Notary in the district of the Kammergericht</w:t>
            </w:r>
          </w:p>
        </w:tc>
      </w:tr>
      <w:tr>
        <w:trPr/>
        <w:tc>
          <w:tcPr>
            <w:tcW w:w="7738" w:type="dxa"/>
            <w:tcBorders/>
            <w:vAlign w:val="center"/>
          </w:tcPr>
          <w:p>
            <w:pPr>
              <w:pStyle w:val="TableContents"/>
              <w:bidi w:val="0"/>
              <w:spacing w:before="0" w:after="283"/>
              <w:rPr/>
            </w:pPr>
            <w:r>
              <w:rPr>
                <w:rStyle w:val="Strong"/>
              </w:rPr>
              <w:t>Dr. Adalbert von Sickingen-Querfurt</w:t>
            </w:r>
          </w:p>
        </w:tc>
        <w:tc>
          <w:tcPr>
            <w:tcW w:w="7796" w:type="dxa"/>
            <w:tcBorders/>
            <w:vAlign w:val="center"/>
          </w:tcPr>
          <w:p>
            <w:pPr>
              <w:pStyle w:val="TableContents"/>
              <w:bidi w:val="0"/>
              <w:spacing w:before="0" w:after="283"/>
              <w:rPr/>
            </w:pPr>
            <w:r>
              <w:rPr>
                <w:rStyle w:val="Strong"/>
              </w:rPr>
              <w:t>Dr. Adalbert von Sickingen-Querfurt</w:t>
            </w:r>
          </w:p>
        </w:tc>
      </w:tr>
      <w:tr>
        <w:trPr/>
        <w:tc>
          <w:tcPr>
            <w:tcW w:w="7738" w:type="dxa"/>
            <w:tcBorders/>
            <w:vAlign w:val="center"/>
          </w:tcPr>
          <w:p>
            <w:pPr>
              <w:pStyle w:val="TableContents"/>
              <w:bidi w:val="0"/>
              <w:spacing w:before="0" w:after="283"/>
              <w:rPr/>
            </w:pPr>
            <w:r>
              <w:rPr/>
              <w:t>Kurfürstendamm 211, 10719 Berlin</w:t>
            </w:r>
          </w:p>
        </w:tc>
        <w:tc>
          <w:tcPr>
            <w:tcW w:w="7796" w:type="dxa"/>
            <w:tcBorders/>
            <w:vAlign w:val="center"/>
          </w:tcPr>
          <w:p>
            <w:pPr>
              <w:pStyle w:val="TableContents"/>
              <w:bidi w:val="0"/>
              <w:spacing w:before="0" w:after="283"/>
              <w:rPr/>
            </w:pPr>
            <w:r>
              <w:rPr/>
              <w:t>Kurfürstendamm 211, 10719 Berlin</w:t>
            </w:r>
          </w:p>
        </w:tc>
      </w:tr>
      <w:tr>
        <w:trPr/>
        <w:tc>
          <w:tcPr>
            <w:tcW w:w="7738" w:type="dxa"/>
            <w:tcBorders/>
            <w:vAlign w:val="center"/>
          </w:tcPr>
          <w:p>
            <w:pPr>
              <w:pStyle w:val="TableContents"/>
              <w:bidi w:val="0"/>
              <w:spacing w:before="0" w:after="283"/>
              <w:rPr/>
            </w:pPr>
            <w:r>
              <w:rPr/>
              <w:t>erschienen heute:</w:t>
            </w:r>
          </w:p>
        </w:tc>
        <w:tc>
          <w:tcPr>
            <w:tcW w:w="7796" w:type="dxa"/>
            <w:tcBorders/>
            <w:vAlign w:val="center"/>
          </w:tcPr>
          <w:p>
            <w:pPr>
              <w:pStyle w:val="TableContents"/>
              <w:bidi w:val="0"/>
              <w:spacing w:before="0" w:after="283"/>
              <w:rPr/>
            </w:pPr>
            <w:r>
              <w:rPr/>
              <w:t>appeared today:</w:t>
            </w:r>
          </w:p>
        </w:tc>
      </w:tr>
      <w:tr>
        <w:trPr/>
        <w:tc>
          <w:tcPr>
            <w:tcW w:w="7738" w:type="dxa"/>
            <w:tcBorders/>
            <w:vAlign w:val="center"/>
          </w:tcPr>
          <w:p>
            <w:pPr>
              <w:pStyle w:val="TableContents"/>
              <w:bidi w:val="0"/>
              <w:spacing w:before="0" w:after="283"/>
              <w:rPr/>
            </w:pPr>
            <w:r>
              <w:rPr/>
              <w:t xml:space="preserve">Frau </w:t>
            </w:r>
            <w:r>
              <w:rPr>
                <w:rStyle w:val="Strong"/>
              </w:rPr>
              <w:t>Roswitha Quendel-Bingenheimer</w:t>
            </w:r>
            <w:r>
              <w:rPr/>
              <w:t>, geboren am 11.08.1971,</w:t>
            </w:r>
          </w:p>
        </w:tc>
        <w:tc>
          <w:tcPr>
            <w:tcW w:w="7796" w:type="dxa"/>
            <w:tcBorders/>
            <w:vAlign w:val="center"/>
          </w:tcPr>
          <w:p>
            <w:pPr>
              <w:pStyle w:val="TableContents"/>
              <w:bidi w:val="0"/>
              <w:spacing w:before="0" w:after="283"/>
              <w:rPr/>
            </w:pPr>
            <w:r>
              <w:rPr/>
              <w:t>Ms Roswitha Quendel-Bingenheimer, born 11.08.1971,</w:t>
            </w:r>
          </w:p>
        </w:tc>
      </w:tr>
      <w:tr>
        <w:trPr/>
        <w:tc>
          <w:tcPr>
            <w:tcW w:w="7738" w:type="dxa"/>
            <w:tcBorders/>
            <w:vAlign w:val="center"/>
          </w:tcPr>
          <w:p>
            <w:pPr>
              <w:pStyle w:val="TableContents"/>
              <w:bidi w:val="0"/>
              <w:spacing w:before="0" w:after="283"/>
              <w:rPr/>
            </w:pPr>
            <w:r>
              <w:rPr/>
              <w:t>geschäftsansässig: Schloßstraße 88, 12163 Berlin,</w:t>
            </w:r>
          </w:p>
        </w:tc>
        <w:tc>
          <w:tcPr>
            <w:tcW w:w="7796" w:type="dxa"/>
            <w:tcBorders/>
            <w:vAlign w:val="center"/>
          </w:tcPr>
          <w:p>
            <w:pPr>
              <w:pStyle w:val="TableContents"/>
              <w:bidi w:val="0"/>
              <w:spacing w:before="0" w:after="283"/>
              <w:rPr/>
            </w:pPr>
            <w:r>
              <w:rPr/>
              <w:t>business address: Schloßstraße 88, 12163 Berlin,</w:t>
            </w:r>
          </w:p>
        </w:tc>
      </w:tr>
      <w:tr>
        <w:trPr/>
        <w:tc>
          <w:tcPr>
            <w:tcW w:w="7738" w:type="dxa"/>
            <w:tcBorders/>
            <w:vAlign w:val="center"/>
          </w:tcPr>
          <w:p>
            <w:pPr>
              <w:pStyle w:val="TableContents"/>
              <w:bidi w:val="0"/>
              <w:spacing w:before="0" w:after="283"/>
              <w:rPr/>
            </w:pPr>
            <w:r>
              <w:rPr/>
              <w:t>dem Notar von Person bekannt,</w:t>
            </w:r>
          </w:p>
        </w:tc>
        <w:tc>
          <w:tcPr>
            <w:tcW w:w="7796" w:type="dxa"/>
            <w:tcBorders/>
            <w:vAlign w:val="center"/>
          </w:tcPr>
          <w:p>
            <w:pPr>
              <w:pStyle w:val="TableContents"/>
              <w:bidi w:val="0"/>
              <w:spacing w:before="0" w:after="283"/>
              <w:rPr/>
            </w:pPr>
            <w:r>
              <w:rPr/>
              <w:t>personally known to the Notary,</w:t>
            </w:r>
          </w:p>
        </w:tc>
      </w:tr>
      <w:tr>
        <w:trPr/>
        <w:tc>
          <w:tcPr>
            <w:tcW w:w="7738" w:type="dxa"/>
            <w:tcBorders/>
            <w:vAlign w:val="center"/>
          </w:tcPr>
          <w:p>
            <w:pPr>
              <w:pStyle w:val="TableContents"/>
              <w:bidi w:val="0"/>
              <w:spacing w:before="0" w:after="283"/>
              <w:rPr/>
            </w:pPr>
            <w:r>
              <w:rPr/>
              <w:t>handelnd nachfolgend nicht im eigenen Namen, sondern als Bevollmächtigte für die</w:t>
            </w:r>
          </w:p>
        </w:tc>
        <w:tc>
          <w:tcPr>
            <w:tcW w:w="7796" w:type="dxa"/>
            <w:tcBorders/>
            <w:vAlign w:val="center"/>
          </w:tcPr>
          <w:p>
            <w:pPr>
              <w:pStyle w:val="TableContents"/>
              <w:bidi w:val="0"/>
              <w:spacing w:before="0" w:after="283"/>
              <w:rPr/>
            </w:pPr>
            <w:r>
              <w:rPr/>
              <w:t>not in their own name, but as agents for the</w:t>
            </w:r>
          </w:p>
        </w:tc>
      </w:tr>
      <w:tr>
        <w:trPr/>
        <w:tc>
          <w:tcPr>
            <w:tcW w:w="7738" w:type="dxa"/>
            <w:tcBorders/>
            <w:vAlign w:val="center"/>
          </w:tcPr>
          <w:p>
            <w:pPr>
              <w:pStyle w:val="TableContents"/>
              <w:bidi w:val="0"/>
              <w:spacing w:before="0" w:after="283"/>
              <w:rPr/>
            </w:pPr>
            <w:r>
              <w:rPr>
                <w:rStyle w:val="Strong"/>
              </w:rPr>
              <w:t>Hohenwartshofen Quartiersentwicklung GmbH &amp; Co. KG</w:t>
            </w:r>
          </w:p>
        </w:tc>
        <w:tc>
          <w:tcPr>
            <w:tcW w:w="7796" w:type="dxa"/>
            <w:tcBorders/>
            <w:vAlign w:val="center"/>
          </w:tcPr>
          <w:p>
            <w:pPr>
              <w:pStyle w:val="TableContents"/>
              <w:bidi w:val="0"/>
              <w:spacing w:before="0" w:after="283"/>
              <w:rPr/>
            </w:pPr>
            <w:r>
              <w:rPr>
                <w:rStyle w:val="Strong"/>
              </w:rPr>
              <w:t>Hohenwartshofen Quartiersentwicklung GmbH &amp; Co. KG</w:t>
            </w:r>
          </w:p>
        </w:tc>
      </w:tr>
      <w:tr>
        <w:trPr/>
        <w:tc>
          <w:tcPr>
            <w:tcW w:w="7738" w:type="dxa"/>
            <w:tcBorders/>
            <w:vAlign w:val="center"/>
          </w:tcPr>
          <w:p>
            <w:pPr>
              <w:pStyle w:val="TableContents"/>
              <w:bidi w:val="0"/>
              <w:spacing w:before="0" w:after="283"/>
              <w:rPr/>
            </w:pPr>
            <w:r>
              <w:rPr/>
              <w:t>(vormals firmierend unter Hohenwartshofen-Drewitz Immobilien GmbH &amp; Co. KG; Amtsgericht Charlottenburg, HRA 52188 B; Komplementärin: Hohenwartshofen Verwaltungs GmbH, Amtsgericht Charlottenburg, HRB 187 552 B),</w:t>
            </w:r>
          </w:p>
        </w:tc>
        <w:tc>
          <w:tcPr>
            <w:tcW w:w="7796" w:type="dxa"/>
            <w:tcBorders/>
            <w:vAlign w:val="center"/>
          </w:tcPr>
          <w:p>
            <w:pPr>
              <w:pStyle w:val="TableContents"/>
              <w:bidi w:val="0"/>
              <w:spacing w:before="0" w:after="283"/>
              <w:rPr/>
            </w:pPr>
            <w:r>
              <w:rPr/>
              <w:t>(formerly known as Hohenwartshofen-Drewitz Immobilien GmbH &amp; Co. KG); District Court Charlottenburg, HRA 52188 B; General: Hohenwartshofen Verwaltungs GmbH, District Court Charlottenburg, HRB 187 552 B,</w:t>
            </w:r>
          </w:p>
        </w:tc>
      </w:tr>
      <w:tr>
        <w:trPr/>
        <w:tc>
          <w:tcPr>
            <w:tcW w:w="7738" w:type="dxa"/>
            <w:tcBorders/>
            <w:vAlign w:val="center"/>
          </w:tcPr>
          <w:p>
            <w:pPr>
              <w:pStyle w:val="TableContents"/>
              <w:bidi w:val="0"/>
              <w:spacing w:before="0" w:after="283"/>
              <w:rPr/>
            </w:pPr>
            <w:r>
              <w:rPr/>
              <w:t>Geschäftsanschrift: Schloßstraße 88, 12163 Berlin,</w:t>
            </w:r>
          </w:p>
        </w:tc>
        <w:tc>
          <w:tcPr>
            <w:tcW w:w="7796" w:type="dxa"/>
            <w:tcBorders/>
            <w:vAlign w:val="center"/>
          </w:tcPr>
          <w:p>
            <w:pPr>
              <w:pStyle w:val="TableContents"/>
              <w:bidi w:val="0"/>
              <w:spacing w:before="0" w:after="283"/>
              <w:rPr/>
            </w:pPr>
            <w:r>
              <w:rPr/>
              <w:t>business address: Schloßstraße 88, 12163 Berlin,</w:t>
            </w:r>
          </w:p>
        </w:tc>
      </w:tr>
      <w:tr>
        <w:trPr/>
        <w:tc>
          <w:tcPr>
            <w:tcW w:w="7738" w:type="dxa"/>
            <w:tcBorders/>
            <w:vAlign w:val="center"/>
          </w:tcPr>
          <w:p>
            <w:pPr>
              <w:pStyle w:val="TableContents"/>
              <w:bidi w:val="0"/>
              <w:spacing w:before="0" w:after="283"/>
              <w:rPr/>
            </w:pPr>
            <w:r>
              <w:rPr/>
              <w:t xml:space="preserve">— </w:t>
            </w:r>
            <w:r>
              <w:rPr/>
              <w:t>nachstehend auch „Verkäufer” genannt —,</w:t>
            </w:r>
          </w:p>
        </w:tc>
        <w:tc>
          <w:tcPr>
            <w:tcW w:w="7796" w:type="dxa"/>
            <w:tcBorders/>
            <w:vAlign w:val="center"/>
          </w:tcPr>
          <w:p>
            <w:pPr>
              <w:pStyle w:val="TableContents"/>
              <w:bidi w:val="0"/>
              <w:spacing w:before="0" w:after="283"/>
              <w:rPr/>
            </w:pPr>
            <w:r>
              <w:rPr/>
              <w:t>hereinafter referred to as ‘the Seller’,</w:t>
            </w:r>
          </w:p>
        </w:tc>
      </w:tr>
      <w:tr>
        <w:trPr/>
        <w:tc>
          <w:tcPr>
            <w:tcW w:w="7738" w:type="dxa"/>
            <w:tcBorders/>
            <w:vAlign w:val="center"/>
          </w:tcPr>
          <w:p>
            <w:pPr>
              <w:pStyle w:val="TableContents"/>
              <w:bidi w:val="0"/>
              <w:spacing w:before="0" w:after="283"/>
              <w:rPr/>
            </w:pPr>
            <w:r>
              <w:rPr/>
              <w:t>aufgrund notariell beglaubigter Vollmacht vom 22.10.2025, UR-Nr. 1402/2025 W des Notars Egmont Wachtelborn, Berlin. Das Original der Vollmacht lag bei Beurkundung vor; eine Fotokopie derselben wird in beglaubigter Fotokopie als Anhang a zu dieser Urkunde genommen.</w:t>
            </w:r>
          </w:p>
        </w:tc>
        <w:tc>
          <w:tcPr>
            <w:tcW w:w="7796" w:type="dxa"/>
            <w:tcBorders/>
            <w:vAlign w:val="center"/>
          </w:tcPr>
          <w:p>
            <w:pPr>
              <w:pStyle w:val="TableContents"/>
              <w:bidi w:val="0"/>
              <w:spacing w:before="0" w:after="283"/>
              <w:rPr/>
            </w:pPr>
            <w:r>
              <w:rPr/>
              <w:t>based on notarized power of attorney dated 22.10.2025, UR No. 1402/2025 W of the Notary Egmont Wachtelborn, Berlin. The original of the power of attorney was available at certification; a photocopy of the same shall be taken in certified photocopy as Annex a to this document.</w:t>
            </w:r>
          </w:p>
        </w:tc>
      </w:tr>
      <w:tr>
        <w:trPr/>
        <w:tc>
          <w:tcPr>
            <w:tcW w:w="7738" w:type="dxa"/>
            <w:tcBorders/>
            <w:vAlign w:val="center"/>
          </w:tcPr>
          <w:p>
            <w:pPr>
              <w:pStyle w:val="TableContents"/>
              <w:bidi w:val="0"/>
              <w:spacing w:before="0" w:after="283"/>
              <w:rPr/>
            </w:pPr>
            <w:r>
              <w:rPr/>
              <w:t xml:space="preserve">Herr </w:t>
            </w:r>
            <w:r>
              <w:rPr>
                <w:rStyle w:val="Strong"/>
              </w:rPr>
              <w:t>Dr. Eberwein Übelacker-Strohmeyer</w:t>
            </w:r>
            <w:r>
              <w:rPr/>
              <w:t>, geboren am 03.02.1968,</w:t>
            </w:r>
          </w:p>
        </w:tc>
        <w:tc>
          <w:tcPr>
            <w:tcW w:w="7796" w:type="dxa"/>
            <w:tcBorders/>
            <w:vAlign w:val="center"/>
          </w:tcPr>
          <w:p>
            <w:pPr>
              <w:pStyle w:val="TableContents"/>
              <w:bidi w:val="0"/>
              <w:spacing w:before="0" w:after="283"/>
              <w:rPr/>
            </w:pPr>
            <w:r>
              <w:rPr/>
              <w:t>Mr Dr Eberwein Übelacker-Strohmeyer, born on 03.02.1968,</w:t>
            </w:r>
          </w:p>
        </w:tc>
      </w:tr>
      <w:tr>
        <w:trPr/>
        <w:tc>
          <w:tcPr>
            <w:tcW w:w="7738" w:type="dxa"/>
            <w:tcBorders/>
            <w:vAlign w:val="center"/>
          </w:tcPr>
          <w:p>
            <w:pPr>
              <w:pStyle w:val="TableContents"/>
              <w:bidi w:val="0"/>
              <w:spacing w:before="0" w:after="283"/>
              <w:rPr/>
            </w:pPr>
            <w:r>
              <w:rPr/>
              <w:t>wohnhaft: Königin-Luise-Straße 47, 14195 Berlin,</w:t>
            </w:r>
          </w:p>
        </w:tc>
        <w:tc>
          <w:tcPr>
            <w:tcW w:w="7796" w:type="dxa"/>
            <w:tcBorders/>
            <w:vAlign w:val="center"/>
          </w:tcPr>
          <w:p>
            <w:pPr>
              <w:pStyle w:val="TableContents"/>
              <w:bidi w:val="0"/>
              <w:spacing w:before="0" w:after="283"/>
              <w:rPr/>
            </w:pPr>
            <w:r>
              <w:rPr/>
              <w:t>resident at: Königin-Luise-Straße 47, 14195 Berlin,</w:t>
            </w:r>
          </w:p>
        </w:tc>
      </w:tr>
      <w:tr>
        <w:trPr/>
        <w:tc>
          <w:tcPr>
            <w:tcW w:w="7738" w:type="dxa"/>
            <w:tcBorders/>
            <w:vAlign w:val="center"/>
          </w:tcPr>
          <w:p>
            <w:pPr>
              <w:pStyle w:val="TableContents"/>
              <w:bidi w:val="0"/>
              <w:spacing w:before="0" w:after="283"/>
              <w:rPr/>
            </w:pPr>
            <w:r>
              <w:rPr/>
              <w:t>ausgewiesen durch gültigen Personalausweis,</w:t>
            </w:r>
          </w:p>
        </w:tc>
        <w:tc>
          <w:tcPr>
            <w:tcW w:w="7796" w:type="dxa"/>
            <w:tcBorders/>
            <w:vAlign w:val="center"/>
          </w:tcPr>
          <w:p>
            <w:pPr>
              <w:pStyle w:val="TableContents"/>
              <w:bidi w:val="0"/>
              <w:spacing w:before="0" w:after="283"/>
              <w:rPr/>
            </w:pPr>
            <w:r>
              <w:rPr/>
              <w:t>identified by a valid identity card,</w:t>
            </w:r>
          </w:p>
        </w:tc>
      </w:tr>
      <w:tr>
        <w:trPr/>
        <w:tc>
          <w:tcPr>
            <w:tcW w:w="7738" w:type="dxa"/>
            <w:tcBorders/>
            <w:vAlign w:val="center"/>
          </w:tcPr>
          <w:p>
            <w:pPr>
              <w:pStyle w:val="TableContents"/>
              <w:bidi w:val="0"/>
              <w:spacing w:before="0" w:after="283"/>
              <w:rPr/>
            </w:pPr>
            <w:r>
              <w:rPr/>
              <w:t xml:space="preserve">— </w:t>
            </w:r>
            <w:r>
              <w:rPr/>
              <w:t>nachstehend auch „Käufer” genannt —.</w:t>
            </w:r>
          </w:p>
        </w:tc>
        <w:tc>
          <w:tcPr>
            <w:tcW w:w="7796" w:type="dxa"/>
            <w:tcBorders/>
            <w:vAlign w:val="center"/>
          </w:tcPr>
          <w:p>
            <w:pPr>
              <w:pStyle w:val="TableContents"/>
              <w:bidi w:val="0"/>
              <w:spacing w:before="0" w:after="283"/>
              <w:rPr/>
            </w:pPr>
            <w:r>
              <w:rPr/>
              <w:t>hereinafter also referred to as ‘Buyer’.</w:t>
            </w:r>
          </w:p>
        </w:tc>
      </w:tr>
      <w:tr>
        <w:trPr/>
        <w:tc>
          <w:tcPr>
            <w:tcW w:w="7738" w:type="dxa"/>
            <w:tcBorders/>
            <w:vAlign w:val="center"/>
          </w:tcPr>
          <w:p>
            <w:pPr>
              <w:pStyle w:val="TableContents"/>
              <w:bidi w:val="0"/>
              <w:spacing w:before="0" w:after="283"/>
              <w:rPr/>
            </w:pPr>
            <w:r>
              <w:rPr/>
              <w:t>Auf Befragen des Notars erklärten die Erschienene zu 1. auf Rechnung des von ihr Vertretenen und der Erschienene zu 2. auf eigene Rechnung zu handeln.</w:t>
            </w:r>
          </w:p>
        </w:tc>
        <w:tc>
          <w:tcPr>
            <w:tcW w:w="7796" w:type="dxa"/>
            <w:tcBorders/>
            <w:vAlign w:val="center"/>
          </w:tcPr>
          <w:p>
            <w:pPr>
              <w:pStyle w:val="TableContents"/>
              <w:bidi w:val="0"/>
              <w:spacing w:before="0" w:after="283"/>
              <w:rPr/>
            </w:pPr>
            <w:r>
              <w:rPr/>
              <w:t>At the request of the Notary, the persons appearing declared 1. to act on behalf of the person represented by them and 2. to act on their own account.</w:t>
            </w:r>
          </w:p>
        </w:tc>
      </w:tr>
      <w:tr>
        <w:trPr/>
        <w:tc>
          <w:tcPr>
            <w:tcW w:w="7738" w:type="dxa"/>
            <w:tcBorders/>
            <w:vAlign w:val="center"/>
          </w:tcPr>
          <w:p>
            <w:pPr>
              <w:pStyle w:val="TableContents"/>
              <w:bidi w:val="0"/>
              <w:spacing w:before="0" w:after="283"/>
              <w:rPr/>
            </w:pPr>
            <w:r>
              <w:rPr/>
              <w:t>Der Notar hat darauf hingewiesen, dass er vor der Protokollierung die Beteiligten darüber zu befragen hat, ob bei der nachstehend zu beurkundenden Angelegenheit eine der mit ihm zur gemeinsamen Berufsausübung verbundenen Personen oder er selbst außerhalb seiner Amtstätigkeit bereits tätig war oder ist. Die Beteiligten erklärten, dass dies nicht der Fall sei.</w:t>
            </w:r>
          </w:p>
        </w:tc>
        <w:tc>
          <w:tcPr>
            <w:tcW w:w="7796" w:type="dxa"/>
            <w:tcBorders/>
            <w:vAlign w:val="center"/>
          </w:tcPr>
          <w:p>
            <w:pPr>
              <w:pStyle w:val="TableContents"/>
              <w:bidi w:val="0"/>
              <w:spacing w:before="0" w:after="283"/>
              <w:rPr/>
            </w:pPr>
            <w:r>
              <w:rPr/>
              <w:t>The Notary has indicated that, before the recording, he must ask the parties concerned whether, in the matter to be recorded below, one of the persons associated with him for the joint pursuit of the profession or himself has already worked or is working outside his office. The interested parties explained that this was not the case.</w:t>
            </w:r>
          </w:p>
        </w:tc>
      </w:tr>
      <w:tr>
        <w:trPr/>
        <w:tc>
          <w:tcPr>
            <w:tcW w:w="7738" w:type="dxa"/>
            <w:tcBorders/>
            <w:vAlign w:val="center"/>
          </w:tcPr>
          <w:p>
            <w:pPr>
              <w:pStyle w:val="TableContents"/>
              <w:bidi w:val="0"/>
              <w:spacing w:before="0" w:after="283"/>
              <w:rPr/>
            </w:pPr>
            <w:r>
              <w:rPr/>
              <w:t>Der Käufer erklärte im Hinblick auf § 17 Abs. 2a BeurkG, dass ihm ein Entwurf des nachstehenden Kaufvertrages über das vom Verkäufer verwendete Unterlagenportal zur Verfügung gestellt wurde und dass ihm der wesentliche wirtschaftliche Inhalt des Geschäfts aufgrund der vorangegangenen Reservierung, der Vertriebsgespräche und der Einsichtnahme in das digitale Datenraumverzeichnis bekannt sei. Auf Wunsch des Käufers und im Hinblick auf die auslaufende Reservierungsbindung soll die heutige Beurkundung gleichwohl durchgeführt werden; der Käufer erklärte, derzeit keine weitere Bedenkzeit zu benötigen.</w:t>
            </w:r>
          </w:p>
        </w:tc>
        <w:tc>
          <w:tcPr>
            <w:tcW w:w="7796" w:type="dxa"/>
            <w:tcBorders/>
            <w:vAlign w:val="center"/>
          </w:tcPr>
          <w:p>
            <w:pPr>
              <w:pStyle w:val="TableContents"/>
              <w:bidi w:val="0"/>
              <w:spacing w:before="0" w:after="283"/>
              <w:rPr/>
            </w:pPr>
            <w:r>
              <w:rPr/>
              <w:t>The Buyer stated with regard to § 17 Abs. 2a BeurkG, that he was provided with a draft of the sales contract below via the documentation portal used by the Seller and that he was aware of the essential economic content of the business on the basis of the previous reservation, sales discussions and inspection of the digital data room directory. However, at the request of the Buyer and in view of the expiring reservation binding, today’s deed shall be carried out; The Buyer stated that he does not currently need any further cooling-off period.</w:t>
            </w:r>
          </w:p>
        </w:tc>
      </w:tr>
      <w:tr>
        <w:trPr/>
        <w:tc>
          <w:tcPr>
            <w:tcW w:w="7738" w:type="dxa"/>
            <w:tcBorders/>
            <w:vAlign w:val="center"/>
          </w:tcPr>
          <w:p>
            <w:pPr>
              <w:pStyle w:val="TableContents"/>
              <w:bidi w:val="0"/>
              <w:spacing w:before="0" w:after="283"/>
              <w:rPr/>
            </w:pPr>
            <w:r>
              <w:rPr/>
              <w:t>Die Erschienenen baten sodann um die Beurkundung des nachstehenden</w:t>
            </w:r>
          </w:p>
        </w:tc>
        <w:tc>
          <w:tcPr>
            <w:tcW w:w="7796" w:type="dxa"/>
            <w:tcBorders/>
            <w:vAlign w:val="center"/>
          </w:tcPr>
          <w:p>
            <w:pPr>
              <w:pStyle w:val="TableContents"/>
              <w:bidi w:val="0"/>
              <w:spacing w:before="0" w:after="283"/>
              <w:rPr/>
            </w:pPr>
            <w:r>
              <w:rPr/>
              <w:t>The persons appearing then requested the notarisation of the following</w:t>
            </w:r>
          </w:p>
        </w:tc>
      </w:tr>
      <w:tr>
        <w:trPr/>
        <w:tc>
          <w:tcPr>
            <w:tcW w:w="7738" w:type="dxa"/>
            <w:tcBorders/>
            <w:vAlign w:val="center"/>
          </w:tcPr>
          <w:p>
            <w:pPr>
              <w:pStyle w:val="Heading1"/>
              <w:bidi w:val="0"/>
              <w:spacing w:before="240" w:after="283"/>
              <w:ind w:hanging="0" w:start="0" w:end="0"/>
              <w:rPr/>
            </w:pPr>
            <w:bookmarkStart w:id="8" w:name="wohnungsbauträgervertrag-mit-auflassung"/>
            <w:bookmarkEnd w:id="8"/>
            <w:r>
              <w:rPr/>
              <w:t>Wohnungsbauträgervertrag mit Auflassung</w:t>
            </w:r>
          </w:p>
        </w:tc>
        <w:tc>
          <w:tcPr>
            <w:tcW w:w="7796" w:type="dxa"/>
            <w:tcBorders/>
            <w:vAlign w:val="center"/>
          </w:tcPr>
          <w:p>
            <w:pPr>
              <w:pStyle w:val="Heading1"/>
              <w:bidi w:val="0"/>
              <w:spacing w:before="240" w:after="283"/>
              <w:ind w:hanging="0" w:start="0" w:end="0"/>
              <w:rPr/>
            </w:pPr>
            <w:bookmarkStart w:id="9" w:name="residential-property-development-contrac"/>
            <w:bookmarkEnd w:id="9"/>
            <w:r>
              <w:rPr/>
              <w:t>Residential Property Development Contract with Conveyance</w:t>
            </w:r>
          </w:p>
        </w:tc>
      </w:tr>
      <w:tr>
        <w:trPr/>
        <w:tc>
          <w:tcPr>
            <w:tcW w:w="7738" w:type="dxa"/>
            <w:tcBorders/>
            <w:vAlign w:val="center"/>
          </w:tcPr>
          <w:p>
            <w:pPr>
              <w:pStyle w:val="Heading2"/>
              <w:bidi w:val="0"/>
              <w:spacing w:before="200" w:after="120"/>
              <w:ind w:hanging="0" w:start="0" w:end="0"/>
              <w:rPr/>
            </w:pPr>
            <w:bookmarkStart w:id="10" w:name="vorbemerkungen"/>
            <w:bookmarkEnd w:id="10"/>
            <w:r>
              <w:rPr/>
              <w:t>Vorbemerkungen</w:t>
            </w:r>
          </w:p>
        </w:tc>
        <w:tc>
          <w:tcPr>
            <w:tcW w:w="7796" w:type="dxa"/>
            <w:tcBorders/>
            <w:vAlign w:val="center"/>
          </w:tcPr>
          <w:p>
            <w:pPr>
              <w:pStyle w:val="Heading2"/>
              <w:bidi w:val="0"/>
              <w:spacing w:before="200" w:after="120"/>
              <w:ind w:hanging="0" w:start="0" w:end="0"/>
              <w:rPr/>
            </w:pPr>
            <w:bookmarkStart w:id="11" w:name="preliminary-comments"/>
            <w:bookmarkEnd w:id="11"/>
            <w:r>
              <w:rPr/>
              <w:t>Preliminary comments</w:t>
            </w:r>
          </w:p>
        </w:tc>
      </w:tr>
      <w:tr>
        <w:trPr/>
        <w:tc>
          <w:tcPr>
            <w:tcW w:w="7738" w:type="dxa"/>
            <w:tcBorders/>
            <w:vAlign w:val="center"/>
          </w:tcPr>
          <w:p>
            <w:pPr>
              <w:pStyle w:val="TableContents"/>
              <w:bidi w:val="0"/>
              <w:spacing w:before="0" w:after="283"/>
              <w:rPr/>
            </w:pPr>
            <w:r>
              <w:rPr>
                <w:rStyle w:val="Strong"/>
              </w:rPr>
              <w:t>0.1</w:t>
            </w:r>
            <w:r>
              <w:rPr/>
              <w:t xml:space="preserve"> Der Verkäufer beabsichtigt, nach derzeitiger Planung auf dem Grundstück</w:t>
            </w:r>
          </w:p>
        </w:tc>
        <w:tc>
          <w:tcPr>
            <w:tcW w:w="7796" w:type="dxa"/>
            <w:tcBorders/>
            <w:vAlign w:val="center"/>
          </w:tcPr>
          <w:p>
            <w:pPr>
              <w:pStyle w:val="TableContents"/>
              <w:bidi w:val="0"/>
              <w:spacing w:before="0" w:after="283"/>
              <w:rPr/>
            </w:pPr>
            <w:r>
              <w:rPr>
                <w:rStyle w:val="Strong"/>
              </w:rPr>
              <w:t>0.1</w:t>
            </w:r>
            <w:r>
              <w:rPr/>
              <w:t xml:space="preserve"> The Seller intends, according to current planning on the property</w:t>
            </w:r>
          </w:p>
        </w:tc>
      </w:tr>
      <w:tr>
        <w:trPr/>
        <w:tc>
          <w:tcPr>
            <w:tcW w:w="7738" w:type="dxa"/>
            <w:tcBorders/>
            <w:vAlign w:val="center"/>
          </w:tcPr>
          <w:p>
            <w:pPr>
              <w:pStyle w:val="BlockQuotation"/>
              <w:pBdr>
                <w:left w:val="single" w:sz="6" w:space="1" w:color="AAAAAA"/>
              </w:pBdr>
              <w:bidi w:val="0"/>
              <w:spacing w:before="0" w:after="283"/>
              <w:ind w:hanging="0" w:start="567" w:end="567"/>
              <w:rPr/>
            </w:pPr>
            <w:r>
              <w:rPr/>
              <w:t>Gemarkung Kannenberg-Niederwall, Flur 7, Flurstück 218/4, Gebäude- und Freifläche, „Am Birkenpfuhl”, mit einer grundbuchlichen Größe von insgesamt 11.840 m², nachstehend auch das „Grundstück” genannt,</w:t>
            </w:r>
          </w:p>
        </w:tc>
        <w:tc>
          <w:tcPr>
            <w:tcW w:w="7796" w:type="dxa"/>
            <w:tcBorders/>
            <w:vAlign w:val="center"/>
          </w:tcPr>
          <w:p>
            <w:pPr>
              <w:pStyle w:val="BlockQuotation"/>
              <w:pBdr>
                <w:left w:val="single" w:sz="6" w:space="1" w:color="AAAAAA"/>
              </w:pBdr>
              <w:bidi w:val="0"/>
              <w:spacing w:before="0" w:after="283"/>
              <w:ind w:hanging="0" w:start="567" w:end="567"/>
              <w:rPr/>
            </w:pPr>
            <w:r>
              <w:rPr/>
              <w:t>Marking Kannenberg-Niederwall, corridor 7, cadastral parcel 218/4, building and open space, “Am Birkenpfuhl”, with a total Land Register size of 11.840 m2, hereinafter also called the “land”,</w:t>
            </w:r>
          </w:p>
        </w:tc>
      </w:tr>
      <w:tr>
        <w:trPr/>
        <w:tc>
          <w:tcPr>
            <w:tcW w:w="7738" w:type="dxa"/>
            <w:tcBorders/>
            <w:vAlign w:val="center"/>
          </w:tcPr>
          <w:p>
            <w:pPr>
              <w:pStyle w:val="TableContents"/>
              <w:bidi w:val="0"/>
              <w:spacing w:before="0" w:after="283"/>
              <w:rPr/>
            </w:pPr>
            <w:r>
              <w:rPr/>
              <w:t>12 Mehrfamilienhäuser sowie ein Stadtvilla-Cluster (Häuser 9 bis 12) mit insgesamt 287 Wohneinheiten, 14 Teileigentumseinheiten sowie eine zweigeschossige Tiefgarage mit 198 Kfz-Tiefgaragenstellplätzen und 22 Motorradstellplätzen nebst Gemeinschaftsflächen (insbesondere einem Quartiersplatz, Spielplatz, Wegen, Pflanz- und Wasserflächen, Lounge im Erdgeschoss von Haus 5) zu errichten und hat dieses Grundstück gemäß § 8 WEG aufgeteilt.</w:t>
            </w:r>
          </w:p>
        </w:tc>
        <w:tc>
          <w:tcPr>
            <w:tcW w:w="7796" w:type="dxa"/>
            <w:tcBorders/>
            <w:vAlign w:val="center"/>
          </w:tcPr>
          <w:p>
            <w:pPr>
              <w:pStyle w:val="TableContents"/>
              <w:bidi w:val="0"/>
              <w:spacing w:before="0" w:after="283"/>
              <w:rPr/>
            </w:pPr>
            <w:r>
              <w:rPr/>
              <w:t>12 multi-family houses as well as a city villa cluster (houses 9 to 12) with a total of 287 residential units, 14 partial ownership units as well as a two-storey underground car park with 198 motor car parking spaces and 22 motorcycle parking spaces together with common areas (in particular a quarter square, playground, paths, plant and water areas, lounge on the ground floor of house 5) and has divided this property according to § 8 WEG.</w:t>
            </w:r>
          </w:p>
        </w:tc>
      </w:tr>
      <w:tr>
        <w:trPr/>
        <w:tc>
          <w:tcPr>
            <w:tcW w:w="7738" w:type="dxa"/>
            <w:tcBorders/>
            <w:vAlign w:val="center"/>
          </w:tcPr>
          <w:p>
            <w:pPr>
              <w:pStyle w:val="TableContents"/>
              <w:bidi w:val="0"/>
              <w:spacing w:before="0" w:after="283"/>
              <w:rPr/>
            </w:pPr>
            <w:r>
              <w:rPr/>
              <w:t>Da es sich um ein mehrabschnittiges Quartiersvorhaben handelt, können sich die vorstehende Anzahl der Wohn- und Teileigentumseinheiten, Stellplätze, Bauabschnitte und gemeinschaftlichen Flächen im Zuge der weiteren Abstimmung mit Behörden, Fachplanern, Finanzierungspartnern und Versorgungsunternehmen noch ändern. Änderungen bleiben vorbehalten, soweit der Vertragsgegenstand des Käufers im Kern erhalten bleibt und das Gesamtbild des Quartiers nicht wesentlich verändert wird; eine Anpassung des Kaufpreises erfolgt in diesem Fall nicht.</w:t>
            </w:r>
          </w:p>
        </w:tc>
        <w:tc>
          <w:tcPr>
            <w:tcW w:w="7796" w:type="dxa"/>
            <w:tcBorders/>
            <w:vAlign w:val="center"/>
          </w:tcPr>
          <w:p>
            <w:pPr>
              <w:pStyle w:val="TableContents"/>
              <w:bidi w:val="0"/>
              <w:spacing w:before="0" w:after="283"/>
              <w:rPr/>
            </w:pPr>
            <w:r>
              <w:rPr/>
              <w:t>As this is a multi-stage neighbourhood project, the above number of residential and partial ownership units, parking spaces, construction phases and common areas may still change in the course of further coordination with authorities, specialist planners, financing partners and utilities. Changes are reserved as long as the purchaser’s subject-matter is retained in essence and the overall picture of the quarter is not substantially changed; an adjustment of the Purchase Price does not take place in this case.</w:t>
            </w:r>
          </w:p>
        </w:tc>
      </w:tr>
      <w:tr>
        <w:trPr/>
        <w:tc>
          <w:tcPr>
            <w:tcW w:w="7738" w:type="dxa"/>
            <w:tcBorders/>
            <w:vAlign w:val="center"/>
          </w:tcPr>
          <w:p>
            <w:pPr>
              <w:pStyle w:val="TableContents"/>
              <w:bidi w:val="0"/>
              <w:spacing w:before="0" w:after="283"/>
              <w:rPr/>
            </w:pPr>
            <w:r>
              <w:rPr/>
              <w:t>Der Verkäufer wies den Käufer darauf hin, dass sich aus den vorstehenden Baumaßnahmen sowie aus späteren Bauvorhaben des Verkäufers oder von Konzernunternehmen des Verkäufers auf den unmittelbar nordöstlich und südöstlich angrenzenden Nachbargrundstücken (sog. Baufelder Q2 und Q3) auch noch nach dem Übergabetag gemäß § 6 Beeinträchtigungen für den Käufer (z. B. durch Lärm, Staub, Erschütterungen, Sichteinschränkungen, eingeschränkte Wegeführung, Baustellenverkehr und temporäre Abschaltungen technischer Medien) ergeben können. Solche quartiertypischen Einwirkungen gelten als bei der Preisbildung berücksichtigt, soweit sie die gewöhnliche Nutzbarkeit der Sondereigentumseinheit nicht dauerhaft aufheben.</w:t>
            </w:r>
          </w:p>
        </w:tc>
        <w:tc>
          <w:tcPr>
            <w:tcW w:w="7796" w:type="dxa"/>
            <w:tcBorders/>
            <w:vAlign w:val="center"/>
          </w:tcPr>
          <w:p>
            <w:pPr>
              <w:pStyle w:val="TableContents"/>
              <w:bidi w:val="0"/>
              <w:spacing w:before="0" w:after="283"/>
              <w:rPr/>
            </w:pPr>
            <w:r>
              <w:rPr/>
              <w:t>The Seller pointed out to the Buyer that the above construction measures as well as subsequent construction projects of the Seller or of the Seller’s group companies on the adjacent neighbouring plots immediately northeast and southeast (so-called construction fields Q2 and Q3) can still result after the handover day according to § 6 impairments for the Buyer (e.g. due to noise, dust, vibrations, visual restrictions, limited routing, construction site traffic and temporary shutdowns of technical media). Such quarterly effects shall be deemed to have been taken into account in the price formation insofar as they do not permanently eliminate the ordinary usability of the special ownership unit.</w:t>
            </w:r>
          </w:p>
        </w:tc>
      </w:tr>
      <w:tr>
        <w:trPr/>
        <w:tc>
          <w:tcPr>
            <w:tcW w:w="7738" w:type="dxa"/>
            <w:tcBorders/>
            <w:vAlign w:val="center"/>
          </w:tcPr>
          <w:p>
            <w:pPr>
              <w:pStyle w:val="TableContents"/>
              <w:bidi w:val="0"/>
              <w:spacing w:before="0" w:after="283"/>
              <w:rPr/>
            </w:pPr>
            <w:r>
              <w:rPr>
                <w:rStyle w:val="Strong"/>
              </w:rPr>
              <w:t>0.2</w:t>
            </w:r>
            <w:r>
              <w:rPr/>
              <w:t xml:space="preserve"> Umfang und Beschränkungen des Wohnungs- und Teileigentums, die Rechtsbeziehungen der Wohnungs- und Teileigentümer zueinander und die Verwaltung des gemeinschaftlichen Eigentums werden geregelt in der Teilungserklärung einschließlich Gemeinschaftsordnung vom 18. Juli 2024 zur UR-Nr. 612/2024 W des Notars Egmont Wachtelborn, Berlin, in der Fassung des 1., 2., 3., 4., 5., 6. und 7. Nachtrags zur Teilungserklärung einschließlich Gemeinschaftsordnung vom 04. September 2024 zur UR-Nr. 731/2024 W, vom 12. November 2024 zur UR-Nr. 942/2024 W, vom 09. Januar 2025 zur UR-Nr. 28/2025 W, vom 03. April 2025 zur UR-Nr. 412/2025 W, vom 27. Juni 2025 zur UR-Nr. 698/2025 W, vom 19. September 2025 zur UR-Nr. 1108/2025 W und vom 04. Februar 2026 zur UR-Nr. 187/2026 W jeweils des Notars Egmont Wachtelborn, Berlin.</w:t>
            </w:r>
          </w:p>
        </w:tc>
        <w:tc>
          <w:tcPr>
            <w:tcW w:w="7796" w:type="dxa"/>
            <w:tcBorders/>
            <w:vAlign w:val="center"/>
          </w:tcPr>
          <w:p>
            <w:pPr>
              <w:pStyle w:val="TableContents"/>
              <w:bidi w:val="0"/>
              <w:spacing w:before="0" w:after="283"/>
              <w:rPr/>
            </w:pPr>
            <w:r>
              <w:rPr>
                <w:rStyle w:val="Strong"/>
              </w:rPr>
              <w:t>0.2</w:t>
            </w:r>
            <w:r>
              <w:rPr/>
              <w:t xml:space="preserve"> The extent and limitations of dwelling and part-ownership, the legal relations between the owners of dwellings and part-owners and the management of Common Property are regulated in the declaration of division, including the Community Rules of 18 May. July 2024 on the UR-No. 612/2024 W of the Notary Egmont Wachtelborn, Berlin, in the version of 1., 2., 3., 4., 5., 6. and 7. Addendum to the declaration of division including the Community Regulation of 4 September 2024 to the UR No 731/2024 W, of 12 November 2024 to the UR No 942/2024 W, of 9 January 2025 to the UR No 28/2025 W, of 3 April 2025 to the UR No 412/2025 W, of 27 June 2025 to the UR No 698/2025 W, of 19 September 2025 to the UR No 1108/2025 W and of 4 February 2026 to the UR No 187/2026 W respectively by the Notary Egmont Wachtelborn, Berlin.</w:t>
            </w:r>
          </w:p>
        </w:tc>
      </w:tr>
      <w:tr>
        <w:trPr/>
        <w:tc>
          <w:tcPr>
            <w:tcW w:w="7738" w:type="dxa"/>
            <w:tcBorders/>
            <w:vAlign w:val="center"/>
          </w:tcPr>
          <w:p>
            <w:pPr>
              <w:pStyle w:val="TableContents"/>
              <w:bidi w:val="0"/>
              <w:spacing w:before="0" w:after="283"/>
              <w:rPr/>
            </w:pPr>
            <w:r>
              <w:rPr/>
              <w:t xml:space="preserve">— </w:t>
            </w:r>
            <w:r>
              <w:rPr/>
              <w:t>nachfolgend zusammen auch „Teilungserklärung” und/oder zusammen „Bezugsurkunde 1” genannt —.</w:t>
            </w:r>
          </w:p>
        </w:tc>
        <w:tc>
          <w:tcPr>
            <w:tcW w:w="7796" w:type="dxa"/>
            <w:tcBorders/>
            <w:vAlign w:val="center"/>
          </w:tcPr>
          <w:p>
            <w:pPr>
              <w:pStyle w:val="TableContents"/>
              <w:bidi w:val="0"/>
              <w:spacing w:before="0" w:after="283"/>
              <w:rPr/>
            </w:pPr>
            <w:r>
              <w:rPr/>
              <w:t>hereinafter referred to as ‘Declaration of division’ and/or ‘Referenced Deed 1’.</w:t>
            </w:r>
          </w:p>
        </w:tc>
      </w:tr>
      <w:tr>
        <w:trPr/>
        <w:tc>
          <w:tcPr>
            <w:tcW w:w="7738" w:type="dxa"/>
            <w:tcBorders/>
            <w:vAlign w:val="center"/>
          </w:tcPr>
          <w:p>
            <w:pPr>
              <w:pStyle w:val="TableContents"/>
              <w:bidi w:val="0"/>
              <w:spacing w:before="0" w:after="283"/>
              <w:rPr/>
            </w:pPr>
            <w:r>
              <w:rPr/>
              <w:t>Der Kaufgegenstand wird nach näherer Maßgabe von § 5 grundsätzlich so errichtet, wie er sich aus der Baubeschreibung in der Fassung Februar 2026, Version 7.2 ergibt. Die Baubeschreibung wird dem Käufer mit Vertragsunterzeichnung in einer aktuellen, ungebundenen Druckfassung übergeben und war nach Angabe des Verkäufers im Unterlagenportal abrufbar.</w:t>
            </w:r>
          </w:p>
        </w:tc>
        <w:tc>
          <w:tcPr>
            <w:tcW w:w="7796" w:type="dxa"/>
            <w:tcBorders/>
            <w:vAlign w:val="center"/>
          </w:tcPr>
          <w:p>
            <w:pPr>
              <w:pStyle w:val="TableContents"/>
              <w:bidi w:val="0"/>
              <w:spacing w:before="0" w:after="283"/>
              <w:rPr/>
            </w:pPr>
            <w:r>
              <w:rPr/>
              <w:t>The Purchased Property shall in principle be constructed in accordance with the more detailed provisions of § 5 as it results from the Building Specification in the version February 2026, version 7.2. The Building Specification is handed over to the Buyer with contract signing in a current, unbound print version and was available in the documents portal according to the Seller.</w:t>
            </w:r>
          </w:p>
        </w:tc>
      </w:tr>
      <w:tr>
        <w:trPr/>
        <w:tc>
          <w:tcPr>
            <w:tcW w:w="7738" w:type="dxa"/>
            <w:tcBorders/>
            <w:vAlign w:val="center"/>
          </w:tcPr>
          <w:p>
            <w:pPr>
              <w:pStyle w:val="TableContents"/>
              <w:bidi w:val="0"/>
              <w:spacing w:before="0" w:after="283"/>
              <w:rPr/>
            </w:pPr>
            <w:r>
              <w:rPr/>
              <w:t>Der Käufer bestätigt mit Unterzeichnung dieses Vertrages, dass ihm die Baubeschreibung, die Teilungserklärung mit Nachträgen sowie die im Datenraum bezeichneten Unterlagen zugänglich waren und dass er Gelegenheit hatte, hierzu rechtlichen, technischen und steuerlichen Rat einzuholen. Die Beteiligten sind sich darüber einig, dass die vorgenannten Unterlagen bei der Kaufentscheidung berücksichtigt wurden.</w:t>
            </w:r>
          </w:p>
        </w:tc>
        <w:tc>
          <w:tcPr>
            <w:tcW w:w="7796" w:type="dxa"/>
            <w:tcBorders/>
            <w:vAlign w:val="center"/>
          </w:tcPr>
          <w:p>
            <w:pPr>
              <w:pStyle w:val="TableContents"/>
              <w:bidi w:val="0"/>
              <w:spacing w:before="0" w:after="283"/>
              <w:rPr/>
            </w:pPr>
            <w:r>
              <w:rPr/>
              <w:t>By signing this contract, the Buyer confirms that the Building Specification, the declaration of division with supplements and the documents specified in the data room were accessible to him and that he had the opportunity to obtain legal, technical and tax advice. The interested parties agree that the aforementioned documents were taken into account in the purchase decision.</w:t>
            </w:r>
          </w:p>
        </w:tc>
      </w:tr>
      <w:tr>
        <w:trPr/>
        <w:tc>
          <w:tcPr>
            <w:tcW w:w="7738" w:type="dxa"/>
            <w:tcBorders/>
            <w:vAlign w:val="center"/>
          </w:tcPr>
          <w:p>
            <w:pPr>
              <w:pStyle w:val="TableContents"/>
              <w:bidi w:val="0"/>
              <w:spacing w:before="0" w:after="283"/>
              <w:rPr/>
            </w:pPr>
            <w:r>
              <w:rPr>
                <w:rStyle w:val="Strong"/>
              </w:rPr>
              <w:t>0.3</w:t>
            </w:r>
            <w:r>
              <w:rPr/>
              <w:t xml:space="preserve"> Gegenstand dieses Vertrages sind der in § 1 beschriebene Kaufgegenstand sowie die in § 5 beschriebene Herstellungsverpflichtung.</w:t>
            </w:r>
          </w:p>
        </w:tc>
        <w:tc>
          <w:tcPr>
            <w:tcW w:w="7796" w:type="dxa"/>
            <w:tcBorders/>
            <w:vAlign w:val="center"/>
          </w:tcPr>
          <w:p>
            <w:pPr>
              <w:pStyle w:val="TableContents"/>
              <w:bidi w:val="0"/>
              <w:spacing w:before="0" w:after="283"/>
              <w:rPr/>
            </w:pPr>
            <w:r>
              <w:rPr>
                <w:rStyle w:val="Strong"/>
              </w:rPr>
              <w:t>0.3</w:t>
            </w:r>
            <w:r>
              <w:rPr/>
              <w:t xml:space="preserve"> The subject matter of this contract is the Purchased Property described in § 1 and the construction obligation described in § 5.</w:t>
            </w:r>
          </w:p>
        </w:tc>
      </w:tr>
      <w:tr>
        <w:trPr/>
        <w:tc>
          <w:tcPr>
            <w:tcW w:w="7738" w:type="dxa"/>
            <w:tcBorders/>
            <w:vAlign w:val="center"/>
          </w:tcPr>
          <w:p>
            <w:pPr>
              <w:pStyle w:val="TableContents"/>
              <w:bidi w:val="0"/>
              <w:spacing w:before="0" w:after="283"/>
              <w:rPr/>
            </w:pPr>
            <w:r>
              <w:rPr>
                <w:rStyle w:val="Strong"/>
              </w:rPr>
              <w:t>0.4</w:t>
            </w:r>
            <w:r>
              <w:rPr/>
              <w:t xml:space="preserve"> Die Abgeschlossenheitsbescheinigung zur Teilungserklärung liegt vor.</w:t>
            </w:r>
          </w:p>
        </w:tc>
        <w:tc>
          <w:tcPr>
            <w:tcW w:w="7796" w:type="dxa"/>
            <w:tcBorders/>
            <w:vAlign w:val="center"/>
          </w:tcPr>
          <w:p>
            <w:pPr>
              <w:pStyle w:val="TableContents"/>
              <w:bidi w:val="0"/>
              <w:spacing w:before="0" w:after="283"/>
              <w:rPr/>
            </w:pPr>
            <w:r>
              <w:rPr>
                <w:rStyle w:val="Strong"/>
              </w:rPr>
              <w:t>0.4</w:t>
            </w:r>
            <w:r>
              <w:rPr/>
              <w:t xml:space="preserve"> The certificate of closure of the declaration of division is available.</w:t>
            </w:r>
          </w:p>
        </w:tc>
      </w:tr>
      <w:tr>
        <w:trPr/>
        <w:tc>
          <w:tcPr>
            <w:tcW w:w="7738" w:type="dxa"/>
            <w:tcBorders/>
            <w:vAlign w:val="center"/>
          </w:tcPr>
          <w:p>
            <w:pPr>
              <w:pStyle w:val="TableContents"/>
              <w:bidi w:val="0"/>
              <w:spacing w:before="0" w:after="283"/>
              <w:rPr/>
            </w:pPr>
            <w:r>
              <w:rPr>
                <w:rStyle w:val="Strong"/>
              </w:rPr>
              <w:t>0.5</w:t>
            </w:r>
            <w:r>
              <w:rPr/>
              <w:t xml:space="preserve"> Nach Auskunft des Verkäufers liegen die erforderlichen Baugenehmigungen des Landkreises Potsdam-Mittelmark vor; eine Baugenehmigung für Haus 4, in dem die hier verkaufte Wohnung liegt, wird in Kürze erwartet.</w:t>
            </w:r>
          </w:p>
        </w:tc>
        <w:tc>
          <w:tcPr>
            <w:tcW w:w="7796" w:type="dxa"/>
            <w:tcBorders/>
            <w:vAlign w:val="center"/>
          </w:tcPr>
          <w:p>
            <w:pPr>
              <w:pStyle w:val="TableContents"/>
              <w:bidi w:val="0"/>
              <w:spacing w:before="0" w:after="283"/>
              <w:rPr/>
            </w:pPr>
            <w:r>
              <w:rPr>
                <w:rStyle w:val="Strong"/>
              </w:rPr>
              <w:t>0.5</w:t>
            </w:r>
            <w:r>
              <w:rPr/>
              <w:t xml:space="preserve"> According to the information provided by the Seller, the necessary building permits of the district of Potsdam-Mittelmark are available; a building permit for house 4, in which the apartment sold here is expected shortly.</w:t>
            </w:r>
          </w:p>
        </w:tc>
      </w:tr>
      <w:tr>
        <w:trPr/>
        <w:tc>
          <w:tcPr>
            <w:tcW w:w="7738" w:type="dxa"/>
            <w:tcBorders/>
            <w:vAlign w:val="center"/>
          </w:tcPr>
          <w:p>
            <w:pPr>
              <w:pStyle w:val="TableContents"/>
              <w:bidi w:val="0"/>
              <w:spacing w:before="0" w:after="283"/>
              <w:rPr/>
            </w:pPr>
            <w:r>
              <w:rPr>
                <w:rStyle w:val="Strong"/>
              </w:rPr>
              <w:t>0.6</w:t>
            </w:r>
            <w:r>
              <w:rPr/>
              <w:t xml:space="preserve"> Der Verkäufer weist darauf hin, dass die Erschließung des Grundstücks teilweise noch nicht abgeschlossen ist.</w:t>
            </w:r>
          </w:p>
        </w:tc>
        <w:tc>
          <w:tcPr>
            <w:tcW w:w="7796" w:type="dxa"/>
            <w:tcBorders/>
            <w:vAlign w:val="center"/>
          </w:tcPr>
          <w:p>
            <w:pPr>
              <w:pStyle w:val="TableContents"/>
              <w:bidi w:val="0"/>
              <w:spacing w:before="0" w:after="283"/>
              <w:rPr/>
            </w:pPr>
            <w:r>
              <w:rPr>
                <w:rStyle w:val="Strong"/>
              </w:rPr>
              <w:t>0.6</w:t>
            </w:r>
            <w:r>
              <w:rPr/>
              <w:t xml:space="preserve"> The Seller points out that some of the development of the property has not yet been completed.</w:t>
            </w:r>
          </w:p>
        </w:tc>
      </w:tr>
      <w:tr>
        <w:trPr/>
        <w:tc>
          <w:tcPr>
            <w:tcW w:w="7738" w:type="dxa"/>
            <w:tcBorders/>
            <w:vAlign w:val="center"/>
          </w:tcPr>
          <w:p>
            <w:pPr>
              <w:pStyle w:val="TableContents"/>
              <w:bidi w:val="0"/>
              <w:spacing w:before="0" w:after="283"/>
              <w:rPr/>
            </w:pPr>
            <w:r>
              <w:rPr>
                <w:rStyle w:val="Strong"/>
              </w:rPr>
              <w:t>0.7</w:t>
            </w:r>
            <w:r>
              <w:rPr/>
              <w:t xml:space="preserve"> Der Verkäufer hat für das Bauvorhaben interne Projektunterlagen erstellen lassen, insbesondere den geotechnischen Kurzbericht „BQ-KNW-4/2026” der TerraSond GmbH vom 17.02.2026, die Terminlinie „Birkenpfuhl Q1, Haus 4, Stand 05.03.2026”, die Planliste Architektur B4-A-100 bis B4-A-612, die Fachplanerlisten TGA-B4-ELT/HLS 03/2026, das Brandschutz-Memo BSK-4-2, die Kostentrendblätter der Projektsteuerung sowie Baustellen- und Mängelverfolgungsberichte der Objektüberwachung. Diese Unterlagen dienen ausschließlich der internen Steuerung des Gesamtprojekts. Sie werden dem Käufer nur insoweit zugänglich gemacht, als dies für die Finanzierung der Einheit 4.27, die öffentlich-rechtliche Nachweisführung, die Abnahme oder die spätere Verwaltung nach zwingenden gesetzlichen Vorschriften erforderlich ist oder der Verkäufer dies für die Kommunikation im Bauabschnitt Haus 4 für angezeigt hält.</w:t>
            </w:r>
          </w:p>
        </w:tc>
        <w:tc>
          <w:tcPr>
            <w:tcW w:w="7796" w:type="dxa"/>
            <w:tcBorders/>
            <w:vAlign w:val="center"/>
          </w:tcPr>
          <w:p>
            <w:pPr>
              <w:pStyle w:val="TableContents"/>
              <w:bidi w:val="0"/>
              <w:spacing w:before="0" w:after="283"/>
              <w:rPr/>
            </w:pPr>
            <w:r>
              <w:rPr>
                <w:rStyle w:val="Strong"/>
              </w:rPr>
              <w:t>0.7</w:t>
            </w:r>
            <w:r>
              <w:rPr/>
              <w:t xml:space="preserve"> The Seller has had internal project documents created for the construction project, in particular the geotechnical short report “BQ-KNW-4/2026” of TerraSond GmbH from 17.02.2026, the deadline line “Birkenpfuhl Q1, House 4, Stand 05.03.2026”, the plan list architecture B4-A-100 to B4-A-612, the specialist planner lists TGA-B4-ELT/HLS 03/2026, the fire protection memo BSK-4-2, the cost trend sheets of the project management as well as construction site and defect tracking reports of the site supervision. These documents are used exclusively for the internal control of the overall project. They will only be made available to the Buyer to the extent that this is necessary for the financing of unit 4.27, public proof, acceptance or later administration according to mandatory legal regulations or the Seller considers this to be appropriate for communication in the construction phase House 4.</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12" w:name="kaufgegenstand"/>
            <w:bookmarkEnd w:id="12"/>
            <w:r>
              <w:rPr/>
              <w:t>§ 1 Kaufgegenstand</w:t>
            </w:r>
          </w:p>
        </w:tc>
        <w:tc>
          <w:tcPr>
            <w:tcW w:w="7796" w:type="dxa"/>
            <w:tcBorders/>
            <w:vAlign w:val="center"/>
          </w:tcPr>
          <w:p>
            <w:pPr>
              <w:pStyle w:val="Heading1"/>
              <w:bidi w:val="0"/>
              <w:spacing w:before="240" w:after="283"/>
              <w:ind w:hanging="0" w:start="0" w:end="0"/>
              <w:rPr/>
            </w:pPr>
            <w:bookmarkStart w:id="13" w:name="purchased-object"/>
            <w:bookmarkEnd w:id="13"/>
            <w:r>
              <w:rPr/>
              <w:t>§ 1 Purchased object</w:t>
            </w:r>
          </w:p>
        </w:tc>
      </w:tr>
      <w:tr>
        <w:trPr/>
        <w:tc>
          <w:tcPr>
            <w:tcW w:w="7738" w:type="dxa"/>
            <w:tcBorders/>
            <w:vAlign w:val="center"/>
          </w:tcPr>
          <w:p>
            <w:pPr>
              <w:pStyle w:val="TableContents"/>
              <w:bidi w:val="0"/>
              <w:spacing w:before="0" w:after="283"/>
              <w:rPr/>
            </w:pPr>
            <w:r>
              <w:rPr>
                <w:rStyle w:val="Strong"/>
              </w:rPr>
              <w:t>1.1</w:t>
            </w:r>
            <w:r>
              <w:rPr/>
              <w:t xml:space="preserve"> Der Verkäufer ist eingetragener Alleineigentümer des folgenden, im Wohnungsgrundbuch des Amtsgerichts Potsdam für Kannenberg-Niederwall, Blatt 18 442, eingetragenen Wohnungseigentums:</w:t>
            </w:r>
          </w:p>
        </w:tc>
        <w:tc>
          <w:tcPr>
            <w:tcW w:w="7796" w:type="dxa"/>
            <w:tcBorders/>
            <w:vAlign w:val="center"/>
          </w:tcPr>
          <w:p>
            <w:pPr>
              <w:pStyle w:val="TableContents"/>
              <w:bidi w:val="0"/>
              <w:spacing w:before="0" w:after="283"/>
              <w:rPr/>
            </w:pPr>
            <w:r>
              <w:rPr>
                <w:rStyle w:val="Strong"/>
              </w:rPr>
              <w:t>1.1</w:t>
            </w:r>
            <w:r>
              <w:rPr/>
              <w:t xml:space="preserve"> The Seller is the registered sole owner of the following residential property, registered in the housing register of the District Court of Potsdam for Kannenberg-Niederwall, sheet 18 442:</w:t>
            </w:r>
          </w:p>
        </w:tc>
      </w:tr>
      <w:tr>
        <w:trPr/>
        <w:tc>
          <w:tcPr>
            <w:tcW w:w="7738" w:type="dxa"/>
            <w:tcBorders/>
            <w:vAlign w:val="center"/>
          </w:tcPr>
          <w:p>
            <w:pPr>
              <w:pStyle w:val="BlockQuotation"/>
              <w:pBdr>
                <w:left w:val="single" w:sz="6" w:space="1" w:color="AAAAAA"/>
              </w:pBdr>
              <w:bidi w:val="0"/>
              <w:spacing w:before="0" w:after="283"/>
              <w:ind w:hanging="0" w:start="567" w:end="567"/>
              <w:rPr/>
            </w:pPr>
            <w:r>
              <w:rPr/>
              <w:t>Miteigentumsanteil von 184/100 000 an dem Grundstück Gemarkung Kannenberg-Niederwall, Flur 7, Flurstück 218/4, verbunden mit dem Sondereigentum an der im Aufteilungsplan mit der Nummer 4.27 bezeichneten Wohnung im 3. Obergeschoss des Hauses 4 nebst Kellerabteil Nr. K-4.27 und Sondernutzungsrecht an der Terrasse T-4.27 sowie dem Tiefgaragenstellplatz Nr. TG-127.</w:t>
            </w:r>
          </w:p>
        </w:tc>
        <w:tc>
          <w:tcPr>
            <w:tcW w:w="7796" w:type="dxa"/>
            <w:tcBorders/>
            <w:vAlign w:val="center"/>
          </w:tcPr>
          <w:p>
            <w:pPr>
              <w:pStyle w:val="BlockQuotation"/>
              <w:pBdr>
                <w:left w:val="single" w:sz="6" w:space="1" w:color="AAAAAA"/>
              </w:pBdr>
              <w:bidi w:val="0"/>
              <w:spacing w:before="0" w:after="283"/>
              <w:ind w:hanging="0" w:start="567" w:end="567"/>
              <w:rPr/>
            </w:pPr>
            <w:r>
              <w:rPr/>
              <w:t>Co-ownership share of 184/100 000 in the landmark Kannenberg-Niederwall, corridor 7, parcel 218/4, linked to the special ownership of the apartment in the 3rd district designated with the number 4.27 in the distribution plan Upper floor of the house 4 together with cellar compartment no. K-4.27 and special use right on the terrace T-4.27 and the underground parking space no. TG-127.</w:t>
            </w:r>
          </w:p>
        </w:tc>
      </w:tr>
      <w:tr>
        <w:trPr/>
        <w:tc>
          <w:tcPr>
            <w:tcW w:w="7738" w:type="dxa"/>
            <w:tcBorders/>
            <w:vAlign w:val="center"/>
          </w:tcPr>
          <w:p>
            <w:pPr>
              <w:pStyle w:val="TableContents"/>
              <w:bidi w:val="0"/>
              <w:spacing w:before="0" w:after="283"/>
              <w:rPr/>
            </w:pPr>
            <w:r>
              <w:rPr>
                <w:rStyle w:val="Strong"/>
              </w:rPr>
              <w:t>1.2</w:t>
            </w:r>
            <w:r>
              <w:rPr/>
              <w:t xml:space="preserve"> Die Sondereigentumseinheit und das dort näher bezeichnete Sondernutzungsrecht an dem Tiefgaragenstellplatz Nr. TG-127 nebst den unter § 5 dieses Vertrages beschriebenen Bauleistungen werden nachfolgend zusammen als „Kaufgegenstand” bezeichnet.</w:t>
            </w:r>
          </w:p>
        </w:tc>
        <w:tc>
          <w:tcPr>
            <w:tcW w:w="7796" w:type="dxa"/>
            <w:tcBorders/>
            <w:vAlign w:val="center"/>
          </w:tcPr>
          <w:p>
            <w:pPr>
              <w:pStyle w:val="TableContents"/>
              <w:bidi w:val="0"/>
              <w:spacing w:before="0" w:after="283"/>
              <w:rPr/>
            </w:pPr>
            <w:r>
              <w:rPr>
                <w:rStyle w:val="Strong"/>
              </w:rPr>
              <w:t>1.2</w:t>
            </w:r>
            <w:r>
              <w:rPr/>
              <w:t xml:space="preserve"> The special ownership unit and the special usage right at the underground parking space no. TG-127 and the construction services described under § 5 of this contract are referred to hereinafter together as the “purchase object”.</w:t>
            </w:r>
          </w:p>
        </w:tc>
      </w:tr>
      <w:tr>
        <w:trPr/>
        <w:tc>
          <w:tcPr>
            <w:tcW w:w="7738" w:type="dxa"/>
            <w:tcBorders/>
            <w:vAlign w:val="center"/>
          </w:tcPr>
          <w:p>
            <w:pPr>
              <w:pStyle w:val="TableContents"/>
              <w:bidi w:val="0"/>
              <w:spacing w:before="0" w:after="283"/>
              <w:rPr/>
            </w:pPr>
            <w:r>
              <w:rPr>
                <w:rStyle w:val="Strong"/>
              </w:rPr>
              <w:t>1.3</w:t>
            </w:r>
            <w:r>
              <w:rPr/>
              <w:t xml:space="preserve"> Der Notar hat das Grundbuch gemäß § 1.1 — ohne die Grundakten — elektronisch am heutigen Tage eingesehen.</w:t>
            </w:r>
          </w:p>
        </w:tc>
        <w:tc>
          <w:tcPr>
            <w:tcW w:w="7796" w:type="dxa"/>
            <w:tcBorders/>
            <w:vAlign w:val="center"/>
          </w:tcPr>
          <w:p>
            <w:pPr>
              <w:pStyle w:val="TableContents"/>
              <w:bidi w:val="0"/>
              <w:spacing w:before="0" w:after="283"/>
              <w:rPr/>
            </w:pPr>
            <w:r>
              <w:rPr>
                <w:rStyle w:val="Strong"/>
              </w:rPr>
              <w:t>1.3</w:t>
            </w:r>
            <w:r>
              <w:rPr/>
              <w:t xml:space="preserve"> The Notary has viewed the Land Register according to § 1.1 – without the basic files – electronically today.</w:t>
            </w:r>
          </w:p>
        </w:tc>
      </w:tr>
      <w:tr>
        <w:trPr/>
        <w:tc>
          <w:tcPr>
            <w:tcW w:w="7738" w:type="dxa"/>
            <w:tcBorders/>
            <w:vAlign w:val="center"/>
          </w:tcPr>
          <w:p>
            <w:pPr>
              <w:pStyle w:val="TableContents"/>
              <w:bidi w:val="0"/>
              <w:spacing w:before="0" w:after="283"/>
              <w:rPr/>
            </w:pPr>
            <w:r>
              <w:rPr/>
              <w:t>In Abteilung II sind eingetragen: beschränkte persönliche Dienstbarkeiten zugunsten der Stadtwerke Kannenberg GmbH, der ENBW Netze AG sowie der Gemeinde Kannenberg-Niederwall. Diese Lasten werden vom Käufer übernommen und sind im Kaufpreis nicht abgegolten.</w:t>
            </w:r>
          </w:p>
        </w:tc>
        <w:tc>
          <w:tcPr>
            <w:tcW w:w="7796" w:type="dxa"/>
            <w:tcBorders/>
            <w:vAlign w:val="center"/>
          </w:tcPr>
          <w:p>
            <w:pPr>
              <w:pStyle w:val="TableContents"/>
              <w:bidi w:val="0"/>
              <w:spacing w:before="0" w:after="283"/>
              <w:rPr/>
            </w:pPr>
            <w:r>
              <w:rPr/>
              <w:t>Section II includes: limited personal easements for the benefit of Stadtwerke Kannenberg GmbH, ENBW Netze AG and the municipality of Kannenberg-Niederwall. These charges are assumed by the Buyer and are not paid in the Purchase Price.</w:t>
            </w:r>
          </w:p>
        </w:tc>
      </w:tr>
      <w:tr>
        <w:trPr/>
        <w:tc>
          <w:tcPr>
            <w:tcW w:w="7738" w:type="dxa"/>
            <w:tcBorders/>
            <w:vAlign w:val="center"/>
          </w:tcPr>
          <w:p>
            <w:pPr>
              <w:pStyle w:val="TableContents"/>
              <w:bidi w:val="0"/>
              <w:spacing w:before="0" w:after="283"/>
              <w:rPr/>
            </w:pPr>
            <w:r>
              <w:rPr/>
              <w:t>In Abteilung III ist eine Gesamtgrundschuld in Höhe von 92 800 000,00 EUR zugunsten der Pommersche Hypotheken-Bank AG eingetragen.</w:t>
            </w:r>
          </w:p>
        </w:tc>
        <w:tc>
          <w:tcPr>
            <w:tcW w:w="7796" w:type="dxa"/>
            <w:tcBorders/>
            <w:vAlign w:val="center"/>
          </w:tcPr>
          <w:p>
            <w:pPr>
              <w:pStyle w:val="TableContents"/>
              <w:bidi w:val="0"/>
              <w:spacing w:before="0" w:after="283"/>
              <w:rPr/>
            </w:pPr>
            <w:r>
              <w:rPr/>
              <w:t>A total land charge of EUR 92 800 000.00 in favour of Pomeranian Hypotheken-Bank AG is registered in Division III.</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14" w:name="kaufpreis"/>
            <w:bookmarkEnd w:id="14"/>
            <w:r>
              <w:rPr/>
              <w:t>§ 2 Kaufpreis</w:t>
            </w:r>
          </w:p>
        </w:tc>
        <w:tc>
          <w:tcPr>
            <w:tcW w:w="7796" w:type="dxa"/>
            <w:tcBorders/>
            <w:vAlign w:val="center"/>
          </w:tcPr>
          <w:p>
            <w:pPr>
              <w:pStyle w:val="Heading1"/>
              <w:bidi w:val="0"/>
              <w:spacing w:before="240" w:after="283"/>
              <w:ind w:hanging="0" w:start="0" w:end="0"/>
              <w:rPr/>
            </w:pPr>
            <w:bookmarkStart w:id="15" w:name="purchase-price"/>
            <w:bookmarkEnd w:id="15"/>
            <w:r>
              <w:rPr/>
              <w:t>§ 2 Purchase price</w:t>
            </w:r>
          </w:p>
        </w:tc>
      </w:tr>
      <w:tr>
        <w:trPr/>
        <w:tc>
          <w:tcPr>
            <w:tcW w:w="7738" w:type="dxa"/>
            <w:tcBorders/>
            <w:vAlign w:val="center"/>
          </w:tcPr>
          <w:p>
            <w:pPr>
              <w:pStyle w:val="TableContents"/>
              <w:bidi w:val="0"/>
              <w:spacing w:before="0" w:after="283"/>
              <w:rPr/>
            </w:pPr>
            <w:r>
              <w:rPr>
                <w:rStyle w:val="Strong"/>
              </w:rPr>
              <w:t>2.1</w:t>
            </w:r>
            <w:r>
              <w:rPr/>
              <w:t xml:space="preserve"> Der Kaufpreis für den Kaufgegenstand beträgt insgesamt</w:t>
            </w:r>
          </w:p>
        </w:tc>
        <w:tc>
          <w:tcPr>
            <w:tcW w:w="7796" w:type="dxa"/>
            <w:tcBorders/>
            <w:vAlign w:val="center"/>
          </w:tcPr>
          <w:p>
            <w:pPr>
              <w:pStyle w:val="TableContents"/>
              <w:bidi w:val="0"/>
              <w:spacing w:before="0" w:after="283"/>
              <w:rPr/>
            </w:pPr>
            <w:r>
              <w:rPr>
                <w:rStyle w:val="Strong"/>
              </w:rPr>
              <w:t>2.1</w:t>
            </w:r>
            <w:r>
              <w:rPr/>
              <w:t xml:space="preserve"> The Purchase Price for the purchased object is total</w:t>
            </w:r>
          </w:p>
        </w:tc>
      </w:tr>
      <w:tr>
        <w:trPr/>
        <w:tc>
          <w:tcPr>
            <w:tcW w:w="7738" w:type="dxa"/>
            <w:tcBorders/>
            <w:vAlign w:val="center"/>
          </w:tcPr>
          <w:p>
            <w:pPr>
              <w:pStyle w:val="BlockQuotation"/>
              <w:pBdr>
                <w:left w:val="single" w:sz="6" w:space="1" w:color="AAAAAA"/>
              </w:pBdr>
              <w:bidi w:val="0"/>
              <w:spacing w:before="0" w:after="283"/>
              <w:ind w:hanging="0" w:start="567" w:end="567"/>
              <w:rPr/>
            </w:pPr>
            <w:r>
              <w:rPr>
                <w:rStyle w:val="Strong"/>
              </w:rPr>
              <w:t>789.500,00 EUR</w:t>
            </w:r>
          </w:p>
        </w:tc>
        <w:tc>
          <w:tcPr>
            <w:tcW w:w="7796" w:type="dxa"/>
            <w:tcBorders/>
            <w:vAlign w:val="center"/>
          </w:tcPr>
          <w:p>
            <w:pPr>
              <w:pStyle w:val="BlockQuotation"/>
              <w:pBdr>
                <w:left w:val="single" w:sz="6" w:space="1" w:color="AAAAAA"/>
              </w:pBdr>
              <w:bidi w:val="0"/>
              <w:spacing w:before="0" w:after="283"/>
              <w:ind w:hanging="0" w:start="567" w:end="567"/>
              <w:rPr/>
            </w:pPr>
            <w:r>
              <w:rPr/>
              <w:t>789.500,00 EUR</w:t>
            </w:r>
          </w:p>
        </w:tc>
      </w:tr>
      <w:tr>
        <w:trPr/>
        <w:tc>
          <w:tcPr>
            <w:tcW w:w="7738" w:type="dxa"/>
            <w:tcBorders/>
            <w:vAlign w:val="center"/>
          </w:tcPr>
          <w:p>
            <w:pPr>
              <w:pStyle w:val="TableContents"/>
              <w:bidi w:val="0"/>
              <w:spacing w:before="0" w:after="283"/>
              <w:rPr/>
            </w:pPr>
            <w:r>
              <w:rPr/>
              <w:t>zzgl. eines Aufpreises für den Tiefgaragenstellplatz von 38 500,00 EUR. Der Gesamtkaufpreis beträgt damit 828 000,00 EUR.</w:t>
            </w:r>
          </w:p>
        </w:tc>
        <w:tc>
          <w:tcPr>
            <w:tcW w:w="7796" w:type="dxa"/>
            <w:tcBorders/>
            <w:vAlign w:val="center"/>
          </w:tcPr>
          <w:p>
            <w:pPr>
              <w:pStyle w:val="TableContents"/>
              <w:bidi w:val="0"/>
              <w:spacing w:before="0" w:after="283"/>
              <w:rPr/>
            </w:pPr>
            <w:r>
              <w:rPr/>
              <w:t>plus a surcharge for the underground parking space of 38 500,00 EUR. The total Purchase Price is thus EUR 828 000.00.</w:t>
            </w:r>
          </w:p>
        </w:tc>
      </w:tr>
      <w:tr>
        <w:trPr/>
        <w:tc>
          <w:tcPr>
            <w:tcW w:w="7738" w:type="dxa"/>
            <w:tcBorders/>
            <w:vAlign w:val="center"/>
          </w:tcPr>
          <w:p>
            <w:pPr>
              <w:pStyle w:val="TableContents"/>
              <w:bidi w:val="0"/>
              <w:spacing w:before="0" w:after="283"/>
              <w:rPr/>
            </w:pPr>
            <w:r>
              <w:rPr>
                <w:rStyle w:val="Strong"/>
              </w:rPr>
              <w:t>2.2</w:t>
            </w:r>
            <w:r>
              <w:rPr/>
              <w:t xml:space="preserve"> Der Kaufpreis ist ein Fest-Kaufpreis für die Wohnung 4.27, das Kellerabteil K-4.27, die Terrasse T-4.27 und den Tiefgaragenstellplatz TG-127. Er umfasst die Herstellung dieser Einheit in der Ausstattungslinie „Birkenpfuhl Komfort B4” nach § 5 und Anlage Baubeschreibung, soweit in diesem Vertrag nicht für Sonderwünsche, Erschließung, Hausanschlüsse, Medienanschlüsse, Ladeinfrastruktur, technische Nachsteuerungen in Haus 4 oder nachträgliche öffentlich-rechtliche Anforderungen eine gesonderte Kostentragung vorgesehen ist.</w:t>
            </w:r>
          </w:p>
        </w:tc>
        <w:tc>
          <w:tcPr>
            <w:tcW w:w="7796" w:type="dxa"/>
            <w:tcBorders/>
            <w:vAlign w:val="center"/>
          </w:tcPr>
          <w:p>
            <w:pPr>
              <w:pStyle w:val="TableContents"/>
              <w:bidi w:val="0"/>
              <w:spacing w:before="0" w:after="283"/>
              <w:rPr/>
            </w:pPr>
            <w:r>
              <w:rPr>
                <w:rStyle w:val="Strong"/>
              </w:rPr>
              <w:t>2.2</w:t>
            </w:r>
            <w:r>
              <w:rPr/>
              <w:t xml:space="preserve"> The Purchase Price is a fixed Purchase Price for the apartment 4.27, the cellar compartment K-4.27, the terrace T-4.27 and the underground parking space TG-127. It covers the production of this unit in the equipment line “Birkenpfuhl Komfort B4” according to § 5 and installation description, as far as this contract does not provide for a separate cost allocation for special requests, development, house connections, media connections, charging infrastructure, technical readjustments in house 4 or subsequent public law requirements.</w:t>
            </w:r>
          </w:p>
        </w:tc>
      </w:tr>
      <w:tr>
        <w:trPr/>
        <w:tc>
          <w:tcPr>
            <w:tcW w:w="7738" w:type="dxa"/>
            <w:tcBorders/>
            <w:vAlign w:val="center"/>
          </w:tcPr>
          <w:p>
            <w:pPr>
              <w:pStyle w:val="TableContents"/>
              <w:bidi w:val="0"/>
              <w:spacing w:before="0" w:after="283"/>
              <w:rPr/>
            </w:pPr>
            <w:r>
              <w:rPr>
                <w:rStyle w:val="Strong"/>
              </w:rPr>
              <w:t>2.3</w:t>
            </w:r>
            <w:r>
              <w:rPr/>
              <w:t xml:space="preserve"> Nicht im Kaufpreis enthalten sind die bei Notar, Grundbuchamt und Behörden anfallenden Gebühren, die Grunderwerbsteuer, sämtliche Kosten der Erschließung und der erstmaligen Anschlüsse an Ver- und Entsorgungsanlagen (vgl. § 7) sowie Kosten, die durch nachträgliche Sonderwünsche des Käufers veranlasst sind.</w:t>
            </w:r>
          </w:p>
        </w:tc>
        <w:tc>
          <w:tcPr>
            <w:tcW w:w="7796" w:type="dxa"/>
            <w:tcBorders/>
            <w:vAlign w:val="center"/>
          </w:tcPr>
          <w:p>
            <w:pPr>
              <w:pStyle w:val="TableContents"/>
              <w:bidi w:val="0"/>
              <w:spacing w:before="0" w:after="283"/>
              <w:rPr/>
            </w:pPr>
            <w:r>
              <w:rPr>
                <w:rStyle w:val="Strong"/>
              </w:rPr>
              <w:t>2.3</w:t>
            </w:r>
            <w:r>
              <w:rPr/>
              <w:t xml:space="preserve"> The Purchase Price does not include the fees incurred by the Notary, land registry and authorities, the real estate transfer tax, all costs of development and the first connections to supply and disposal plants (cf. § 7) as well as costs caused by subsequent special requests of the Buyer.</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16" w:name="kaufpreiszahlung-fälligkeit"/>
            <w:bookmarkEnd w:id="16"/>
            <w:r>
              <w:rPr/>
              <w:t>§ 3 Kaufpreiszahlung, Fälligkeit</w:t>
            </w:r>
          </w:p>
        </w:tc>
        <w:tc>
          <w:tcPr>
            <w:tcW w:w="7796" w:type="dxa"/>
            <w:tcBorders/>
            <w:vAlign w:val="center"/>
          </w:tcPr>
          <w:p>
            <w:pPr>
              <w:pStyle w:val="Heading1"/>
              <w:bidi w:val="0"/>
              <w:spacing w:before="240" w:after="283"/>
              <w:ind w:hanging="0" w:start="0" w:end="0"/>
              <w:rPr/>
            </w:pPr>
            <w:bookmarkStart w:id="17" w:name="purchase-price-payment-due-date"/>
            <w:bookmarkEnd w:id="17"/>
            <w:r>
              <w:rPr/>
              <w:t>§ 3 Purchase price payment, due date</w:t>
            </w:r>
          </w:p>
        </w:tc>
      </w:tr>
      <w:tr>
        <w:trPr/>
        <w:tc>
          <w:tcPr>
            <w:tcW w:w="7738" w:type="dxa"/>
            <w:tcBorders/>
            <w:vAlign w:val="center"/>
          </w:tcPr>
          <w:p>
            <w:pPr>
              <w:pStyle w:val="TableContents"/>
              <w:bidi w:val="0"/>
              <w:spacing w:before="0" w:after="283"/>
              <w:rPr/>
            </w:pPr>
            <w:r>
              <w:rPr>
                <w:rStyle w:val="Strong"/>
              </w:rPr>
              <w:t>3.1</w:t>
            </w:r>
            <w:r>
              <w:rPr/>
              <w:t xml:space="preserve"> Die Kaufpreiszahlungen sind frühestens fällig und zahlbar, wenn</w:t>
            </w:r>
          </w:p>
        </w:tc>
        <w:tc>
          <w:tcPr>
            <w:tcW w:w="7796" w:type="dxa"/>
            <w:tcBorders/>
            <w:vAlign w:val="center"/>
          </w:tcPr>
          <w:p>
            <w:pPr>
              <w:pStyle w:val="TableContents"/>
              <w:bidi w:val="0"/>
              <w:spacing w:before="0" w:after="283"/>
              <w:rPr/>
            </w:pPr>
            <w:r>
              <w:rPr>
                <w:rStyle w:val="Strong"/>
              </w:rPr>
              <w:t>3.1</w:t>
            </w:r>
            <w:r>
              <w:rPr/>
              <w:t xml:space="preserve"> The Purchase Price payments are due and payable at the earliest if</w:t>
            </w:r>
          </w:p>
        </w:tc>
      </w:tr>
      <w:tr>
        <w:trPr/>
        <w:tc>
          <w:tcPr>
            <w:tcW w:w="7738" w:type="dxa"/>
            <w:tcBorders/>
            <w:vAlign w:val="center"/>
          </w:tcPr>
          <w:p>
            <w:pPr>
              <w:pStyle w:val="TableContents"/>
              <w:bidi w:val="0"/>
              <w:spacing w:before="0" w:after="283"/>
              <w:rPr/>
            </w:pPr>
            <w:r>
              <w:rPr/>
              <w:t>3.1.1 der Notar den Parteien schriftlich mitgeteilt hat, dass</w:t>
            </w:r>
          </w:p>
        </w:tc>
        <w:tc>
          <w:tcPr>
            <w:tcW w:w="7796" w:type="dxa"/>
            <w:tcBorders/>
            <w:vAlign w:val="center"/>
          </w:tcPr>
          <w:p>
            <w:pPr>
              <w:pStyle w:val="TableContents"/>
              <w:bidi w:val="0"/>
              <w:spacing w:before="0" w:after="283"/>
              <w:rPr/>
            </w:pPr>
            <w:r>
              <w:rPr/>
              <w:t>3.1.1 the Notary has informed the parties in writing that</w:t>
            </w:r>
          </w:p>
        </w:tc>
      </w:tr>
      <w:tr>
        <w:trPr/>
        <w:tc>
          <w:tcPr>
            <w:tcW w:w="7738" w:type="dxa"/>
            <w:tcBorders/>
            <w:vAlign w:val="center"/>
          </w:tcPr>
          <w:p>
            <w:pPr>
              <w:pStyle w:val="TableContents"/>
              <w:numPr>
                <w:ilvl w:val="0"/>
                <w:numId w:val="2"/>
              </w:numPr>
              <w:tabs>
                <w:tab w:val="clear" w:pos="1134"/>
                <w:tab w:val="left" w:pos="709" w:leader="none"/>
              </w:tabs>
              <w:bidi w:val="0"/>
              <w:spacing w:before="0" w:after="283"/>
              <w:ind w:hanging="283" w:start="709"/>
              <w:rPr/>
            </w:pPr>
            <w:r>
              <w:rPr/>
              <w:t xml:space="preserve">der Vertrag rechtswirksam zustande gekommen ist, </w:t>
            </w:r>
          </w:p>
        </w:tc>
        <w:tc>
          <w:tcPr>
            <w:tcW w:w="7796" w:type="dxa"/>
            <w:tcBorders/>
            <w:vAlign w:val="center"/>
          </w:tcPr>
          <w:p>
            <w:pPr>
              <w:pStyle w:val="TableContents"/>
              <w:numPr>
                <w:ilvl w:val="0"/>
                <w:numId w:val="3"/>
              </w:numPr>
              <w:tabs>
                <w:tab w:val="clear" w:pos="1134"/>
                <w:tab w:val="left" w:pos="709" w:leader="none"/>
              </w:tabs>
              <w:bidi w:val="0"/>
              <w:spacing w:before="0" w:after="283"/>
              <w:ind w:hanging="283" w:start="709"/>
              <w:rPr/>
            </w:pPr>
            <w:r>
              <w:rPr/>
              <w:t xml:space="preserve">the contract is legally valid, </w:t>
            </w:r>
          </w:p>
        </w:tc>
      </w:tr>
      <w:tr>
        <w:trPr/>
        <w:tc>
          <w:tcPr>
            <w:tcW w:w="7738" w:type="dxa"/>
            <w:tcBorders/>
            <w:vAlign w:val="center"/>
          </w:tcPr>
          <w:p>
            <w:pPr>
              <w:pStyle w:val="TableContents"/>
              <w:numPr>
                <w:ilvl w:val="0"/>
                <w:numId w:val="4"/>
              </w:numPr>
              <w:tabs>
                <w:tab w:val="clear" w:pos="1134"/>
                <w:tab w:val="left" w:pos="709" w:leader="none"/>
              </w:tabs>
              <w:bidi w:val="0"/>
              <w:spacing w:before="0" w:after="283"/>
              <w:ind w:hanging="283" w:start="709"/>
              <w:rPr/>
            </w:pPr>
            <w:r>
              <w:rPr/>
              <w:t xml:space="preserve">die Eintragung der Auflassungsvormerkung zugunsten des Käufers im Grundbuch eingetragen oder eintragungsbereit beantragt ist, </w:t>
            </w:r>
          </w:p>
        </w:tc>
        <w:tc>
          <w:tcPr>
            <w:tcW w:w="7796" w:type="dxa"/>
            <w:tcBorders/>
            <w:vAlign w:val="center"/>
          </w:tcPr>
          <w:p>
            <w:pPr>
              <w:pStyle w:val="TableContents"/>
              <w:numPr>
                <w:ilvl w:val="0"/>
                <w:numId w:val="5"/>
              </w:numPr>
              <w:tabs>
                <w:tab w:val="clear" w:pos="1134"/>
                <w:tab w:val="left" w:pos="709" w:leader="none"/>
              </w:tabs>
              <w:bidi w:val="0"/>
              <w:spacing w:before="0" w:after="283"/>
              <w:ind w:hanging="283" w:start="709"/>
              <w:rPr/>
            </w:pPr>
            <w:r>
              <w:rPr/>
              <w:t xml:space="preserve">the registration of the priority notice of conveyance for the benefit of the Buyer is entered in the Land Register or is requested ready for registration, </w:t>
            </w:r>
          </w:p>
        </w:tc>
      </w:tr>
      <w:tr>
        <w:trPr/>
        <w:tc>
          <w:tcPr>
            <w:tcW w:w="7738" w:type="dxa"/>
            <w:tcBorders/>
            <w:vAlign w:val="center"/>
          </w:tcPr>
          <w:p>
            <w:pPr>
              <w:pStyle w:val="TableContents"/>
              <w:numPr>
                <w:ilvl w:val="0"/>
                <w:numId w:val="6"/>
              </w:numPr>
              <w:tabs>
                <w:tab w:val="clear" w:pos="1134"/>
                <w:tab w:val="left" w:pos="709" w:leader="none"/>
              </w:tabs>
              <w:bidi w:val="0"/>
              <w:spacing w:before="0" w:after="283"/>
              <w:ind w:hanging="283" w:start="709"/>
              <w:rPr/>
            </w:pPr>
            <w:r>
              <w:rPr/>
              <w:t xml:space="preserve">die Lastenfreistellungserklärung der Pommersche Hypotheken-Bank AG für den Kaufgegenstand vorliegt oder die Vorlage zugesichert ist, </w:t>
            </w:r>
          </w:p>
        </w:tc>
        <w:tc>
          <w:tcPr>
            <w:tcW w:w="7796" w:type="dxa"/>
            <w:tcBorders/>
            <w:vAlign w:val="center"/>
          </w:tcPr>
          <w:p>
            <w:pPr>
              <w:pStyle w:val="TableContents"/>
              <w:numPr>
                <w:ilvl w:val="0"/>
                <w:numId w:val="7"/>
              </w:numPr>
              <w:tabs>
                <w:tab w:val="clear" w:pos="1134"/>
                <w:tab w:val="left" w:pos="709" w:leader="none"/>
              </w:tabs>
              <w:bidi w:val="0"/>
              <w:spacing w:before="0" w:after="283"/>
              <w:ind w:hanging="283" w:start="709"/>
              <w:rPr/>
            </w:pPr>
            <w:r>
              <w:rPr/>
              <w:t xml:space="preserve">the release undertaking of the Pomeranian Hypotheken-Bank AG for the Purchased Property is available or the presentation is assured, </w:t>
            </w:r>
          </w:p>
        </w:tc>
      </w:tr>
      <w:tr>
        <w:trPr/>
        <w:tc>
          <w:tcPr>
            <w:tcW w:w="7738" w:type="dxa"/>
            <w:tcBorders/>
            <w:vAlign w:val="center"/>
          </w:tcPr>
          <w:p>
            <w:pPr>
              <w:pStyle w:val="TableContents"/>
              <w:bidi w:val="0"/>
              <w:spacing w:before="0" w:after="283"/>
              <w:rPr/>
            </w:pPr>
            <w:r>
              <w:rPr/>
              <w:t>3.1.2 sowie die Baugenehmigung für Haus 4 vorliegt oder, wenn eine Baugenehmigung nicht oder nicht rechtzeitig erforderlich ist, mit dem Bau begonnen werden darf.</w:t>
            </w:r>
          </w:p>
        </w:tc>
        <w:tc>
          <w:tcPr>
            <w:tcW w:w="7796" w:type="dxa"/>
            <w:tcBorders/>
            <w:vAlign w:val="center"/>
          </w:tcPr>
          <w:p>
            <w:pPr>
              <w:pStyle w:val="TableContents"/>
              <w:bidi w:val="0"/>
              <w:spacing w:before="0" w:after="283"/>
              <w:rPr/>
            </w:pPr>
            <w:r>
              <w:rPr/>
              <w:t>3.1.2 as well as the building permit for house 4 is present or, if a building permit is not required or not required in time, the construction may begin.</w:t>
            </w:r>
          </w:p>
        </w:tc>
      </w:tr>
      <w:tr>
        <w:trPr/>
        <w:tc>
          <w:tcPr>
            <w:tcW w:w="7738" w:type="dxa"/>
            <w:tcBorders/>
            <w:vAlign w:val="center"/>
          </w:tcPr>
          <w:p>
            <w:pPr>
              <w:pStyle w:val="TableContents"/>
              <w:bidi w:val="0"/>
              <w:spacing w:before="0" w:after="283"/>
              <w:rPr/>
            </w:pPr>
            <w:r>
              <w:rPr>
                <w:rStyle w:val="Strong"/>
              </w:rPr>
              <w:t>3.2</w:t>
            </w:r>
            <w:r>
              <w:rPr/>
              <w:t xml:space="preserve"> Der Käufer hat den Kaufpreis nach folgendem Ratenplan zu zahlen, wobei der Verkäufer die Raten entsprechend dem tatsächlichen Bauablauf in sieben Teilbeträgen anfordern wird:</w:t>
            </w:r>
          </w:p>
          <w:p>
            <w:pPr>
              <w:pStyle w:val="TableHeading"/>
              <w:spacing w:before="0" w:after="80"/>
            </w:pPr>
            <w:r>
              <w:rPr>
                <w:b/>
              </w:rPr>
              <w:t>Rate · Stichmonat · Anteil</w:t>
            </w:r>
          </w:p>
          <w:p>
            <w:pPr>
              <w:pStyle w:val="TableContents"/>
              <w:spacing w:before="0" w:after="80"/>
            </w:pPr>
            <w:r>
              <w:t>1. Rate · nach Beginn der Erdarbeiten · 30,0 %</w:t>
            </w:r>
          </w:p>
          <w:p>
            <w:pPr>
              <w:pStyle w:val="TableContents"/>
              <w:spacing w:before="0" w:after="80"/>
            </w:pPr>
            <w:r>
              <w:t>2. Rate · nach Rohbaufertigstellung einschließlich Zimmererarbeiten · 28,0 %</w:t>
            </w:r>
          </w:p>
          <w:p>
            <w:pPr>
              <w:pStyle w:val="TableContents"/>
              <w:spacing w:before="0" w:after="80"/>
            </w:pPr>
            <w:r>
              <w:t>3. Rate · nach Herstellung der Dachflächen und Dachrinnen, Ausführung der Rohinstallation der Heizungs-, Sanitär- und Elektroanlagen sowie Fenstereinbau einschließlich Verglasung · 18,9 %</w:t>
            </w:r>
          </w:p>
          <w:p>
            <w:pPr>
              <w:pStyle w:val="TableContents"/>
              <w:spacing w:before="0" w:after="80"/>
            </w:pPr>
            <w:r>
              <w:t>4. Rate · nach Innenputz, Estrich und Fliesenarbeiten im Sanitärbereich · 9,1 %</w:t>
            </w:r>
          </w:p>
          <w:p>
            <w:pPr>
              <w:pStyle w:val="TableContents"/>
              <w:spacing w:before="0" w:after="80"/>
            </w:pPr>
            <w:r>
              <w:t>5. Rate · nach Bezugsfertigkeit Zug um Zug gegen Besitzübergabe · 8,4 %</w:t>
            </w:r>
          </w:p>
          <w:p>
            <w:pPr>
              <w:pStyle w:val="TableContents"/>
              <w:spacing w:before="0" w:after="80"/>
            </w:pPr>
            <w:r>
              <w:t>6. Rate · nach Fassadenarbeiten · 2,1 %</w:t>
            </w:r>
          </w:p>
          <w:p>
            <w:pPr>
              <w:pStyle w:val="TableContents"/>
              <w:spacing w:before="0" w:after="80"/>
            </w:pPr>
            <w:r>
              <w:t>7. Rate · nach vollständiger Fertigstellung · 3,5 %</w:t>
            </w:r>
          </w:p>
        </w:tc>
        <w:tc>
          <w:tcPr>
            <w:tcW w:w="7796" w:type="dxa"/>
            <w:tcBorders/>
            <w:vAlign w:val="center"/>
          </w:tcPr>
          <w:p>
            <w:pPr>
              <w:pStyle w:val="TableContents"/>
              <w:bidi w:val="0"/>
              <w:spacing w:before="0" w:after="0"/>
              <w:rPr/>
            </w:pPr>
            <w:r>
              <w:rPr>
                <w:rStyle w:val="Strong"/>
              </w:rPr>
              <w:t>3.2</w:t>
            </w:r>
            <w:r>
              <w:rPr/>
              <w:t xml:space="preserve"> The Buyer has to pay the Purchase Price according to the following installment plan, whereby the Seller will request the installments according to the actual construction process in seven instalments:</w:t>
            </w:r>
          </w:p>
          <w:p>
            <w:pPr>
              <w:pStyle w:val="TableContents"/>
              <w:bidi w:val="0"/>
              <w:spacing w:before="0" w:after="283"/>
              <w:rPr/>
            </w:pPr>
            <w:r>
              <w:rPr/>
            </w:r>
          </w:p>
          <w:p>
            <w:pPr>
              <w:pStyle w:val="TableHeading"/>
              <w:spacing w:before="0" w:after="80"/>
            </w:pPr>
            <w:r>
              <w:rPr>
                <w:b/>
              </w:rPr>
              <w:t>Rate · Reference month · Percentage</w:t>
            </w:r>
          </w:p>
          <w:p>
            <w:pPr>
              <w:pStyle w:val="TableContents"/>
              <w:spacing w:before="0" w:after="80"/>
            </w:pPr>
            <w:r>
              <w:t>1. Rate · After earthworks have started · 30,0 %</w:t>
            </w:r>
          </w:p>
          <w:p>
            <w:pPr>
              <w:pStyle w:val="TableContents"/>
              <w:spacing w:before="0" w:after="80"/>
            </w:pPr>
            <w:r>
              <w:t>2. Rate · After shell construction, including carpentry · 28,0 %</w:t>
            </w:r>
          </w:p>
          <w:p>
            <w:pPr>
              <w:pStyle w:val="TableContents"/>
              <w:spacing w:before="0" w:after="80"/>
            </w:pPr>
            <w:r>
              <w:t>3. Rate · After the roof surfaces and gutters have been produced, the heating, sanitary and electrical equipment has been roughly installed and windows, including glazing · 18,9 %</w:t>
            </w:r>
          </w:p>
          <w:p>
            <w:pPr>
              <w:pStyle w:val="TableContents"/>
              <w:spacing w:before="0" w:after="80"/>
            </w:pPr>
            <w:r>
              <w:t>4. Rate · After plastering, screed and sanitary tile work · 9,1 %</w:t>
            </w:r>
          </w:p>
          <w:p>
            <w:pPr>
              <w:pStyle w:val="TableContents"/>
              <w:spacing w:before="0" w:after="80"/>
            </w:pPr>
            <w:r>
              <w:t>5. Rate · Readiness for occupancy concurrently with transfer of possession · 8,4 %</w:t>
            </w:r>
          </w:p>
          <w:p>
            <w:pPr>
              <w:pStyle w:val="TableContents"/>
              <w:spacing w:before="0" w:after="80"/>
            </w:pPr>
            <w:r>
              <w:t>6. Rate · After facade work · 2,1 %</w:t>
            </w:r>
          </w:p>
          <w:p>
            <w:pPr>
              <w:pStyle w:val="TableContents"/>
              <w:spacing w:before="0" w:after="80"/>
            </w:pPr>
            <w:r>
              <w:t>7. Rate · After complete completion · 3,5 %</w:t>
            </w:r>
          </w:p>
        </w:tc>
      </w:tr>
      <w:tr>
        <w:trPr/>
        <w:tc>
          <w:tcPr>
            <w:tcW w:w="7738" w:type="dxa"/>
            <w:tcBorders/>
            <w:vAlign w:val="center"/>
          </w:tcPr>
          <w:p>
            <w:pPr>
              <w:pStyle w:val="TableContents"/>
              <w:bidi w:val="0"/>
              <w:spacing w:before="0" w:after="283"/>
              <w:rPr/>
            </w:pPr>
            <w:r>
              <w:rPr/>
              <w:t>Die Raten sind jeweils zur Zahlung fällig, wenn der Verkäufer den Käufer unter Vorlage einer Bestätigung des für Haus 4 eingesetzten Bauleiters, des Projektcontrollers „BQ-Controlling” oder eines mit der Objektüberwachung befassten Planungsbeteiligten über den erreichten Baufortschritt schriftlich zur Zahlung auffordert. Die Bestätigung darf sich auf den Bauabschnitt Haus 4, die Tiefgaragenspange Nord und die für die Einheit 4.27 relevanten Ausbaugewerke beziehen; eine bauteilgenaue Einzelaufstellung zu fremden Einheiten ist nicht geschuldet. Eine ergänzende Prüfung des Bautenstandes durch den Käufer oder eine von ihm beauftragte Person bleibt nach Maßgabe von § 8 möglich. Einwendungen gegen den bestätigten Bautenstand sind innerhalb von fünf Bankarbeitstagen nach Zugang der Zahlungsaufforderung unter Vorlage eines prüffähigen, auf den konkreten Ratenmeilenstein bezogenen Sachverständigenvermerks in Textform geltend zu machen.</w:t>
            </w:r>
          </w:p>
        </w:tc>
        <w:tc>
          <w:tcPr>
            <w:tcW w:w="7796" w:type="dxa"/>
            <w:tcBorders/>
            <w:vAlign w:val="center"/>
          </w:tcPr>
          <w:p>
            <w:pPr>
              <w:pStyle w:val="TableContents"/>
              <w:bidi w:val="0"/>
              <w:spacing w:before="0" w:after="283"/>
              <w:rPr/>
            </w:pPr>
            <w:r>
              <w:rPr/>
              <w:t>The installments are each due for payment when the Seller asks the Buyer in writing for payment on presentation of a confirmation of the construction manager used for house 4, the project controller “BQ-Controlling” or a planning party involved in the site supervision about the progress achieved. The confirmation may relate to the construction phase House 4, the underground garage span North and the extensions relevant for unit 4.27; a component-accurate individual set-up to foreign units is not owed. A supplementary examination of the building status by the Buyer or a person commissioned by him remains possible in accordance with § 8. Objections to the confirmed building status are to be made within five banking working days after receipt of the payment request by submitting a verifiable expert report in text form related to the specific installment milestone.</w:t>
            </w:r>
          </w:p>
        </w:tc>
      </w:tr>
      <w:tr>
        <w:trPr/>
        <w:tc>
          <w:tcPr>
            <w:tcW w:w="7738" w:type="dxa"/>
            <w:tcBorders/>
            <w:vAlign w:val="center"/>
          </w:tcPr>
          <w:p>
            <w:pPr>
              <w:pStyle w:val="TableContents"/>
              <w:bidi w:val="0"/>
              <w:spacing w:before="0" w:after="283"/>
              <w:rPr/>
            </w:pPr>
            <w:r>
              <w:rPr/>
              <w:t>Der Käufer kommt in Verzug, sobald der Verkäufer ihn nach Fälligkeit der Rate schriftlich unter Einhaltung einer Frist von 30 Kalendertagen per Einwurf-Einschreiben gemahnt hat und die Frist erfolglos verstrichen ist. Der Zugang einer bloßen Rechnung oder einer einfachen E-Mail begründet keinen Verzug.</w:t>
            </w:r>
          </w:p>
        </w:tc>
        <w:tc>
          <w:tcPr>
            <w:tcW w:w="7796" w:type="dxa"/>
            <w:tcBorders/>
            <w:vAlign w:val="center"/>
          </w:tcPr>
          <w:p>
            <w:pPr>
              <w:pStyle w:val="TableContents"/>
              <w:bidi w:val="0"/>
              <w:spacing w:before="0" w:after="283"/>
              <w:rPr/>
            </w:pPr>
            <w:r>
              <w:rPr/>
              <w:t>The Buyer is in default as soon as the Seller has reminded him in writing after the installment has expired in accordance with a deadline of 30 calendar days by registered mail and the deadline has elapsed unsuccessfully. The receipt of a mere invoice or a simple e-mail does not constitute a delay.</w:t>
            </w:r>
          </w:p>
        </w:tc>
      </w:tr>
      <w:tr>
        <w:trPr/>
        <w:tc>
          <w:tcPr>
            <w:tcW w:w="7738" w:type="dxa"/>
            <w:tcBorders/>
            <w:vAlign w:val="center"/>
          </w:tcPr>
          <w:p>
            <w:pPr>
              <w:pStyle w:val="TableContents"/>
              <w:bidi w:val="0"/>
              <w:spacing w:before="0" w:after="283"/>
              <w:rPr/>
            </w:pPr>
            <w:r>
              <w:rPr/>
              <w:t>Im Verzugsfall hat der Käufer diejenigen Umstände darzulegen und nachzuweisen, aus denen sich eine fehlende Verantwortlichkeit für die Nichtzahlung oder ein nicht vom Verkäufer zu vertretendes Ausbleiben der Zahlung ergeben soll. Der Verkäufer ist nach Eintritt eines länger als 45 Kalendertage andauernden Zahlungsverzuges berechtigt, den amtierenden Notar unter Vorlage einer Verzugsaufstellung und einer Rücktritts- oder Aufhebungsanzeige um Vollzug der in § 10 geregelten Vormerkungsfreigabe zu ersuchen.</w:t>
            </w:r>
          </w:p>
        </w:tc>
        <w:tc>
          <w:tcPr>
            <w:tcW w:w="7796" w:type="dxa"/>
            <w:tcBorders/>
            <w:vAlign w:val="center"/>
          </w:tcPr>
          <w:p>
            <w:pPr>
              <w:pStyle w:val="TableContents"/>
              <w:bidi w:val="0"/>
              <w:spacing w:before="0" w:after="283"/>
              <w:rPr/>
            </w:pPr>
            <w:r>
              <w:rPr/>
              <w:t>In the event of default, the Buyer must demonstrate and prove those circumstances which should result in a lack of responsibility for the non-payment or a failure to pay for the Seller. After a delay in payment lasting longer than 45 calendar days, the Seller is entitled to request the acting Notary to execute the pre-notification approval provided for in § 10 by submitting a list of defaults and a notification of withdrawal or cancellation.</w:t>
            </w:r>
          </w:p>
        </w:tc>
      </w:tr>
      <w:tr>
        <w:trPr/>
        <w:tc>
          <w:tcPr>
            <w:tcW w:w="7738" w:type="dxa"/>
            <w:tcBorders/>
            <w:vAlign w:val="center"/>
          </w:tcPr>
          <w:p>
            <w:pPr>
              <w:pStyle w:val="TableContents"/>
              <w:bidi w:val="0"/>
              <w:spacing w:before="0" w:after="283"/>
              <w:rPr/>
            </w:pPr>
            <w:r>
              <w:rPr>
                <w:rStyle w:val="Strong"/>
              </w:rPr>
              <w:t>3.3</w:t>
            </w:r>
            <w:r>
              <w:rPr/>
              <w:t xml:space="preserve"> Sicherungsmechanik</w:t>
            </w:r>
          </w:p>
        </w:tc>
        <w:tc>
          <w:tcPr>
            <w:tcW w:w="7796" w:type="dxa"/>
            <w:tcBorders/>
            <w:vAlign w:val="center"/>
          </w:tcPr>
          <w:p>
            <w:pPr>
              <w:pStyle w:val="TableContents"/>
              <w:bidi w:val="0"/>
              <w:spacing w:before="0" w:after="283"/>
              <w:rPr/>
            </w:pPr>
            <w:r>
              <w:rPr>
                <w:rStyle w:val="Strong"/>
              </w:rPr>
              <w:t>3.3</w:t>
            </w:r>
            <w:r>
              <w:rPr/>
              <w:t xml:space="preserve"> Safety mechanism</w:t>
            </w:r>
          </w:p>
        </w:tc>
      </w:tr>
      <w:tr>
        <w:trPr/>
        <w:tc>
          <w:tcPr>
            <w:tcW w:w="7738" w:type="dxa"/>
            <w:tcBorders/>
            <w:vAlign w:val="center"/>
          </w:tcPr>
          <w:p>
            <w:pPr>
              <w:pStyle w:val="TableContents"/>
              <w:bidi w:val="0"/>
              <w:spacing w:before="0" w:after="283"/>
              <w:rPr/>
            </w:pPr>
            <w:r>
              <w:rPr/>
              <w:t>Die Parteien gehen davon aus, dass die in dieser Urkunde vorgesehene Abwicklung über Auflassungsvormerkung für Blatt 18 442, die Lastenfreistellung der Pommersche Hypotheken-Bank AG, den siebenstufigen MaBV-Ratenplan und die Baufortschrittsbestätigung für Haus 4 die Interessen des Käufers wahrt. Eine gesonderte Vertragserfüllungssicherheit für die rechtzeitige Herstellung der Einheit 4.27 ohne wesentliche Mängel wird nicht vereinbart. Soweit zwingende gesetzliche Sicherungsrechte bestehen, bleiben diese unberührt; ihre praktische Abwicklung erfolgt im Rahmen der ersten für Haus 4 fälligen Rate nach Abstimmung mit dem Verkäufer und der globalfinanzierenden Bank.</w:t>
            </w:r>
          </w:p>
        </w:tc>
        <w:tc>
          <w:tcPr>
            <w:tcW w:w="7796" w:type="dxa"/>
            <w:tcBorders/>
            <w:vAlign w:val="center"/>
          </w:tcPr>
          <w:p>
            <w:pPr>
              <w:pStyle w:val="TableContents"/>
              <w:bidi w:val="0"/>
              <w:spacing w:before="0" w:after="283"/>
              <w:rPr/>
            </w:pPr>
            <w:r>
              <w:rPr/>
              <w:t>The parties assume that the settlement provided for in this document via priority notice of conveyance for sheet 18 442, the release from encumbrances of Pomeranian Hypotheken-Bank AG, the seven-step MaBV installment plan and the confirmation of progress for house 4 safeguards the interests of the Buyer. A separate performance guarantee for the timely construction of unit 4.27 without significant defects is not agreed. Insofar as mandatory statutory security rights exist, these remain unaffected; their practical processing takes place within the framework of the first installment due for House 4 after consultation with the Seller and the globally financing bank.</w:t>
            </w:r>
          </w:p>
        </w:tc>
      </w:tr>
      <w:tr>
        <w:trPr/>
        <w:tc>
          <w:tcPr>
            <w:tcW w:w="7738" w:type="dxa"/>
            <w:tcBorders/>
            <w:vAlign w:val="center"/>
          </w:tcPr>
          <w:p>
            <w:pPr>
              <w:pStyle w:val="TableContents"/>
              <w:bidi w:val="0"/>
              <w:spacing w:before="0" w:after="283"/>
              <w:rPr/>
            </w:pPr>
            <w:r>
              <w:rPr>
                <w:rStyle w:val="Strong"/>
              </w:rPr>
              <w:t>3.4</w:t>
            </w:r>
            <w:r>
              <w:rPr/>
              <w:t xml:space="preserve"> Reservierungsentgelt. Die Parteien erklären, dass der Käufer vor der Beurkundung an den Verkäufer ein Reservierungsentgelt in Höhe von 22 000,00 EUR gezahlt hat. Das Entgelt betrifft nach Angabe des Verkäufers die zeitweise Herausnahme der Einheit aus dem Vertrieb, die Datenraumbereitstellung, Koordination der Finanzierungsunterlagen und projektbezogene Bearbeitung. Eine Verrechnung mit Kaufpreisraten erfolgt nur, wenn der Verkäufer dies bei Fälligstellung der ersten Rate ausdrücklich bestätigt.</w:t>
            </w:r>
          </w:p>
        </w:tc>
        <w:tc>
          <w:tcPr>
            <w:tcW w:w="7796" w:type="dxa"/>
            <w:tcBorders/>
            <w:vAlign w:val="center"/>
          </w:tcPr>
          <w:p>
            <w:pPr>
              <w:pStyle w:val="TableContents"/>
              <w:bidi w:val="0"/>
              <w:spacing w:before="0" w:after="283"/>
              <w:rPr/>
            </w:pPr>
            <w:r>
              <w:rPr>
                <w:rStyle w:val="Strong"/>
              </w:rPr>
              <w:t>3.4</w:t>
            </w:r>
            <w:r>
              <w:rPr/>
              <w:t xml:space="preserve"> Reservation fee. The parties declare that the Buyer has paid a reservation fee of EUR 22 000.00 to the Seller before the registration. According to the Seller, the fee relates to the temporary removal of the unit from distribution, the provision of data rooms, coordination of financing documents and project-related processing. An offset with Purchase Price installments is only if the Seller expressly confirms this when the first installment is due.</w:t>
            </w:r>
          </w:p>
        </w:tc>
      </w:tr>
      <w:tr>
        <w:trPr/>
        <w:tc>
          <w:tcPr>
            <w:tcW w:w="7738" w:type="dxa"/>
            <w:tcBorders/>
            <w:vAlign w:val="center"/>
          </w:tcPr>
          <w:p>
            <w:pPr>
              <w:pStyle w:val="TableContents"/>
              <w:bidi w:val="0"/>
              <w:spacing w:before="0" w:after="283"/>
              <w:rPr/>
            </w:pPr>
            <w:r>
              <w:rPr>
                <w:rStyle w:val="Strong"/>
              </w:rPr>
              <w:t>3.5</w:t>
            </w:r>
            <w:r>
              <w:rPr/>
              <w:t xml:space="preserve"> Sonderwünsche. Sonderwünsche des Käufers außerhalb der Ausstattungslinie „Birkenpfuhl Komfort B4” — insbesondere abweichende Bodenbeläge, Sanitärserien, Duschabtrennungen, zusätzliche Elektropunkte, Medienanschlüsse, Küchenvorbereitungen, Änderungen an nichttragenden Innenwänden oder Sonderausstattung des Stellplatzes TG-127 — sind gesondert zu beauftragen und vor Beginn der jeweils betroffenen Bauleistung auf Grundlage des Nachtragsangebots vollständig zu zahlen. Die Vergütung für individuelle Beratungen im Bemusterungszentrum beträgt 180,00 EUR netto je angefangener Beratungsstunde ab der vierten Stunde. Die Parteien sind sich einig, dass Sonderwunschentgelte gesonderte Zusatzleistungen betreffen und nicht in den MaBV-Ratenplan einzustellen sind.</w:t>
            </w:r>
          </w:p>
        </w:tc>
        <w:tc>
          <w:tcPr>
            <w:tcW w:w="7796" w:type="dxa"/>
            <w:tcBorders/>
            <w:vAlign w:val="center"/>
          </w:tcPr>
          <w:p>
            <w:pPr>
              <w:pStyle w:val="TableContents"/>
              <w:bidi w:val="0"/>
              <w:spacing w:before="0" w:after="283"/>
              <w:rPr/>
            </w:pPr>
            <w:r>
              <w:rPr>
                <w:rStyle w:val="Strong"/>
              </w:rPr>
              <w:t>3.5</w:t>
            </w:r>
            <w:r>
              <w:rPr/>
              <w:t xml:space="preserve"> Special requests. Special requests of the Buyer outside the equipment line “Birkenpfuhl Komfort B4” — in particular deviating floor coverings, sanitary series, shower enclosures, additional electric points, media connections, kitchen preparations, changes to non-supporting interior walls or optional equipment of the parking space TG-127 — must be commissioned separately and paid in full on the basis of the supplementary offer before the start of the respective construction work concerned. The remuneration for individual consultations in the sampling centre is 180.00 EUR net per consulting hour started from the fourth hour. The parties agree that special request fees concern separate additional services and are not to be included in the MaBV installment plan.</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18" w:name="belastungsvollmacht-kaufpreisfinanzierun"/>
            <w:bookmarkEnd w:id="18"/>
            <w:r>
              <w:rPr/>
              <w:t>§ 4 Belastungsvollmacht, Kaufpreisfinanzierung</w:t>
            </w:r>
          </w:p>
        </w:tc>
        <w:tc>
          <w:tcPr>
            <w:tcW w:w="7796" w:type="dxa"/>
            <w:tcBorders/>
            <w:vAlign w:val="center"/>
          </w:tcPr>
          <w:p>
            <w:pPr>
              <w:pStyle w:val="Heading1"/>
              <w:bidi w:val="0"/>
              <w:spacing w:before="240" w:after="283"/>
              <w:ind w:hanging="0" w:start="0" w:end="0"/>
              <w:rPr/>
            </w:pPr>
            <w:bookmarkStart w:id="19" w:name="power-of-attorney-purchase-price-financi"/>
            <w:bookmarkEnd w:id="19"/>
            <w:r>
              <w:rPr/>
              <w:t>§ 4 Power of attorney, Purchase Price financing</w:t>
            </w:r>
          </w:p>
        </w:tc>
      </w:tr>
      <w:tr>
        <w:trPr/>
        <w:tc>
          <w:tcPr>
            <w:tcW w:w="7738" w:type="dxa"/>
            <w:tcBorders/>
            <w:vAlign w:val="center"/>
          </w:tcPr>
          <w:p>
            <w:pPr>
              <w:pStyle w:val="TableContents"/>
              <w:bidi w:val="0"/>
              <w:spacing w:before="0" w:after="283"/>
              <w:rPr/>
            </w:pPr>
            <w:r>
              <w:rPr>
                <w:rStyle w:val="Strong"/>
              </w:rPr>
              <w:t>4.1</w:t>
            </w:r>
            <w:r>
              <w:rPr/>
              <w:t xml:space="preserve"> Der Verkäufer bevollmächtigt und ermächtigt hiermit den Käufer, mit der Befugnis zur Erteilung von Untervollmachten, an dem Kaufgegenstand Grundpfandrechte zugunsten von Banken, Sparkassen oder sonstigen Kreditgebern zu bestellen und in das Grundbuch eintragen zu lassen.</w:t>
            </w:r>
          </w:p>
        </w:tc>
        <w:tc>
          <w:tcPr>
            <w:tcW w:w="7796" w:type="dxa"/>
            <w:tcBorders/>
            <w:vAlign w:val="center"/>
          </w:tcPr>
          <w:p>
            <w:pPr>
              <w:pStyle w:val="TableContents"/>
              <w:bidi w:val="0"/>
              <w:spacing w:before="0" w:after="283"/>
              <w:rPr/>
            </w:pPr>
            <w:r>
              <w:rPr>
                <w:rStyle w:val="Strong"/>
              </w:rPr>
              <w:t>4.1</w:t>
            </w:r>
            <w:r>
              <w:rPr/>
              <w:t xml:space="preserve"> The Seller hereby authorizes the Buyer, with the power to grant sub-authorizations, to appoint liens for the Purchased Property in favour of banks, savings banks or other lenders and to have them entered in the Land Register.</w:t>
            </w:r>
          </w:p>
        </w:tc>
      </w:tr>
      <w:tr>
        <w:trPr/>
        <w:tc>
          <w:tcPr>
            <w:tcW w:w="7738" w:type="dxa"/>
            <w:tcBorders/>
            <w:vAlign w:val="center"/>
          </w:tcPr>
          <w:p>
            <w:pPr>
              <w:pStyle w:val="TableContents"/>
              <w:bidi w:val="0"/>
              <w:spacing w:before="0" w:after="283"/>
              <w:rPr/>
            </w:pPr>
            <w:r>
              <w:rPr>
                <w:rStyle w:val="Strong"/>
              </w:rPr>
              <w:t>4.2</w:t>
            </w:r>
            <w:r>
              <w:rPr/>
              <w:t xml:space="preserve"> Eine persönliche Haftung des Käufers darf dabei bis zu einem Grundschuldbetrag von 1 050 000,00 EUR nebst bis zu 18 % Jahreszinsen und 10 % einmaliger Nebenleistung begründet werden, wenn die finanzierende Bank dies nach ihren Beleihungs- und Auszahlungsvorgaben verlangt. Die Beteiligten gehen davon aus, dass die persönliche Haftungsübernahme der Finanzierung der Wohnung 4.27, des Kellerabteils K-4.27, der Terrasse T-4.27 und des Stellplatzes TG-127 dient.</w:t>
            </w:r>
          </w:p>
        </w:tc>
        <w:tc>
          <w:tcPr>
            <w:tcW w:w="7796" w:type="dxa"/>
            <w:tcBorders/>
            <w:vAlign w:val="center"/>
          </w:tcPr>
          <w:p>
            <w:pPr>
              <w:pStyle w:val="TableContents"/>
              <w:bidi w:val="0"/>
              <w:spacing w:before="0" w:after="283"/>
              <w:rPr/>
            </w:pPr>
            <w:r>
              <w:rPr>
                <w:rStyle w:val="Strong"/>
              </w:rPr>
              <w:t>4.2</w:t>
            </w:r>
            <w:r>
              <w:rPr/>
              <w:t xml:space="preserve"> A personal liability of the Buyer may be justified up to a land charge amount of 1 050 000.00 EUR together with up to 18 % annual interest and 10 % one-time ancillary service, if the financing bank demands this according to its loan and payment requirements. The parties assume that the personal liability assumption serves to finance the apartment 4.27, the cellar compartment K-4.27, the terrace T-4.27 and the parking space TG-127.</w:t>
            </w:r>
          </w:p>
        </w:tc>
      </w:tr>
      <w:tr>
        <w:trPr/>
        <w:tc>
          <w:tcPr>
            <w:tcW w:w="7738" w:type="dxa"/>
            <w:tcBorders/>
            <w:vAlign w:val="center"/>
          </w:tcPr>
          <w:p>
            <w:pPr>
              <w:pStyle w:val="TableContents"/>
              <w:bidi w:val="0"/>
              <w:spacing w:before="0" w:after="283"/>
              <w:rPr/>
            </w:pPr>
            <w:r>
              <w:rPr>
                <w:rStyle w:val="Strong"/>
              </w:rPr>
              <w:t>4.3</w:t>
            </w:r>
            <w:r>
              <w:rPr/>
              <w:t xml:space="preserve"> Die Grundpfandrechte können einschließlich Zinsen, Nebenleistungen, sofortiger Zwangsvollstreckungsunterwerfung in das belastete Wohnungseigentum und persönlicher Zwangsvollstreckungsunterwerfung des Käufers bestellt werden. Eine interne Begrenzung auf den Finanzierungszweck bleibt dem Käufer und seiner Bank vorbehalten. Der Käufer trägt sämtliche mit Bestellung, Rangbeschaffung hinter der Globalgrundschuld, Treuhandabwicklung und Löschung verbundenen Kosten.</w:t>
            </w:r>
          </w:p>
        </w:tc>
        <w:tc>
          <w:tcPr>
            <w:tcW w:w="7796" w:type="dxa"/>
            <w:tcBorders/>
            <w:vAlign w:val="center"/>
          </w:tcPr>
          <w:p>
            <w:pPr>
              <w:pStyle w:val="TableContents"/>
              <w:bidi w:val="0"/>
              <w:spacing w:before="0" w:after="283"/>
              <w:rPr/>
            </w:pPr>
            <w:r>
              <w:rPr>
                <w:rStyle w:val="Strong"/>
              </w:rPr>
              <w:t>4.3</w:t>
            </w:r>
            <w:r>
              <w:rPr/>
              <w:t xml:space="preserve"> The liens can be ordered including interest, ancillary benefits, immediate foreclosure submission to the encumbered apartment property and personal foreclosure submission of the Buyer. An internal limitation to the financing purpose is reserved for the Buyer and his bank. The Buyer shall bear all costs associated with ordering, ranking behind the global land charge, escrow processing and deletion.</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20" w:name="baupflicht-baubeschreibung"/>
            <w:bookmarkEnd w:id="20"/>
            <w:r>
              <w:rPr/>
              <w:t>§ 5 Baupflicht, Baubeschreibung</w:t>
            </w:r>
          </w:p>
        </w:tc>
        <w:tc>
          <w:tcPr>
            <w:tcW w:w="7796" w:type="dxa"/>
            <w:tcBorders/>
            <w:vAlign w:val="center"/>
          </w:tcPr>
          <w:p>
            <w:pPr>
              <w:pStyle w:val="Heading1"/>
              <w:bidi w:val="0"/>
              <w:spacing w:before="240" w:after="283"/>
              <w:ind w:hanging="0" w:start="0" w:end="0"/>
              <w:rPr/>
            </w:pPr>
            <w:bookmarkStart w:id="21" w:name="construction-obligation-building-specifi"/>
            <w:bookmarkEnd w:id="21"/>
            <w:r>
              <w:rPr/>
              <w:t>§ 5 Construction obligation, Building Specification</w:t>
            </w:r>
          </w:p>
        </w:tc>
      </w:tr>
      <w:tr>
        <w:trPr/>
        <w:tc>
          <w:tcPr>
            <w:tcW w:w="7738" w:type="dxa"/>
            <w:tcBorders/>
            <w:vAlign w:val="center"/>
          </w:tcPr>
          <w:p>
            <w:pPr>
              <w:pStyle w:val="TableContents"/>
              <w:bidi w:val="0"/>
              <w:spacing w:before="0" w:after="283"/>
              <w:rPr/>
            </w:pPr>
            <w:r>
              <w:rPr>
                <w:rStyle w:val="Strong"/>
              </w:rPr>
              <w:t>5.1</w:t>
            </w:r>
            <w:r>
              <w:rPr/>
              <w:t xml:space="preserve"> Der Verkäufer verpflichtet sich, den Kaufgegenstand nach Maßgabe der Baubeschreibung in der Fassung Februar 2026, Version 7.2, der Bezugsurkunden und der diesem Vertrag zugrunde liegenden Pläne herzustellen.</w:t>
            </w:r>
          </w:p>
        </w:tc>
        <w:tc>
          <w:tcPr>
            <w:tcW w:w="7796" w:type="dxa"/>
            <w:tcBorders/>
            <w:vAlign w:val="center"/>
          </w:tcPr>
          <w:p>
            <w:pPr>
              <w:pStyle w:val="TableContents"/>
              <w:bidi w:val="0"/>
              <w:spacing w:before="0" w:after="283"/>
              <w:rPr/>
            </w:pPr>
            <w:r>
              <w:rPr>
                <w:rStyle w:val="Strong"/>
              </w:rPr>
              <w:t>5.1</w:t>
            </w:r>
            <w:r>
              <w:rPr/>
              <w:t xml:space="preserve"> The Seller undertakes to produce the Purchased Property in accordance with the specification in the version February 2026, version 7.2, the referenced deeds and the plans underlying this contract.</w:t>
            </w:r>
          </w:p>
        </w:tc>
      </w:tr>
      <w:tr>
        <w:trPr/>
        <w:tc>
          <w:tcPr>
            <w:tcW w:w="7738" w:type="dxa"/>
            <w:tcBorders/>
            <w:vAlign w:val="center"/>
          </w:tcPr>
          <w:p>
            <w:pPr>
              <w:pStyle w:val="TableContents"/>
              <w:bidi w:val="0"/>
              <w:spacing w:before="0" w:after="283"/>
              <w:rPr/>
            </w:pPr>
            <w:r>
              <w:rPr>
                <w:rStyle w:val="Strong"/>
              </w:rPr>
              <w:t>5.2</w:t>
            </w:r>
            <w:r>
              <w:rPr/>
              <w:t xml:space="preserve"> Planung, Projektsteuerung und Objektüberwachung</w:t>
            </w:r>
          </w:p>
        </w:tc>
        <w:tc>
          <w:tcPr>
            <w:tcW w:w="7796" w:type="dxa"/>
            <w:tcBorders/>
            <w:vAlign w:val="center"/>
          </w:tcPr>
          <w:p>
            <w:pPr>
              <w:pStyle w:val="TableContents"/>
              <w:bidi w:val="0"/>
              <w:spacing w:before="0" w:after="283"/>
              <w:rPr/>
            </w:pPr>
            <w:r>
              <w:rPr>
                <w:rStyle w:val="Strong"/>
              </w:rPr>
              <w:t>5.2</w:t>
            </w:r>
            <w:r>
              <w:rPr/>
              <w:t xml:space="preserve"> Planning, project management and site supervision</w:t>
            </w:r>
          </w:p>
        </w:tc>
      </w:tr>
      <w:tr>
        <w:trPr/>
        <w:tc>
          <w:tcPr>
            <w:tcW w:w="7738" w:type="dxa"/>
            <w:tcBorders/>
            <w:vAlign w:val="center"/>
          </w:tcPr>
          <w:p>
            <w:pPr>
              <w:pStyle w:val="TableContents"/>
              <w:bidi w:val="0"/>
              <w:spacing w:before="0" w:after="283"/>
              <w:rPr/>
            </w:pPr>
            <w:r>
              <w:rPr/>
              <w:t>Der Verkäufer organisiert Planung, Fachplanung, Projektsteuerung und Objektüberwachung des Bauvorhabens in eigener Verantwortung. Für Haus 4 sind nach Angaben des Verkäufers die Objektplanung, die TGA-Planung Heizung/Lüftung/Sanitär/Elektro, die Tragwerksplanung, die Freianlagenplanung und die brandschutztechnische Begleitung jeweils projektbezogen beauftragt; die Einzelheiten der Beauftragung, Leistungsphasen, Honorierung und Berichtspflichten bleiben dem Innenverhältnis des Verkäufers vorbehalten. Soweit für das Bauvorhaben Leistungen erbracht werden, die ihrer Art nach Leistungsphasen der Honorarordnung für Architekten und Ingenieure entsprechen, dienen diese Leistungen ausschließlich dem Verhältnis des Verkäufers zu seinen Planern und Fachplanern. Aus der Beauftragung oder Nichtbeauftragung einzelner Leistungsphasen, insbesondere der Ausführungsplanung, der Mitwirkung bei der Vergabe, der Objektüberwachung oder der Objektbetreuung, werden keine eigenen Rechte des Käufers gegen Planer, Fachplaner, Projektsteuerer, Bauleiter oder sonstige Baubeteiligte begründet.</w:t>
            </w:r>
          </w:p>
        </w:tc>
        <w:tc>
          <w:tcPr>
            <w:tcW w:w="7796" w:type="dxa"/>
            <w:tcBorders/>
            <w:vAlign w:val="center"/>
          </w:tcPr>
          <w:p>
            <w:pPr>
              <w:pStyle w:val="TableContents"/>
              <w:bidi w:val="0"/>
              <w:spacing w:before="0" w:after="283"/>
              <w:rPr/>
            </w:pPr>
            <w:r>
              <w:rPr/>
              <w:t>The Seller organizes planning, specialist planning, project management and site supervision of the construction project on his own responsibility. For house 4, according to the Seller, the property planning, the TGA planning heating/ventilation/sanitary/electric, the structural design, the outdoor plant planning and the fire protection accompaniment are each commissioned on a project-related basis; the details of the commissioning, performance phases, remuneration and reporting obligations are reserved for the internal relationship of the Seller. Insofar as services are provided for the construction project which correspond to the performance phases of the fee scheme for architects and engineers, these services serve exclusively the relationship of the Seller to his planners and specialist planners. The commissioning or non-commissioning of individual performance phases, in particular the execution planning, the participation in the award, the site supervision or the object care, no own rights of the Buyer against planners, specialist planners, project controllers, construction managers or other construction parties are established.</w:t>
            </w:r>
          </w:p>
        </w:tc>
      </w:tr>
      <w:tr>
        <w:trPr/>
        <w:tc>
          <w:tcPr>
            <w:tcW w:w="7738" w:type="dxa"/>
            <w:tcBorders/>
            <w:vAlign w:val="center"/>
          </w:tcPr>
          <w:p>
            <w:pPr>
              <w:pStyle w:val="TableContents"/>
              <w:bidi w:val="0"/>
              <w:spacing w:before="0" w:after="283"/>
              <w:rPr/>
            </w:pPr>
            <w:r>
              <w:rPr/>
              <w:t>Die laufenden Berichte der Objektüberwachung, Bautagebücher, Prüfvermerke, Mängellisten, Kostenberichte und Terminfortschreibungen sind interne Arbeitsunterlagen des Verkäufers. Der Käufer erhält hieraus Auszüge nur, soweit sie nach zwingendem Recht zur Finanzierung, Förderung, öffentlich-rechtlichen Nachweisführung oder Abnahme erforderlich sind oder der Verkäufer dies aus Gründen einer geordneten Projektkommunikation für zweckmäßig hält. Der Käufer erkennt an, dass die technische Qualitätssicherung des Verkäufers im Interesse einer einheitlichen Projektdurchführung zentralisiert erfolgt und nicht durch Einzelweisungen einzelner Erwerber ersetzt werden kann.</w:t>
            </w:r>
          </w:p>
        </w:tc>
        <w:tc>
          <w:tcPr>
            <w:tcW w:w="7796" w:type="dxa"/>
            <w:tcBorders/>
            <w:vAlign w:val="center"/>
          </w:tcPr>
          <w:p>
            <w:pPr>
              <w:pStyle w:val="TableContents"/>
              <w:bidi w:val="0"/>
              <w:spacing w:before="0" w:after="283"/>
              <w:rPr/>
            </w:pPr>
            <w:r>
              <w:rPr/>
              <w:t>The ongoing reports of the site supervision, building diaries, test reports, defect lists, cost reports and appointment updates are internal working documents of the Seller. The Buyer only receives extracts therefrom insofar as they are required by mandatory law for financing, funding, public proof or acceptance or the Seller deems this appropriate for reasons of orderly project communication. The Buyer acknowledges that the technical quality assurance of the Seller is centralized in the interest of a uniform project implementation and cannot be replaced by individual instructions of individual buyers.</w:t>
            </w:r>
          </w:p>
        </w:tc>
      </w:tr>
      <w:tr>
        <w:trPr/>
        <w:tc>
          <w:tcPr>
            <w:tcW w:w="7738" w:type="dxa"/>
            <w:tcBorders/>
            <w:vAlign w:val="center"/>
          </w:tcPr>
          <w:p>
            <w:pPr>
              <w:pStyle w:val="TableContents"/>
              <w:bidi w:val="0"/>
              <w:spacing w:before="0" w:after="283"/>
              <w:rPr/>
            </w:pPr>
            <w:r>
              <w:rPr>
                <w:rStyle w:val="Strong"/>
              </w:rPr>
              <w:t>5.3</w:t>
            </w:r>
            <w:r>
              <w:rPr/>
              <w:t xml:space="preserve"> Soweit die Baubeschreibung Wahlmöglichkeiten bei Material, Farbe oder Form vorsieht, erhält der Käufer im Rahmen einer Bemusterung die Möglichkeit, sofern der Baufortschritt es noch zulässt, eine entsprechende Auswahl zu treffen.</w:t>
            </w:r>
          </w:p>
        </w:tc>
        <w:tc>
          <w:tcPr>
            <w:tcW w:w="7796" w:type="dxa"/>
            <w:tcBorders/>
            <w:vAlign w:val="center"/>
          </w:tcPr>
          <w:p>
            <w:pPr>
              <w:pStyle w:val="TableContents"/>
              <w:bidi w:val="0"/>
              <w:spacing w:before="0" w:after="283"/>
              <w:rPr/>
            </w:pPr>
            <w:r>
              <w:rPr>
                <w:rStyle w:val="Strong"/>
              </w:rPr>
              <w:t>5.3</w:t>
            </w:r>
            <w:r>
              <w:rPr/>
              <w:t xml:space="preserve"> Insofar as the Building Specification provides for choices in terms of material, colour or shape, the Buyer is given the opportunity to make a corresponding selection within the selection process, provided the construction progress still allows.</w:t>
            </w:r>
          </w:p>
        </w:tc>
      </w:tr>
      <w:tr>
        <w:trPr/>
        <w:tc>
          <w:tcPr>
            <w:tcW w:w="7738" w:type="dxa"/>
            <w:tcBorders/>
            <w:vAlign w:val="center"/>
          </w:tcPr>
          <w:p>
            <w:pPr>
              <w:pStyle w:val="TableContents"/>
              <w:bidi w:val="0"/>
              <w:spacing w:before="0" w:after="283"/>
              <w:rPr/>
            </w:pPr>
            <w:r>
              <w:rPr/>
              <w:t>Die Bemusterung erfolgt im Bemusterungszentrum „Birkenpfuhl Auswahlwelt”, Tempelhofer Weg 41, 10829 Berlin, Raum B4. Im Kaufpreis enthalten sind drei Beratungsstunden für Boden, Fliesen, Sanitär, Türen, Elektro-Mehrpunkte und Oberflächen der Einheit 4.27. Darüber hinausgehender Beratungsaufwand des Verkäufers ist durch den Käufer mit einem Stundensatz von 180,00 EUR netto zu vergüten.</w:t>
            </w:r>
          </w:p>
        </w:tc>
        <w:tc>
          <w:tcPr>
            <w:tcW w:w="7796" w:type="dxa"/>
            <w:tcBorders/>
            <w:vAlign w:val="center"/>
          </w:tcPr>
          <w:p>
            <w:pPr>
              <w:pStyle w:val="TableContents"/>
              <w:bidi w:val="0"/>
              <w:spacing w:before="0" w:after="283"/>
              <w:rPr/>
            </w:pPr>
            <w:r>
              <w:rPr/>
              <w:t>Samples are taken at the “Birkenpfuhl Selection World” sampling centre, Tempelhofer Weg 41, 10829 Berlin, room B4. Included in the Purchase Price are three consultation hours for floor, tiles, sanitary, doors, electric multipoints and surfaces of the unit 4.27. Further consulting expenses of the Seller must be reimbursed by the Buyer with an hourly rate of 180.00 EUR net.</w:t>
            </w:r>
          </w:p>
        </w:tc>
      </w:tr>
      <w:tr>
        <w:trPr/>
        <w:tc>
          <w:tcPr>
            <w:tcW w:w="7738" w:type="dxa"/>
            <w:tcBorders/>
            <w:vAlign w:val="center"/>
          </w:tcPr>
          <w:p>
            <w:pPr>
              <w:pStyle w:val="TableContents"/>
              <w:bidi w:val="0"/>
              <w:spacing w:before="0" w:after="283"/>
              <w:rPr/>
            </w:pPr>
            <w:r>
              <w:rPr/>
              <w:t>Die Bemusterung hat spätestens vier Wochen nach Aufforderung des Verkäufers stattzufinden. Reagiert der Käufer auf die Aufforderung nicht oder nicht rechtzeitig, wählt der Verkäufer für die Einheit 4.27 aus der Ausstattungslinie „Birkenpfuhl Komfort B4” diejenigen Boden-, Fliesen-, Sanitär-, Tür- und Beschlagsvarianten aus, die mit der laufenden Bestellung für Haus 4 gebündelt werden können; ein Anspruch auf nachträgliche Änderung besteht nicht.</w:t>
            </w:r>
          </w:p>
        </w:tc>
        <w:tc>
          <w:tcPr>
            <w:tcW w:w="7796" w:type="dxa"/>
            <w:tcBorders/>
            <w:vAlign w:val="center"/>
          </w:tcPr>
          <w:p>
            <w:pPr>
              <w:pStyle w:val="TableContents"/>
              <w:bidi w:val="0"/>
              <w:spacing w:before="0" w:after="283"/>
              <w:rPr/>
            </w:pPr>
            <w:r>
              <w:rPr/>
              <w:t>The sampling must take place no later than four weeks after the Seller’s request. If the Buyer does not respond to the request or does not respond in time, the Seller selects those floor, tile, sanitary, door and hardware variants for unit 4.27 from the equipment line “Birkenpfuhl Comfort B4” that can be bundled with the current order for house 4; there is no entitlement to subsequent amendment.</w:t>
            </w:r>
          </w:p>
        </w:tc>
      </w:tr>
      <w:tr>
        <w:trPr/>
        <w:tc>
          <w:tcPr>
            <w:tcW w:w="7738" w:type="dxa"/>
            <w:tcBorders/>
            <w:vAlign w:val="center"/>
          </w:tcPr>
          <w:p>
            <w:pPr>
              <w:pStyle w:val="TableContents"/>
              <w:bidi w:val="0"/>
              <w:spacing w:before="0" w:after="283"/>
              <w:rPr/>
            </w:pPr>
            <w:r>
              <w:rPr>
                <w:rStyle w:val="Strong"/>
              </w:rPr>
              <w:t>5.4</w:t>
            </w:r>
            <w:r>
              <w:rPr/>
              <w:t xml:space="preserve"> Auf eine von den Bauplänen, der Baubeschreibung und dem Kaufvertrag abweichende Ausführung und Ausstattung des Vertragsgegenstandes hat der Käufer keinen Anspruch. Visualisierungen, Renderings, Vertriebsbroschüren, die Show-Wohnung sowie sonstige Verkaufsunterlagen sind ausdrücklich nicht Bestandteil dieses Vertrages und begründen keine Beschaffenheitsvereinbarung.</w:t>
            </w:r>
          </w:p>
        </w:tc>
        <w:tc>
          <w:tcPr>
            <w:tcW w:w="7796" w:type="dxa"/>
            <w:tcBorders/>
            <w:vAlign w:val="center"/>
          </w:tcPr>
          <w:p>
            <w:pPr>
              <w:pStyle w:val="TableContents"/>
              <w:bidi w:val="0"/>
              <w:spacing w:before="0" w:after="283"/>
              <w:rPr/>
            </w:pPr>
            <w:r>
              <w:rPr>
                <w:rStyle w:val="Strong"/>
              </w:rPr>
              <w:t>5.4</w:t>
            </w:r>
            <w:r>
              <w:rPr/>
              <w:t xml:space="preserve"> The Buyer is not entitled to any execution and equipment of the Purchased Property deviating from the construction plans, the Building Specification and the purchase contract. Visualizations, renderings, sales brochures, the show apartment and other sales documents are expressly not part of this contract and do not constitute a quality agreement.</w:t>
            </w:r>
          </w:p>
        </w:tc>
      </w:tr>
      <w:tr>
        <w:trPr/>
        <w:tc>
          <w:tcPr>
            <w:tcW w:w="7738" w:type="dxa"/>
            <w:tcBorders/>
            <w:vAlign w:val="center"/>
          </w:tcPr>
          <w:p>
            <w:pPr>
              <w:pStyle w:val="TableContents"/>
              <w:bidi w:val="0"/>
              <w:spacing w:before="0" w:after="283"/>
              <w:rPr/>
            </w:pPr>
            <w:r>
              <w:rPr>
                <w:rStyle w:val="Strong"/>
              </w:rPr>
              <w:t>5.5</w:t>
            </w:r>
            <w:r>
              <w:rPr/>
              <w:t xml:space="preserve"> Soweit die Baubeschreibung für Haus 4, Wohnung 4.27 oder TG-127 keine oder unbestimmte Angaben hinsichtlich notwendiger Leistungen enthält, ist der Verkäufer gemäß § 315 BGB zur Leistungsbestimmung berechtigt. Maßgeblich ist die Einordnung der Einheit in die Ausstattungslinie „Birkenpfuhl Komfort B4”, wobei die Schacht- und Fassadenlogik von Haus 4, die gebündelten Bestellungen für die Gewerke Boden/Fliese/Sanitär/Tür, die Wartbarkeit der TGA-Komponenten und das einheitliche Erscheinungsbild des Quartiers zu berücksichtigen sind.</w:t>
            </w:r>
          </w:p>
        </w:tc>
        <w:tc>
          <w:tcPr>
            <w:tcW w:w="7796" w:type="dxa"/>
            <w:tcBorders/>
            <w:vAlign w:val="center"/>
          </w:tcPr>
          <w:p>
            <w:pPr>
              <w:pStyle w:val="TableContents"/>
              <w:bidi w:val="0"/>
              <w:spacing w:before="0" w:after="283"/>
              <w:rPr/>
            </w:pPr>
            <w:r>
              <w:rPr>
                <w:rStyle w:val="Strong"/>
              </w:rPr>
              <w:t>5.5</w:t>
            </w:r>
            <w:r>
              <w:rPr/>
              <w:t xml:space="preserve"> Insofar as the Building Specification for house 4, apartment 4.27 or TG-127 contains no or indefinite information regarding necessary services, the Seller is entitled to determine the performance according to § 315 BGB. Decisive is the classification of the unit in the equipment line “Birkenpfuhl Komfort B4”, taking into account the shaft and facade logic of house 4, the bundled orders for the floor/tile/sanitary/door trades, the maintainability of the TGA components and the uniform appearance of the quarter.</w:t>
            </w:r>
          </w:p>
        </w:tc>
      </w:tr>
      <w:tr>
        <w:trPr/>
        <w:tc>
          <w:tcPr>
            <w:tcW w:w="7738" w:type="dxa"/>
            <w:tcBorders/>
            <w:vAlign w:val="center"/>
          </w:tcPr>
          <w:p>
            <w:pPr>
              <w:pStyle w:val="TableContents"/>
              <w:bidi w:val="0"/>
              <w:spacing w:before="0" w:after="283"/>
              <w:rPr/>
            </w:pPr>
            <w:r>
              <w:rPr>
                <w:rStyle w:val="Strong"/>
              </w:rPr>
              <w:t>5.6</w:t>
            </w:r>
            <w:r>
              <w:rPr/>
              <w:t xml:space="preserve"> Der Verkäufer hat die Leistungen nach den anerkannten Regeln der Technik </w:t>
            </w:r>
            <w:r>
              <w:rPr>
                <w:rStyle w:val="Strong"/>
              </w:rPr>
              <w:t>zum Tag der Erteilung der Baugenehmigung</w:t>
            </w:r>
            <w:r>
              <w:rPr/>
              <w:t xml:space="preserve"> zu errichten. Spätere Änderungen der anerkannten Regeln der Technik wirken sich auf die geschuldete Leistung nicht aus.</w:t>
            </w:r>
          </w:p>
        </w:tc>
        <w:tc>
          <w:tcPr>
            <w:tcW w:w="7796" w:type="dxa"/>
            <w:tcBorders/>
            <w:vAlign w:val="center"/>
          </w:tcPr>
          <w:p>
            <w:pPr>
              <w:pStyle w:val="TableContents"/>
              <w:bidi w:val="0"/>
              <w:spacing w:before="0" w:after="283"/>
              <w:rPr/>
            </w:pPr>
            <w:r>
              <w:rPr>
                <w:rStyle w:val="Strong"/>
              </w:rPr>
              <w:t>5.6</w:t>
            </w:r>
            <w:r>
              <w:rPr/>
              <w:t xml:space="preserve"> The Seller must build the services according to the recognised rules of technology on the day of granting the building permit. Subsequent changes to the accepted rules of technique do not affect the performance owed.</w:t>
            </w:r>
          </w:p>
        </w:tc>
      </w:tr>
      <w:tr>
        <w:trPr/>
        <w:tc>
          <w:tcPr>
            <w:tcW w:w="7738" w:type="dxa"/>
            <w:tcBorders/>
            <w:vAlign w:val="center"/>
          </w:tcPr>
          <w:p>
            <w:pPr>
              <w:pStyle w:val="TableContents"/>
              <w:bidi w:val="0"/>
              <w:spacing w:before="0" w:after="283"/>
              <w:rPr/>
            </w:pPr>
            <w:r>
              <w:rPr>
                <w:rStyle w:val="Strong"/>
              </w:rPr>
              <w:t>5.7</w:t>
            </w:r>
            <w:r>
              <w:rPr/>
              <w:t xml:space="preserve"> Änderungen in Planung und Ausführung durch den Verkäufer sind zulässig, wenn sie aufgrund behördlicher Vorgaben oder Auflagen, Gesetzesänderungen, statischer Notwendigkeit, Bauablauf-Erfordernissen oder sonstigen Rechtsgründen erforderlich sind.</w:t>
            </w:r>
          </w:p>
        </w:tc>
        <w:tc>
          <w:tcPr>
            <w:tcW w:w="7796" w:type="dxa"/>
            <w:tcBorders/>
            <w:vAlign w:val="center"/>
          </w:tcPr>
          <w:p>
            <w:pPr>
              <w:pStyle w:val="TableContents"/>
              <w:bidi w:val="0"/>
              <w:spacing w:before="0" w:after="283"/>
              <w:rPr/>
            </w:pPr>
            <w:r>
              <w:rPr>
                <w:rStyle w:val="Strong"/>
              </w:rPr>
              <w:t>5.7</w:t>
            </w:r>
            <w:r>
              <w:rPr/>
              <w:t xml:space="preserve"> Changes in planning and execution by the Seller are permissible if they are necessary due to official requirements or requirements, changes in law, static necessity, construction process requirements or other legal reasons.</w:t>
            </w:r>
          </w:p>
        </w:tc>
      </w:tr>
      <w:tr>
        <w:trPr/>
        <w:tc>
          <w:tcPr>
            <w:tcW w:w="7738" w:type="dxa"/>
            <w:tcBorders/>
            <w:vAlign w:val="center"/>
          </w:tcPr>
          <w:p>
            <w:pPr>
              <w:pStyle w:val="TableContents"/>
              <w:bidi w:val="0"/>
              <w:spacing w:before="0" w:after="283"/>
              <w:rPr/>
            </w:pPr>
            <w:r>
              <w:rPr/>
              <w:t>Änderungen sind ferner zulässig, wenn sie aufgrund der Fortschreibung der Ausführungsplanung für Haus 4, der Schacht- und Leitungskoordination in den Steigzonen B4-S1 bis B4-S4, der Anschlussplanung an die Tiefgaragenspange Nord, der Lieferbarkeit von Fenstern, Fliesen, Sanitärgegenständen oder technischen Komponenten oder der wirtschaftlichen Gesamtsteuerung des Quartiers zweckmäßig erscheinen und die gewöhnliche Nutzbarkeit des Kaufgegenstandes nicht wesentlich beeinträchtigen. Gleichwertige Ausführungen gelten nicht als Abweichung vom Bausoll.</w:t>
            </w:r>
          </w:p>
        </w:tc>
        <w:tc>
          <w:tcPr>
            <w:tcW w:w="7796" w:type="dxa"/>
            <w:tcBorders/>
            <w:vAlign w:val="center"/>
          </w:tcPr>
          <w:p>
            <w:pPr>
              <w:pStyle w:val="TableContents"/>
              <w:bidi w:val="0"/>
              <w:spacing w:before="0" w:after="283"/>
              <w:rPr/>
            </w:pPr>
            <w:r>
              <w:rPr/>
              <w:t>Modifications are also permitted if they appear expedient due to the continuation of the execution planning for house 4, the shaft and line coordination in the rise zones B4-S1 to B4-S4, the connection planning to the underground car park span Nord, the availability of windows, tiles, sanitary objects or technical components or the economical overall control of the quarter and do not significantly impair the normal usability of the purchased object. Equivalent designs shall not be considered as a deviation from the intended construction.</w:t>
            </w:r>
          </w:p>
        </w:tc>
      </w:tr>
      <w:tr>
        <w:trPr/>
        <w:tc>
          <w:tcPr>
            <w:tcW w:w="7738" w:type="dxa"/>
            <w:tcBorders/>
            <w:vAlign w:val="center"/>
          </w:tcPr>
          <w:p>
            <w:pPr>
              <w:pStyle w:val="TableContents"/>
              <w:bidi w:val="0"/>
              <w:spacing w:before="0" w:after="283"/>
              <w:rPr/>
            </w:pPr>
            <w:r>
              <w:rPr>
                <w:rStyle w:val="Strong"/>
              </w:rPr>
              <w:t>5.8</w:t>
            </w:r>
            <w:r>
              <w:rPr/>
              <w:t xml:space="preserve"> Termine</w:t>
            </w:r>
          </w:p>
        </w:tc>
        <w:tc>
          <w:tcPr>
            <w:tcW w:w="7796" w:type="dxa"/>
            <w:tcBorders/>
            <w:vAlign w:val="center"/>
          </w:tcPr>
          <w:p>
            <w:pPr>
              <w:pStyle w:val="TableContents"/>
              <w:bidi w:val="0"/>
              <w:spacing w:before="0" w:after="283"/>
              <w:rPr/>
            </w:pPr>
            <w:r>
              <w:rPr>
                <w:rStyle w:val="Strong"/>
              </w:rPr>
              <w:t>5.8</w:t>
            </w:r>
            <w:r>
              <w:rPr/>
              <w:t xml:space="preserve"> Dates</w:t>
            </w:r>
          </w:p>
        </w:tc>
      </w:tr>
      <w:tr>
        <w:trPr/>
        <w:tc>
          <w:tcPr>
            <w:tcW w:w="7738" w:type="dxa"/>
            <w:tcBorders/>
            <w:vAlign w:val="center"/>
          </w:tcPr>
          <w:p>
            <w:pPr>
              <w:pStyle w:val="TableContents"/>
              <w:bidi w:val="0"/>
              <w:spacing w:before="0" w:after="283"/>
              <w:rPr/>
            </w:pPr>
            <w:r>
              <w:rPr/>
              <w:t>5.8.1 Der Verkäufer wird die gemäß § 5.1 geschuldeten Bauleistungen voraussichtlich bis 30.09.2027 bezugsfertig herstellen.</w:t>
            </w:r>
          </w:p>
        </w:tc>
        <w:tc>
          <w:tcPr>
            <w:tcW w:w="7796" w:type="dxa"/>
            <w:tcBorders/>
            <w:vAlign w:val="center"/>
          </w:tcPr>
          <w:p>
            <w:pPr>
              <w:pStyle w:val="TableContents"/>
              <w:bidi w:val="0"/>
              <w:spacing w:before="0" w:after="283"/>
              <w:rPr/>
            </w:pPr>
            <w:r>
              <w:rPr/>
              <w:t>5.8.1 The Seller will probably produce the construction services owed in accordance with § 5.1 ready for use by 30.09.2027.</w:t>
            </w:r>
          </w:p>
        </w:tc>
      </w:tr>
      <w:tr>
        <w:trPr/>
        <w:tc>
          <w:tcPr>
            <w:tcW w:w="7738" w:type="dxa"/>
            <w:tcBorders/>
            <w:vAlign w:val="center"/>
          </w:tcPr>
          <w:p>
            <w:pPr>
              <w:pStyle w:val="TableContents"/>
              <w:bidi w:val="0"/>
              <w:spacing w:before="0" w:after="283"/>
              <w:rPr/>
            </w:pPr>
            <w:r>
              <w:rPr/>
              <w:t>Behinderungen bei der Herstellung des Bauvorhabens aus Umständen, die vom Verkäufer nicht zu vertreten sind, z. B. höhere Gewalt, Pandemielagen, Lieferengpässe bei Aufzug, Fenstern, Wärmepumpenkomponenten oder Mittelspannungstechnik, Streik, Aussperrung, Witterungsverhältnisse einschließlich Hitze- und Kälteperioden, Wasserhaltung im Bereich der Tiefgaragenspange Nord, Wechselkursbewegungen bei Baustoffen, Personalengpässe bei Nachunternehmern oder verspätete Abstimmungen mit Versorgungsunternehmen, verlängern die jeweils betroffene Herstellungsfrist um die Dauer der Behinderung zuzüglich eines Zuschlags von bis zu sechs Wochen für Umplanung, Wiederanlauf und Neuabstimmung der Gewerke.</w:t>
            </w:r>
          </w:p>
        </w:tc>
        <w:tc>
          <w:tcPr>
            <w:tcW w:w="7796" w:type="dxa"/>
            <w:tcBorders/>
            <w:vAlign w:val="center"/>
          </w:tcPr>
          <w:p>
            <w:pPr>
              <w:pStyle w:val="TableContents"/>
              <w:bidi w:val="0"/>
              <w:spacing w:before="0" w:after="283"/>
              <w:rPr/>
            </w:pPr>
            <w:r>
              <w:rPr/>
              <w:t>obstructions in the production of the construction project due to circumstances not attributable to the Seller, e.g. force majeure, pandemic situations, supply bottlenecks in elevator, windows, heat pump components or medium-voltage technology, strike, lockout, weather conditions including heat and cold periods, water management in the area of the underground car park, exchange rate movements in building materials, personnel bottlenecks in subcontractors or delayed coordination with utilities, extend the respective production period concerned by the duration of the obstruction plus a surcharge of up to six weeks for replanning, restarting and retuning the trades.</w:t>
            </w:r>
          </w:p>
        </w:tc>
      </w:tr>
      <w:tr>
        <w:trPr/>
        <w:tc>
          <w:tcPr>
            <w:tcW w:w="7738" w:type="dxa"/>
            <w:tcBorders/>
            <w:vAlign w:val="center"/>
          </w:tcPr>
          <w:p>
            <w:pPr>
              <w:pStyle w:val="TableContents"/>
              <w:bidi w:val="0"/>
              <w:spacing w:before="0" w:after="283"/>
              <w:rPr/>
            </w:pPr>
            <w:r>
              <w:rPr/>
              <w:t>5.8.2 Bei vom Verkäufer zu vertretender Überschreitung des Spätesttermins für die Bezugsfertigkeit schuldet der Verkäufer dem Käufer als Vertragsstrafe einen Betrag von 0,5 ‰ der Sondereigentumsteilbetragssumme pro angefangenen Tag, gedeckelt auf insgesamt 12 % der Sondereigentumsteilbetragssumme. Die Geltendmachung weitergehender Schadensersatzansprüche ist ausgeschlossen, soweit nicht Vorsatz oder grobe Fahrlässigkeit vorliegen.</w:t>
            </w:r>
          </w:p>
        </w:tc>
        <w:tc>
          <w:tcPr>
            <w:tcW w:w="7796" w:type="dxa"/>
            <w:tcBorders/>
            <w:vAlign w:val="center"/>
          </w:tcPr>
          <w:p>
            <w:pPr>
              <w:pStyle w:val="TableContents"/>
              <w:bidi w:val="0"/>
              <w:spacing w:before="0" w:after="283"/>
              <w:rPr/>
            </w:pPr>
            <w:r>
              <w:rPr/>
              <w:t>5.8.2 If the Seller is responsible for exceeding the latest date for the readiness for occupancy, the Seller owes the Buyer an amount of 0.5 ‰ of the special ownership component amount per started day, capped at a total of 12% of the special ownership component amount. The assertion of further claims for damages is excluded, unless there is intent or gross negligence.</w:t>
            </w:r>
          </w:p>
        </w:tc>
      </w:tr>
      <w:tr>
        <w:trPr/>
        <w:tc>
          <w:tcPr>
            <w:tcW w:w="7738" w:type="dxa"/>
            <w:tcBorders/>
            <w:vAlign w:val="center"/>
          </w:tcPr>
          <w:p>
            <w:pPr>
              <w:pStyle w:val="TableContents"/>
              <w:bidi w:val="0"/>
              <w:spacing w:before="0" w:after="283"/>
              <w:rPr/>
            </w:pPr>
            <w:r>
              <w:rPr>
                <w:rStyle w:val="Strong"/>
              </w:rPr>
              <w:t>5.9</w:t>
            </w:r>
            <w:r>
              <w:rPr/>
              <w:t xml:space="preserve"> Wohnfläche</w:t>
            </w:r>
          </w:p>
        </w:tc>
        <w:tc>
          <w:tcPr>
            <w:tcW w:w="7796" w:type="dxa"/>
            <w:tcBorders/>
            <w:vAlign w:val="center"/>
          </w:tcPr>
          <w:p>
            <w:pPr>
              <w:pStyle w:val="TableContents"/>
              <w:bidi w:val="0"/>
              <w:spacing w:before="0" w:after="283"/>
              <w:rPr/>
            </w:pPr>
            <w:r>
              <w:rPr>
                <w:rStyle w:val="Strong"/>
              </w:rPr>
              <w:t>5.9</w:t>
            </w:r>
            <w:r>
              <w:rPr/>
              <w:t xml:space="preserve"> Living area</w:t>
            </w:r>
          </w:p>
        </w:tc>
      </w:tr>
      <w:tr>
        <w:trPr/>
        <w:tc>
          <w:tcPr>
            <w:tcW w:w="7738" w:type="dxa"/>
            <w:tcBorders/>
            <w:vAlign w:val="center"/>
          </w:tcPr>
          <w:p>
            <w:pPr>
              <w:pStyle w:val="TableContents"/>
              <w:bidi w:val="0"/>
              <w:spacing w:before="0" w:after="283"/>
              <w:rPr/>
            </w:pPr>
            <w:r>
              <w:rPr/>
              <w:t>5.9.1 Die nach Maßgabe des § 5.1 herzustellende Wohnfläche beträgt ca. 118,4 m². Die Flächenberechnung erfolgt nach DIN 277.</w:t>
            </w:r>
          </w:p>
        </w:tc>
        <w:tc>
          <w:tcPr>
            <w:tcW w:w="7796" w:type="dxa"/>
            <w:tcBorders/>
            <w:vAlign w:val="center"/>
          </w:tcPr>
          <w:p>
            <w:pPr>
              <w:pStyle w:val="TableContents"/>
              <w:bidi w:val="0"/>
              <w:spacing w:before="0" w:after="283"/>
              <w:rPr/>
            </w:pPr>
            <w:r>
              <w:rPr/>
              <w:t>5.9.1 The living space to be produced in accordance with § 5.1 amounts to approximately 118.4 m2. The area is calculated according to DIN 277.</w:t>
            </w:r>
          </w:p>
        </w:tc>
      </w:tr>
      <w:tr>
        <w:trPr/>
        <w:tc>
          <w:tcPr>
            <w:tcW w:w="7738" w:type="dxa"/>
            <w:tcBorders/>
            <w:vAlign w:val="center"/>
          </w:tcPr>
          <w:p>
            <w:pPr>
              <w:pStyle w:val="TableContents"/>
              <w:bidi w:val="0"/>
              <w:spacing w:before="0" w:after="283"/>
              <w:rPr/>
            </w:pPr>
            <w:r>
              <w:rPr/>
              <w:t>5.9.2 Aus einer Unterschreitung der vorstehenden Wohnfläche kann der Käufer nur Rechte herleiten, wenn die Unterschreitung 8 % der vorstehenden Wohnfläche übersteigt.</w:t>
            </w:r>
          </w:p>
        </w:tc>
        <w:tc>
          <w:tcPr>
            <w:tcW w:w="7796" w:type="dxa"/>
            <w:tcBorders/>
            <w:vAlign w:val="center"/>
          </w:tcPr>
          <w:p>
            <w:pPr>
              <w:pStyle w:val="TableContents"/>
              <w:bidi w:val="0"/>
              <w:spacing w:before="0" w:after="283"/>
              <w:rPr/>
            </w:pPr>
            <w:r>
              <w:rPr/>
              <w:t>5.9.2 The Buyer can only derive rights from an undershoot of the protruding living space if the undershoot exceeds 8% of the protruding living space.</w:t>
            </w:r>
          </w:p>
        </w:tc>
      </w:tr>
      <w:tr>
        <w:trPr/>
        <w:tc>
          <w:tcPr>
            <w:tcW w:w="7738" w:type="dxa"/>
            <w:tcBorders/>
            <w:vAlign w:val="center"/>
          </w:tcPr>
          <w:p>
            <w:pPr>
              <w:pStyle w:val="TableContents"/>
              <w:bidi w:val="0"/>
              <w:spacing w:before="0" w:after="283"/>
              <w:rPr/>
            </w:pPr>
            <w:r>
              <w:rPr>
                <w:rStyle w:val="Strong"/>
              </w:rPr>
              <w:t>5.10</w:t>
            </w:r>
            <w:r>
              <w:rPr/>
              <w:t xml:space="preserve"> Energiestandard. Haus 4 wird nach den zum Tag der Baugenehmigung geltenden energetischen Anforderungen errichtet und an das für das Quartier vorgesehene Wärmeversorgungskonzept angeschlossen. Eine bestimmte KfW-Effizienzhausklasse, Förderfähigkeit, ein bestimmter Primärenergiebedarf oder ein bestimmter GEG-Standard über den öffentlich-rechtlich geschuldeten Mindeststandard hinaus wird nicht geschuldet.</w:t>
            </w:r>
          </w:p>
        </w:tc>
        <w:tc>
          <w:tcPr>
            <w:tcW w:w="7796" w:type="dxa"/>
            <w:tcBorders/>
            <w:vAlign w:val="center"/>
          </w:tcPr>
          <w:p>
            <w:pPr>
              <w:pStyle w:val="TableContents"/>
              <w:bidi w:val="0"/>
              <w:spacing w:before="0" w:after="283"/>
              <w:rPr/>
            </w:pPr>
            <w:r>
              <w:rPr>
                <w:rStyle w:val="Strong"/>
              </w:rPr>
              <w:t>5.10</w:t>
            </w:r>
            <w:r>
              <w:rPr/>
              <w:t xml:space="preserve"> energy standard. House 4 is built according to the energy requirements applicable on the day of the building permit and connected to the heat supply concept intended for the quarter. A certain KfW efficiency house class, eligibility, a certain primary energy requirement or a certain GEG standard above the minimum standard owed by public law is not owed.</w:t>
            </w:r>
          </w:p>
        </w:tc>
      </w:tr>
      <w:tr>
        <w:trPr/>
        <w:tc>
          <w:tcPr>
            <w:tcW w:w="7738" w:type="dxa"/>
            <w:tcBorders/>
            <w:vAlign w:val="center"/>
          </w:tcPr>
          <w:p>
            <w:pPr>
              <w:pStyle w:val="TableContents"/>
              <w:bidi w:val="0"/>
              <w:spacing w:before="0" w:after="283"/>
              <w:rPr/>
            </w:pPr>
            <w:r>
              <w:rPr>
                <w:rStyle w:val="Strong"/>
              </w:rPr>
              <w:t>5.11</w:t>
            </w:r>
            <w:r>
              <w:rPr/>
              <w:t xml:space="preserve"> Baugrund, Grundwasser und Baugrube. Dem Verkäufer liegt der geotechnische Kurzbericht „BQ-KNW-4/2026” der TerraSond GmbH vom 17.02.2026 vor. Die darin enthaltenen Annahmen beruhen auf punktuellen Aufschlüssen im Bereich Haus 4, Tiefgaragenspange Nord und Baufeld Q1 und weisen wechselnde Auffüllungen, bindige Schichten, zeitweise Schichtenwasserführung sowie mögliche Entsorgungsmehrkosten aus. Abweichungen des tatsächlichen Baugrunds, Grundwasserstände, Wasserhaltungsmaßnahmen, Kampfmittel-, Altlasten- oder Entsorgungsbefunde sowie hierdurch erforderliche technische Anpassungen gelten nicht als Abweichung von der vereinbarten Beschaffenheit, sofern die Gebrauchstauglichkeit der Wohnung 4.27 nach Fertigstellung nicht wesentlich beeinträchtigt wird. Die hierdurch verursachten Bauzeitverlängerungen gelten als vom Verkäufer nicht zu vertreten.</w:t>
            </w:r>
          </w:p>
        </w:tc>
        <w:tc>
          <w:tcPr>
            <w:tcW w:w="7796" w:type="dxa"/>
            <w:tcBorders/>
            <w:vAlign w:val="center"/>
          </w:tcPr>
          <w:p>
            <w:pPr>
              <w:pStyle w:val="TableContents"/>
              <w:bidi w:val="0"/>
              <w:spacing w:before="0" w:after="283"/>
              <w:rPr/>
            </w:pPr>
            <w:r>
              <w:rPr>
                <w:rStyle w:val="Strong"/>
              </w:rPr>
              <w:t>5.11</w:t>
            </w:r>
            <w:r>
              <w:rPr/>
              <w:t xml:space="preserve"> ground, groundwater and excavation pit. The Seller has received the geotechnical short report “BQ-KNW-4/2026” from TerraSond GmbH dated 17.02.2026. The assumptions contained therein are based on punctual breakdowns in the area of house 4, underground garage span Nord and construction field Q1 and show changing fillings, cohesive layers, temporarily layered water management as well as possible additional disposal costs. Deviations of the actual ground, groundwater levels, water management measures, findings of warfare, contamination or disposal as well as technical adjustments necessary therefor shall not be considered as a deviation from the agreed condition, provided that the suitability for use of the apartment 4.27 is not significantly impaired after completion. The construction period extensions caused by this are not to be represented by the Seller.</w:t>
            </w:r>
          </w:p>
        </w:tc>
      </w:tr>
      <w:tr>
        <w:trPr/>
        <w:tc>
          <w:tcPr>
            <w:tcW w:w="7738" w:type="dxa"/>
            <w:tcBorders/>
            <w:vAlign w:val="center"/>
          </w:tcPr>
          <w:p>
            <w:pPr>
              <w:pStyle w:val="TableContents"/>
              <w:bidi w:val="0"/>
              <w:spacing w:before="0" w:after="283"/>
              <w:rPr/>
            </w:pPr>
            <w:r>
              <w:rPr>
                <w:rStyle w:val="Strong"/>
              </w:rPr>
              <w:t>5.12</w:t>
            </w:r>
            <w:r>
              <w:rPr/>
              <w:t xml:space="preserve"> Schall-, Wärme-, Feuchte- und Brandschutz. Die öffentlich-rechtlich erforderlichen Nachweise werden durch den Verkäufer eingeholt. Eine darüberhinausgehende Beschaffenheit, insbesondere ein erhöhter Schallschutz, eine bestimmte Behaglichkeitsklasse, eine bestimmte Raumluftqualität oder eine bestimmte sommerliche Kühlleistung, wird nur geschuldet, soweit dies in der Baubeschreibung ausdrücklich mit Zahlenwerten vereinbart ist. Kondensat-, Schimmel- oder Feuchteschäden, die auf ein nicht den jeweiligen Nutzungshinweisen entsprechendes Heizungs-, Lüftungs- oder Möblierungsverhalten zurückzuführen sind, stellen keinen Mangel dar.</w:t>
            </w:r>
          </w:p>
        </w:tc>
        <w:tc>
          <w:tcPr>
            <w:tcW w:w="7796" w:type="dxa"/>
            <w:tcBorders/>
            <w:vAlign w:val="center"/>
          </w:tcPr>
          <w:p>
            <w:pPr>
              <w:pStyle w:val="TableContents"/>
              <w:bidi w:val="0"/>
              <w:spacing w:before="0" w:after="283"/>
              <w:rPr/>
            </w:pPr>
            <w:r>
              <w:rPr>
                <w:rStyle w:val="Strong"/>
              </w:rPr>
              <w:t>5.12</w:t>
            </w:r>
            <w:r>
              <w:rPr/>
              <w:t xml:space="preserve"> Sound, heat, humidity and fire protection. The publicly required proofs are obtained by the Seller. A further characteristic, in particular an increased sound insulation, a certain comfort class, a certain indoor air quality or a certain summer cooling capacity, is owed only insofar as this is expressly agreed in the Building Specification with numerical values. Condensate, mold or moisture damage, which is due to heating, ventilation or furniture behavior that does not correspond to the respective usage instructions, do not constitute a defect.</w:t>
            </w:r>
          </w:p>
        </w:tc>
      </w:tr>
      <w:tr>
        <w:trPr/>
        <w:tc>
          <w:tcPr>
            <w:tcW w:w="7738" w:type="dxa"/>
            <w:tcBorders/>
            <w:vAlign w:val="center"/>
          </w:tcPr>
          <w:p>
            <w:pPr>
              <w:pStyle w:val="TableContents"/>
              <w:bidi w:val="0"/>
              <w:spacing w:before="0" w:after="283"/>
              <w:rPr/>
            </w:pPr>
            <w:r>
              <w:rPr>
                <w:rStyle w:val="Strong"/>
              </w:rPr>
              <w:t>5.13</w:t>
            </w:r>
            <w:r>
              <w:rPr/>
              <w:t xml:space="preserve"> Technische Anlagen, Wartung, Betrieb. Der Käufer nimmt zur Kenntnis, dass die beiden Aufzüge in Haus 4, die Dach- und Badlüfter, die Entwässerungs- und Hebeanlagen der Tiefgarage, die Tiefgaragenentlüftung, die Rauchabzugseinrichtungen, die Heizungs- und Warmwassertechnik, Zähler- und Messsysteme sowie etwaige Lade- oder Photovoltaikinfrastruktur regelmäßiger Wartung bedürfen. Der Verkäufer oder der Erstverwalter ist berechtigt, zur Sicherstellung der Erstbetriebsphase Wartungs-, Betriebsführungs-, Mess- und Energielieferungsverträge insbesondere mit der Kannenberg Wärme GmbH, der Lift &amp; Service Nordost GmbH, der ParkTec Garage GmbH und Messdienstleistern mit einer anfänglichen Laufzeit von bis zu sieben Jahren abzuschließen. Die daraus entstehenden Kosten tragen die Eigentümer nach Maßgabe der Teilungserklärung.</w:t>
            </w:r>
          </w:p>
        </w:tc>
        <w:tc>
          <w:tcPr>
            <w:tcW w:w="7796" w:type="dxa"/>
            <w:tcBorders/>
            <w:vAlign w:val="center"/>
          </w:tcPr>
          <w:p>
            <w:pPr>
              <w:pStyle w:val="TableContents"/>
              <w:bidi w:val="0"/>
              <w:spacing w:before="0" w:after="283"/>
              <w:rPr/>
            </w:pPr>
            <w:r>
              <w:rPr>
                <w:rStyle w:val="Strong"/>
              </w:rPr>
              <w:t>5.13</w:t>
            </w:r>
            <w:r>
              <w:rPr/>
              <w:t xml:space="preserve"> Technical installations, maintenance, operation. The Buyer acknowledges that the two elevators in house 4, the roof and bath ventilators, the drainage and lifting systems of the underground car park, the underground car park ventilation, the smoke extraction devices, the heating and hot water technology, metering and measuring systems and any charging or photovoltaic infrastructure require regular maintenance. The Seller or the first administrator is entitled to conclude maintenance, operation management, measurement and energy delivery contracts with Kannenberg Wärme GmbH, Lift &amp; Service Nordost GmbH, ParkTec Garage GmbH and measurement service providers with an initial term of up to seven years in order to ensure the initial operating phase. The costs incurred shall be borne by the owners in accordance with the declaration of division.</w:t>
            </w:r>
          </w:p>
        </w:tc>
      </w:tr>
      <w:tr>
        <w:trPr/>
        <w:tc>
          <w:tcPr>
            <w:tcW w:w="7738" w:type="dxa"/>
            <w:tcBorders/>
            <w:vAlign w:val="center"/>
          </w:tcPr>
          <w:p>
            <w:pPr>
              <w:pStyle w:val="TableContents"/>
              <w:bidi w:val="0"/>
              <w:spacing w:before="0" w:after="283"/>
              <w:rPr/>
            </w:pPr>
            <w:r>
              <w:rPr>
                <w:rStyle w:val="Strong"/>
              </w:rPr>
              <w:t>5.14</w:t>
            </w:r>
            <w:r>
              <w:rPr/>
              <w:t xml:space="preserve"> Kostenanpassung bei nachträglichen Anforderungen. Werden nach Beurkundung aufgrund öffentlich-rechtlicher Vorgaben für Haus 4, Förderbedingungen, geänderter Anforderungen der Wärmeversorgung, Ladeinfrastruktur, Entwässerung, Brandschutztechnik, Tiefgaragenlüftung oder infolge der Fortschreibung der Fachplanung Maßnahmen erforderlich oder für die Fertigstellung von Haus 4 und TG-127 technisch veranlasst, die in der Kalkulation des Verkäufers nicht enthalten waren, kann der Verkäufer eine Anpassung der hierdurch betroffenen Kostenpositionen verlangen. Der Verkäufer wird dem Käufer die Anpassung in Textform bezogen auf das betroffene Gewerk erläutern; eine Offenlegung der Gesamtkalkulation des Projekts ist nicht geschuldet.</w:t>
            </w:r>
          </w:p>
        </w:tc>
        <w:tc>
          <w:tcPr>
            <w:tcW w:w="7796" w:type="dxa"/>
            <w:tcBorders/>
            <w:vAlign w:val="center"/>
          </w:tcPr>
          <w:p>
            <w:pPr>
              <w:pStyle w:val="TableContents"/>
              <w:bidi w:val="0"/>
              <w:spacing w:before="0" w:after="283"/>
              <w:rPr/>
            </w:pPr>
            <w:r>
              <w:rPr>
                <w:rStyle w:val="Strong"/>
              </w:rPr>
              <w:t>5.14</w:t>
            </w:r>
            <w:r>
              <w:rPr/>
              <w:t xml:space="preserve"> Cost adjustment for ex post requirements. If, after certification, on the basis of public law requirements for House 4, conditions of funding, changed requirements for heat supply, charging infrastructure, drainage, fire protection technology, underground ventilation or as a result of the updating of the specialist planning, measures are necessary or technically initiated for the completion of House 4 and TG-127, which were not included in the calculation of the Seller, the Seller may request an adjustment of the cost items affected thereby. The Seller will explain the adjustment to the Buyer in text form in relation to the trade concerned; a disclosure of the overall calculation of the project is not owed.</w:t>
            </w:r>
          </w:p>
        </w:tc>
      </w:tr>
      <w:tr>
        <w:trPr/>
        <w:tc>
          <w:tcPr>
            <w:tcW w:w="7738" w:type="dxa"/>
            <w:tcBorders/>
            <w:vAlign w:val="center"/>
          </w:tcPr>
          <w:p>
            <w:pPr>
              <w:pStyle w:val="TableContents"/>
              <w:bidi w:val="0"/>
              <w:spacing w:before="0" w:after="283"/>
              <w:rPr/>
            </w:pPr>
            <w:r>
              <w:rPr>
                <w:rStyle w:val="Strong"/>
              </w:rPr>
              <w:t>5.15</w:t>
            </w:r>
            <w:r>
              <w:rPr/>
              <w:t xml:space="preserve"> Der Käufer erklärt, dass ihm von Vertriebsmitarbeitern oder anderen Beauftragten oder Mitarbeitern des Verkäufers keinerlei Zusagen zur Ausgestaltung des Kaufgegenstandes gemacht wurden, die nicht Gegenstand des vorliegenden Vertrages oder der diesem Vertrag in Bezug genommenen Urkunden sind.</w:t>
            </w:r>
          </w:p>
        </w:tc>
        <w:tc>
          <w:tcPr>
            <w:tcW w:w="7796" w:type="dxa"/>
            <w:tcBorders/>
            <w:vAlign w:val="center"/>
          </w:tcPr>
          <w:p>
            <w:pPr>
              <w:pStyle w:val="TableContents"/>
              <w:bidi w:val="0"/>
              <w:spacing w:before="0" w:after="283"/>
              <w:rPr/>
            </w:pPr>
            <w:r>
              <w:rPr>
                <w:rStyle w:val="Strong"/>
              </w:rPr>
              <w:t>5.15</w:t>
            </w:r>
            <w:r>
              <w:rPr/>
              <w:t xml:space="preserve"> The Buyer declares that he has not been given any commitments by sales representatives or other agents or employees of the Seller regarding the design of the Purchased Property that are not the subject of this contract or the documents referred to in this contract.</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22" w:name="wirtschaftlicher-besitzübergang-abnahme-"/>
            <w:bookmarkEnd w:id="22"/>
            <w:r>
              <w:rPr/>
              <w:t>§ 6 Wirtschaftlicher Besitzübergang, Abnahme, Schlüsselübergabe</w:t>
            </w:r>
          </w:p>
        </w:tc>
        <w:tc>
          <w:tcPr>
            <w:tcW w:w="7796" w:type="dxa"/>
            <w:tcBorders/>
            <w:vAlign w:val="center"/>
          </w:tcPr>
          <w:p>
            <w:pPr>
              <w:pStyle w:val="Heading1"/>
              <w:bidi w:val="0"/>
              <w:spacing w:before="240" w:after="283"/>
              <w:ind w:hanging="0" w:start="0" w:end="0"/>
              <w:rPr/>
            </w:pPr>
            <w:bookmarkStart w:id="23" w:name="transfer-of-possession-acceptance-transf"/>
            <w:bookmarkEnd w:id="23"/>
            <w:r>
              <w:rPr/>
              <w:t>§ 6 Transfer of possession, acceptance, transfer of keys</w:t>
            </w:r>
          </w:p>
        </w:tc>
      </w:tr>
      <w:tr>
        <w:trPr/>
        <w:tc>
          <w:tcPr>
            <w:tcW w:w="7738" w:type="dxa"/>
            <w:tcBorders/>
            <w:vAlign w:val="center"/>
          </w:tcPr>
          <w:p>
            <w:pPr>
              <w:pStyle w:val="TableContents"/>
              <w:bidi w:val="0"/>
              <w:spacing w:before="0" w:after="283"/>
              <w:rPr/>
            </w:pPr>
            <w:r>
              <w:rPr>
                <w:rStyle w:val="Strong"/>
              </w:rPr>
              <w:t>6.1</w:t>
            </w:r>
            <w:r>
              <w:rPr/>
              <w:t xml:space="preserve"> Besitz, Nutzen, Lasten, Steuern, Abgaben und Gefahren des Kaufgegenstandes gehen mit dem Tag der Übergabe der Sondereigentumseinheit auf den Käufer über. Die Schlüsselübergabe setzt voraus, dass die bis dahin fälligen Kaufpreis- und Sonderwunschbeträge ausgeglichen sind oder eine vom Verkäufer akzeptierte Treuhand- oder Sicherungsabrede vorliegt. Restarbeiten und Mängel, die der Wohnnutzung nicht entgegenstehen, werden im Übergabeprotokoll erfasst und nach Maßgabe der technischen Abläufe beseitigt.</w:t>
            </w:r>
          </w:p>
        </w:tc>
        <w:tc>
          <w:tcPr>
            <w:tcW w:w="7796" w:type="dxa"/>
            <w:tcBorders/>
            <w:vAlign w:val="center"/>
          </w:tcPr>
          <w:p>
            <w:pPr>
              <w:pStyle w:val="TableContents"/>
              <w:bidi w:val="0"/>
              <w:spacing w:before="0" w:after="283"/>
              <w:rPr/>
            </w:pPr>
            <w:r>
              <w:rPr>
                <w:rStyle w:val="Strong"/>
              </w:rPr>
              <w:t>6.1</w:t>
            </w:r>
            <w:r>
              <w:rPr/>
              <w:t xml:space="preserve"> Possession, use, loads, taxes, duties and dangers of the Purchased Property are transferred to the Buyer on the day of handover of the special ownership unit. The handover of the key requires that the Purchase Price and special request amounts due up to then are compensated or that there is an escrow or security agreement accepted by the Seller. Residual work and defects that do not prevent residential use are recorded in the handover protocol and eliminated in accordance with the technical procedures.</w:t>
            </w:r>
          </w:p>
        </w:tc>
      </w:tr>
      <w:tr>
        <w:trPr/>
        <w:tc>
          <w:tcPr>
            <w:tcW w:w="7738" w:type="dxa"/>
            <w:tcBorders/>
            <w:vAlign w:val="center"/>
          </w:tcPr>
          <w:p>
            <w:pPr>
              <w:pStyle w:val="TableContents"/>
              <w:bidi w:val="0"/>
              <w:spacing w:before="0" w:after="283"/>
              <w:rPr/>
            </w:pPr>
            <w:r>
              <w:rPr>
                <w:rStyle w:val="Strong"/>
              </w:rPr>
              <w:t>6.2</w:t>
            </w:r>
            <w:r>
              <w:rPr/>
              <w:t xml:space="preserve"> Abnahme der Sondereigentumseinheit</w:t>
            </w:r>
          </w:p>
        </w:tc>
        <w:tc>
          <w:tcPr>
            <w:tcW w:w="7796" w:type="dxa"/>
            <w:tcBorders/>
            <w:vAlign w:val="center"/>
          </w:tcPr>
          <w:p>
            <w:pPr>
              <w:pStyle w:val="TableContents"/>
              <w:bidi w:val="0"/>
              <w:spacing w:before="0" w:after="283"/>
              <w:rPr/>
            </w:pPr>
            <w:r>
              <w:rPr>
                <w:rStyle w:val="Strong"/>
              </w:rPr>
              <w:t>6.2</w:t>
            </w:r>
            <w:r>
              <w:rPr/>
              <w:t xml:space="preserve"> Acceptance of the Unit Property</w:t>
            </w:r>
          </w:p>
        </w:tc>
      </w:tr>
      <w:tr>
        <w:trPr/>
        <w:tc>
          <w:tcPr>
            <w:tcW w:w="7738" w:type="dxa"/>
            <w:tcBorders/>
            <w:vAlign w:val="center"/>
          </w:tcPr>
          <w:p>
            <w:pPr>
              <w:pStyle w:val="TableContents"/>
              <w:bidi w:val="0"/>
              <w:spacing w:before="0" w:after="283"/>
              <w:rPr/>
            </w:pPr>
            <w:r>
              <w:rPr/>
              <w:t>6.2.1 Die Sondereigentumseinheit wird vor Bezug nach einer gemeinsamen Begehung abgenommen. Hierzu teilt der Verkäufer dem Käufer schriftlich die bezugsfertige Herstellung mit und fordert ihn unter Setzung einer Frist von zehn Tagen zur Begehung und Abnahme auf.</w:t>
            </w:r>
          </w:p>
        </w:tc>
        <w:tc>
          <w:tcPr>
            <w:tcW w:w="7796" w:type="dxa"/>
            <w:tcBorders/>
            <w:vAlign w:val="center"/>
          </w:tcPr>
          <w:p>
            <w:pPr>
              <w:pStyle w:val="TableContents"/>
              <w:bidi w:val="0"/>
              <w:spacing w:before="0" w:after="283"/>
              <w:rPr/>
            </w:pPr>
            <w:r>
              <w:rPr/>
              <w:t>6.2.1. The special ownership unit is removed before the move after a joint ascent. For this purpose, the Seller informs the Buyer in writing of the ready-to-occupy production and asks him, setting a period of ten days, for inspection and acceptance.</w:t>
            </w:r>
          </w:p>
        </w:tc>
      </w:tr>
      <w:tr>
        <w:trPr/>
        <w:tc>
          <w:tcPr>
            <w:tcW w:w="7738" w:type="dxa"/>
            <w:tcBorders/>
            <w:vAlign w:val="center"/>
          </w:tcPr>
          <w:p>
            <w:pPr>
              <w:pStyle w:val="TableContents"/>
              <w:bidi w:val="0"/>
              <w:spacing w:before="0" w:after="283"/>
              <w:rPr/>
            </w:pPr>
            <w:r>
              <w:rPr/>
              <w:t>Erscheint der Käufer zum mitgeteilten Termin nicht oder verweigert er die Unterzeichnung der Niederschrift, ohne in Textform mindestens einen wesentlichen, der Abnahme entgegenstehenden Mangel konkret zu bezeichnen, gilt die Sondereigentumseinheit mit Ablauf des Termins als abgenommen. Die Aufforderung zur Abnahme darf zur Vermeidung von Wiederholungen auf diese Regelung verweisen.</w:t>
            </w:r>
          </w:p>
        </w:tc>
        <w:tc>
          <w:tcPr>
            <w:tcW w:w="7796" w:type="dxa"/>
            <w:tcBorders/>
            <w:vAlign w:val="center"/>
          </w:tcPr>
          <w:p>
            <w:pPr>
              <w:pStyle w:val="TableContents"/>
              <w:bidi w:val="0"/>
              <w:spacing w:before="0" w:after="283"/>
              <w:rPr/>
            </w:pPr>
            <w:r>
              <w:rPr/>
              <w:t>If the Buyer does not appear on the notified date or refuses to sign the minutes without specifying in text form at least one significant defect contrary to acceptance, the special ownership unit shall be deemed to have been accepted on expiry of the date. The acceptance inducement may refer to this Regulation in order to avoid repetitions.</w:t>
            </w:r>
          </w:p>
        </w:tc>
      </w:tr>
      <w:tr>
        <w:trPr/>
        <w:tc>
          <w:tcPr>
            <w:tcW w:w="7738" w:type="dxa"/>
            <w:tcBorders/>
            <w:vAlign w:val="center"/>
          </w:tcPr>
          <w:p>
            <w:pPr>
              <w:pStyle w:val="TableContents"/>
              <w:bidi w:val="0"/>
              <w:spacing w:before="0" w:after="283"/>
              <w:rPr/>
            </w:pPr>
            <w:r>
              <w:rPr/>
              <w:t>6.2.2 Geringfügige Unregelmäßigkeiten, optische Abweichungen im Rahmen handwerklicher Toleranzen und Restpunkte, deren Beseitigung die Gebrauchstauglichkeit nicht spürbar beeinträchtigt, stehen der Abnahme nicht entgegen. Die Parteien gehen davon aus, dass solche Punkte im Rahmen der üblichen Nachlaufbearbeitung abgearbeitet werden.</w:t>
            </w:r>
          </w:p>
        </w:tc>
        <w:tc>
          <w:tcPr>
            <w:tcW w:w="7796" w:type="dxa"/>
            <w:tcBorders/>
            <w:vAlign w:val="center"/>
          </w:tcPr>
          <w:p>
            <w:pPr>
              <w:pStyle w:val="TableContents"/>
              <w:bidi w:val="0"/>
              <w:spacing w:before="0" w:after="283"/>
              <w:rPr/>
            </w:pPr>
            <w:r>
              <w:rPr/>
              <w:t>6.2.2 Minor irregularities, optical deviations within craft tolerances and residual points, the elimination of which does not appreciably affect the suitability for use, do not prevent acceptance. The parties assume that such points are processed within the framework of normal follow-up processing.</w:t>
            </w:r>
          </w:p>
        </w:tc>
      </w:tr>
      <w:tr>
        <w:trPr/>
        <w:tc>
          <w:tcPr>
            <w:tcW w:w="7738" w:type="dxa"/>
            <w:tcBorders/>
            <w:vAlign w:val="center"/>
          </w:tcPr>
          <w:p>
            <w:pPr>
              <w:pStyle w:val="TableContents"/>
              <w:bidi w:val="0"/>
              <w:spacing w:before="0" w:after="283"/>
              <w:rPr/>
            </w:pPr>
            <w:r>
              <w:rPr>
                <w:rStyle w:val="Strong"/>
              </w:rPr>
              <w:t>6.3</w:t>
            </w:r>
            <w:r>
              <w:rPr/>
              <w:t xml:space="preserve"> Abnahme des Gemeinschaftseigentums</w:t>
            </w:r>
          </w:p>
        </w:tc>
        <w:tc>
          <w:tcPr>
            <w:tcW w:w="7796" w:type="dxa"/>
            <w:tcBorders/>
            <w:vAlign w:val="center"/>
          </w:tcPr>
          <w:p>
            <w:pPr>
              <w:pStyle w:val="TableContents"/>
              <w:bidi w:val="0"/>
              <w:spacing w:before="0" w:after="283"/>
              <w:rPr/>
            </w:pPr>
            <w:r>
              <w:rPr>
                <w:rStyle w:val="Strong"/>
              </w:rPr>
              <w:t>6.3</w:t>
            </w:r>
            <w:r>
              <w:rPr/>
              <w:t xml:space="preserve"> Acceptance of Common Property</w:t>
            </w:r>
          </w:p>
        </w:tc>
      </w:tr>
      <w:tr>
        <w:trPr/>
        <w:tc>
          <w:tcPr>
            <w:tcW w:w="7738" w:type="dxa"/>
            <w:tcBorders/>
            <w:vAlign w:val="center"/>
          </w:tcPr>
          <w:p>
            <w:pPr>
              <w:pStyle w:val="TableContents"/>
              <w:bidi w:val="0"/>
              <w:spacing w:before="0" w:after="283"/>
              <w:rPr/>
            </w:pPr>
            <w:r>
              <w:rPr/>
              <w:t>6.3.1 Zur Sicherstellung einer einheitlichen und fachlich koordinierten Abnahme des Gemeinschaftseigentums wird die vom Verkäufer bestellte Erstverwaltung die Abnahme organisatorisch vorbereiten und die Erwerber hierüber informieren. Sie ist berechtigt, die Abnahmeerklärung für die Gemeinschaft abzugeben, soweit die Erwerbergemeinschaft nicht vor dem Abnahmetermin einen abweichenden Vertreter benennt.</w:t>
            </w:r>
          </w:p>
        </w:tc>
        <w:tc>
          <w:tcPr>
            <w:tcW w:w="7796" w:type="dxa"/>
            <w:tcBorders/>
            <w:vAlign w:val="center"/>
          </w:tcPr>
          <w:p>
            <w:pPr>
              <w:pStyle w:val="TableContents"/>
              <w:bidi w:val="0"/>
              <w:spacing w:before="0" w:after="283"/>
              <w:rPr/>
            </w:pPr>
            <w:r>
              <w:rPr/>
              <w:t>6.3.1 In order to ensure a uniform and technically coordinated acceptance of the Common Property, the initial administration appointed by the Seller will prepare the acceptance organizationally and inform the buyers about this. It shall be entitled to submit the acceptance declaration for the Community unless the acquirer group appoints a different representative before the acceptance date.</w:t>
            </w:r>
          </w:p>
        </w:tc>
      </w:tr>
      <w:tr>
        <w:trPr/>
        <w:tc>
          <w:tcPr>
            <w:tcW w:w="7738" w:type="dxa"/>
            <w:tcBorders/>
            <w:vAlign w:val="center"/>
          </w:tcPr>
          <w:p>
            <w:pPr>
              <w:pStyle w:val="TableContents"/>
              <w:bidi w:val="0"/>
              <w:spacing w:before="0" w:after="283"/>
              <w:rPr/>
            </w:pPr>
            <w:r>
              <w:rPr/>
              <w:t>6.3.2 Die Erstverwaltung wird hierzu einen öffentlich bestellten und vereidigten oder vergleichbar qualifizierten Sachverständigen hinzuziehen, der aus einer vom Verkäufer vorgeschlagenen Liste beauftragt wird. Die Kosten des Sachverständigen werden als Kosten der erstmaligen Inbetriebnahme des Gemeinschaftseigentums behandelt.</w:t>
            </w:r>
          </w:p>
        </w:tc>
        <w:tc>
          <w:tcPr>
            <w:tcW w:w="7796" w:type="dxa"/>
            <w:tcBorders/>
            <w:vAlign w:val="center"/>
          </w:tcPr>
          <w:p>
            <w:pPr>
              <w:pStyle w:val="TableContents"/>
              <w:bidi w:val="0"/>
              <w:spacing w:before="0" w:after="283"/>
              <w:rPr/>
            </w:pPr>
            <w:r>
              <w:rPr/>
              <w:t>6.3.2. The initial administration will use a publicly appointed and sworn or comparable qualified expert who will be appointed from a list proposed by the Seller. The costs of the expert shall be treated as the costs of the initial commissioning of the Common Property.</w:t>
            </w:r>
          </w:p>
        </w:tc>
      </w:tr>
      <w:tr>
        <w:trPr/>
        <w:tc>
          <w:tcPr>
            <w:tcW w:w="7738" w:type="dxa"/>
            <w:tcBorders/>
            <w:vAlign w:val="center"/>
          </w:tcPr>
          <w:p>
            <w:pPr>
              <w:pStyle w:val="TableContents"/>
              <w:bidi w:val="0"/>
              <w:spacing w:before="0" w:after="283"/>
              <w:rPr/>
            </w:pPr>
            <w:r>
              <w:rPr/>
              <w:t>6.3.3 Nach Übermittlung des Sachverständigenprotokolls und der Abnahmeerklärung an die Erstverwaltung gilt die Abnahme des Gemeinschaftseigentums gegenüber den Erwerbern als erfolgt, soweit nicht innerhalb von zehn Bankarbeitstagen schriftlich wesentliche, im Protokoll nicht berücksichtigte Abnahmehindernisse benannt werden.</w:t>
            </w:r>
          </w:p>
        </w:tc>
        <w:tc>
          <w:tcPr>
            <w:tcW w:w="7796" w:type="dxa"/>
            <w:tcBorders/>
            <w:vAlign w:val="center"/>
          </w:tcPr>
          <w:p>
            <w:pPr>
              <w:pStyle w:val="TableContents"/>
              <w:bidi w:val="0"/>
              <w:spacing w:before="0" w:after="283"/>
              <w:rPr/>
            </w:pPr>
            <w:r>
              <w:rPr/>
              <w:t>6.3.3 After transmission of the expert report and the acceptance declaration to the initial administration, the acceptance of the Common Property to the acquirers shall be deemed to have taken place, unless within ten banking working days material obstacles to acceptance not taken into account in the report are specified in writing.</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24" w:name="erschließungskosten"/>
            <w:bookmarkEnd w:id="24"/>
            <w:r>
              <w:rPr/>
              <w:t>§ 7 Erschließungskosten</w:t>
            </w:r>
          </w:p>
        </w:tc>
        <w:tc>
          <w:tcPr>
            <w:tcW w:w="7796" w:type="dxa"/>
            <w:tcBorders/>
            <w:vAlign w:val="center"/>
          </w:tcPr>
          <w:p>
            <w:pPr>
              <w:pStyle w:val="Heading1"/>
              <w:bidi w:val="0"/>
              <w:spacing w:before="240" w:after="283"/>
              <w:ind w:hanging="0" w:start="0" w:end="0"/>
              <w:rPr/>
            </w:pPr>
            <w:bookmarkStart w:id="25" w:name="development-costs"/>
            <w:bookmarkEnd w:id="25"/>
            <w:r>
              <w:rPr/>
              <w:t>§ 7 Development costs</w:t>
            </w:r>
          </w:p>
        </w:tc>
      </w:tr>
      <w:tr>
        <w:trPr/>
        <w:tc>
          <w:tcPr>
            <w:tcW w:w="7738" w:type="dxa"/>
            <w:tcBorders/>
            <w:vAlign w:val="center"/>
          </w:tcPr>
          <w:p>
            <w:pPr>
              <w:pStyle w:val="TableContents"/>
              <w:bidi w:val="0"/>
              <w:spacing w:before="0" w:after="283"/>
              <w:rPr/>
            </w:pPr>
            <w:r>
              <w:rPr>
                <w:rStyle w:val="Strong"/>
              </w:rPr>
              <w:t>7.1</w:t>
            </w:r>
            <w:r>
              <w:rPr/>
              <w:t xml:space="preserve"> Sämtliche Kosten der Erschließung sowie der erstmaligen Anschlüsse des Kaufgegenstandes an Ver- und Entsorgungsanlagen einschließlich Trinkwasser, Schmutzwasser, Niederschlagswasser, Strom, Wärmeversorgung, Telekommunikation, Zufahrt „Am Birkenpfuhl”, Gehwegwiederherstellung, Straßenbeleuchtung, Herstellungsbeiträge und Abgaben nach den einschlägigen kommunalen Satzungen und landesrechtlichen Abgabenvorschriften trägt der Käufer anteilig nach seinem Miteigentumsanteil von 184/100 000.</w:t>
            </w:r>
          </w:p>
        </w:tc>
        <w:tc>
          <w:tcPr>
            <w:tcW w:w="7796" w:type="dxa"/>
            <w:tcBorders/>
            <w:vAlign w:val="center"/>
          </w:tcPr>
          <w:p>
            <w:pPr>
              <w:pStyle w:val="TableContents"/>
              <w:bidi w:val="0"/>
              <w:spacing w:before="0" w:after="283"/>
              <w:rPr/>
            </w:pPr>
            <w:r>
              <w:rPr>
                <w:rStyle w:val="Strong"/>
              </w:rPr>
              <w:t>7.1</w:t>
            </w:r>
            <w:r>
              <w:rPr/>
              <w:t xml:space="preserve"> All costs of the development and the first connections of the Purchased Property to supply and disposal facilities including drinking water, dirty water, rainwater, electricity, heat supply, telecommunications, access road “Am Birkenpfuhl”, pavement restoration, street lighting, production contributions and taxes according to the relevant municipal statutes and state tax regulations shall be borne by the Buyer in proportion to his co-ownership of 184/100 000.</w:t>
            </w:r>
          </w:p>
        </w:tc>
      </w:tr>
      <w:tr>
        <w:trPr/>
        <w:tc>
          <w:tcPr>
            <w:tcW w:w="7738" w:type="dxa"/>
            <w:tcBorders/>
            <w:vAlign w:val="center"/>
          </w:tcPr>
          <w:p>
            <w:pPr>
              <w:pStyle w:val="TableContents"/>
              <w:bidi w:val="0"/>
              <w:spacing w:before="0" w:after="283"/>
              <w:rPr/>
            </w:pPr>
            <w:r>
              <w:rPr>
                <w:rStyle w:val="Strong"/>
              </w:rPr>
              <w:t>7.2</w:t>
            </w:r>
            <w:r>
              <w:rPr/>
              <w:t xml:space="preserve"> Die Höhe der auf den Käufer entfallenden Erschließungs- und Anschlusskosten kann zum Zeitpunkt der Beurkundung nicht abschließend beziffert werden. Vorbehaltlich abschließender Abrechnung schätzt der Verkäufer die Belastung auf voraussichtlich 28 000,00 EUR bis 42 000,00 EUR.</w:t>
            </w:r>
          </w:p>
        </w:tc>
        <w:tc>
          <w:tcPr>
            <w:tcW w:w="7796" w:type="dxa"/>
            <w:tcBorders/>
            <w:vAlign w:val="center"/>
          </w:tcPr>
          <w:p>
            <w:pPr>
              <w:pStyle w:val="TableContents"/>
              <w:bidi w:val="0"/>
              <w:spacing w:before="0" w:after="283"/>
              <w:rPr/>
            </w:pPr>
            <w:r>
              <w:rPr>
                <w:rStyle w:val="Strong"/>
              </w:rPr>
              <w:t>7.2</w:t>
            </w:r>
            <w:r>
              <w:rPr/>
              <w:t xml:space="preserve"> The amount of development and connection costs incurred by the Buyer cannot be definitively quantified at the time of the deed. Subject to final settlement, the Seller estimates the charge to be between EUR 28 000.00 and EUR 42 000.00.</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26" w:name="zutritt-zur-baustelle"/>
            <w:bookmarkEnd w:id="26"/>
            <w:r>
              <w:rPr/>
              <w:t>§ 8 Zutritt zur Baustelle</w:t>
            </w:r>
          </w:p>
        </w:tc>
        <w:tc>
          <w:tcPr>
            <w:tcW w:w="7796" w:type="dxa"/>
            <w:tcBorders/>
            <w:vAlign w:val="center"/>
          </w:tcPr>
          <w:p>
            <w:pPr>
              <w:pStyle w:val="Heading1"/>
              <w:bidi w:val="0"/>
              <w:spacing w:before="240" w:after="283"/>
              <w:ind w:hanging="0" w:start="0" w:end="0"/>
              <w:rPr/>
            </w:pPr>
            <w:bookmarkStart w:id="27" w:name="access-to-the-construction-site"/>
            <w:bookmarkEnd w:id="27"/>
            <w:r>
              <w:rPr/>
              <w:t>§ 8 Access to the construction site</w:t>
            </w:r>
          </w:p>
        </w:tc>
      </w:tr>
      <w:tr>
        <w:trPr/>
        <w:tc>
          <w:tcPr>
            <w:tcW w:w="7738" w:type="dxa"/>
            <w:tcBorders/>
            <w:vAlign w:val="center"/>
          </w:tcPr>
          <w:p>
            <w:pPr>
              <w:pStyle w:val="TableContents"/>
              <w:bidi w:val="0"/>
              <w:spacing w:before="0" w:after="283"/>
              <w:rPr/>
            </w:pPr>
            <w:r>
              <w:rPr>
                <w:rStyle w:val="Strong"/>
              </w:rPr>
              <w:t>8.1</w:t>
            </w:r>
            <w:r>
              <w:rPr/>
              <w:t xml:space="preserve"> Der Käufer darf das Grundstück während der Bauzeit aus Gründen der Verkehrssicherheit, des Arbeitsschutzes und der geordneten Bauabwicklung nur nach vorheriger Abstimmung mit dem Verkäufer über den Zugang „Bauzaun Tor West” betreten. Der Verkäufer bietet dem Käufer bis zu zwei begleitete Besichtigungstermine vor Bezugsfertigkeit von Haus 4 sowie einen Termin zur Abnahme der Sondereigentumseinheit an; Regelzeitfenster sind dienstags und donnerstags zwischen 09:00 Uhr und 12:00 Uhr, soweit Kran- und Lieferverkehr dies zulassen. Weitere Termine können insbesondere bei den Ratenmeilensteinen Rohbau, Fenstereinbau, Estrich und Bezugsfertigkeit ermöglicht werden, sofern Bauablauf, Kran- und Lieferverkehr, Sicherheitsvorgaben, Nachunternehmerinteressen, Datenschutz und der Vertrieb anderer Einheiten nicht beeinträchtigt werden.</w:t>
            </w:r>
          </w:p>
        </w:tc>
        <w:tc>
          <w:tcPr>
            <w:tcW w:w="7796" w:type="dxa"/>
            <w:tcBorders/>
            <w:vAlign w:val="center"/>
          </w:tcPr>
          <w:p>
            <w:pPr>
              <w:pStyle w:val="TableContents"/>
              <w:bidi w:val="0"/>
              <w:spacing w:before="0" w:after="283"/>
              <w:rPr/>
            </w:pPr>
            <w:r>
              <w:rPr>
                <w:rStyle w:val="Strong"/>
              </w:rPr>
              <w:t>8.1</w:t>
            </w:r>
            <w:r>
              <w:rPr/>
              <w:t xml:space="preserve"> The Buyer may enter the property during the construction period for reasons of traffic safety, occupational safety and orderly construction only after prior agreement with the Seller via the access “Bauzaun Tor West”. The Seller offers the Buyer up to two accompanied visiting dates before the ability to purchase house 4 and an appointment for the acceptance of the special ownership unit; Regular time windows are Tuesdays and Thursdays between 09:00 and 12:00, as far as crane and delivery traffic allow. Further dates may be made possible, in particular for the installment milestones of shell construction, window installation, screed and readiness for occupancy, provided that construction processes, crane and delivery traffic, safety requirements, subcontractor interests, data protection and the distribution of other units are not affected.</w:t>
            </w:r>
          </w:p>
        </w:tc>
      </w:tr>
      <w:tr>
        <w:trPr/>
        <w:tc>
          <w:tcPr>
            <w:tcW w:w="7738" w:type="dxa"/>
            <w:tcBorders/>
            <w:vAlign w:val="center"/>
          </w:tcPr>
          <w:p>
            <w:pPr>
              <w:pStyle w:val="TableContents"/>
              <w:bidi w:val="0"/>
              <w:spacing w:before="0" w:after="283"/>
              <w:rPr/>
            </w:pPr>
            <w:r>
              <w:rPr>
                <w:rStyle w:val="Strong"/>
              </w:rPr>
              <w:t>8.2</w:t>
            </w:r>
            <w:r>
              <w:rPr/>
              <w:t xml:space="preserve"> Der Käufer kann zu den nach § 8.1 zugelassenen Terminen einen privaten Sachverständigen hinzuziehen, sofern dieser dem Verkäufer spätestens fünf Bankarbeitstage vor dem Termin benannt wird, einen geeigneten Versicherungsschutz nachweist und sich verpflichtet, keine Weisungen an Baubeteiligte zu erteilen, keine Bauteilöffnungen vorzunehmen und keine Fotos von fremden Einheiten, Beschäftigten, Nachunternehmerleistungen oder sicherheitsrelevanten Einrichtungen anzufertigen. Feststellungen des privaten Sachverständigen werden vom Verkäufer geprüft, entfalten jedoch keine Bindungswirkung für die Objektüberwachung des Verkäufers und berühren die Fälligkeit angeforderter Raten nur bei rechtzeitigem, prüffähigem und auf den konkreten Ratenmeilenstein bezogenem Gegenvermerk.</w:t>
            </w:r>
          </w:p>
        </w:tc>
        <w:tc>
          <w:tcPr>
            <w:tcW w:w="7796" w:type="dxa"/>
            <w:tcBorders/>
            <w:vAlign w:val="center"/>
          </w:tcPr>
          <w:p>
            <w:pPr>
              <w:pStyle w:val="TableContents"/>
              <w:bidi w:val="0"/>
              <w:spacing w:before="0" w:after="283"/>
              <w:rPr/>
            </w:pPr>
            <w:r>
              <w:rPr>
                <w:rStyle w:val="Strong"/>
              </w:rPr>
              <w:t>8.2</w:t>
            </w:r>
            <w:r>
              <w:rPr/>
              <w:t xml:space="preserve"> The Buyer may consult a private expert on the dates permitted pursuant to § 8.1, provided that he is nominated to the Seller no later than five bank working days before the date, proves suitable insurance coverage and undertakes not to issue instructions to construction parties, not to open components and not to take photos of foreign units, employees, subcontractors or security-relevant facilities. Findings of the private expert are examined by the Seller, but do not have any binding effect for the site supervision of the Seller and affect the maturity of requested installments only with a timely, auditable and related to the specific installment milestone.</w:t>
            </w:r>
          </w:p>
        </w:tc>
      </w:tr>
      <w:tr>
        <w:trPr/>
        <w:tc>
          <w:tcPr>
            <w:tcW w:w="7738" w:type="dxa"/>
            <w:tcBorders/>
            <w:vAlign w:val="center"/>
          </w:tcPr>
          <w:p>
            <w:pPr>
              <w:pStyle w:val="TableContents"/>
              <w:bidi w:val="0"/>
              <w:spacing w:before="0" w:after="283"/>
              <w:rPr/>
            </w:pPr>
            <w:r>
              <w:rPr>
                <w:rStyle w:val="Strong"/>
              </w:rPr>
              <w:t>8.3</w:t>
            </w:r>
            <w:r>
              <w:rPr/>
              <w:t xml:space="preserve"> Bei Verstößen gegen die Zutritts- und Verhaltensregelungen kann der Verkäufer weitere Baustellentermine von zusätzlichen Sicherheitsauflagen abhängig machen und für jeden schuldhaften Verstoß eine pauschale Bearbeitungs- und Sicherheitskostenbeteiligung in Höhe von 2 500,00 EUR geltend machen. Dem Käufer bleibt der Nachweis eines geringeren Aufwandes vorbehalten.</w:t>
            </w:r>
          </w:p>
        </w:tc>
        <w:tc>
          <w:tcPr>
            <w:tcW w:w="7796" w:type="dxa"/>
            <w:tcBorders/>
            <w:vAlign w:val="center"/>
          </w:tcPr>
          <w:p>
            <w:pPr>
              <w:pStyle w:val="TableContents"/>
              <w:bidi w:val="0"/>
              <w:spacing w:before="0" w:after="283"/>
              <w:rPr/>
            </w:pPr>
            <w:r>
              <w:rPr>
                <w:rStyle w:val="Strong"/>
              </w:rPr>
              <w:t>8.3</w:t>
            </w:r>
            <w:r>
              <w:rPr/>
              <w:t xml:space="preserve"> In the event of breaches of the access and conduct regulations, the Seller may make further construction site dates subject to additional security requirements and claim a flat-rate processing and security cost share of EUR 2 500.00 for each culpable breach. The Buyer is reserved the proof of a lower effort.</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28" w:name="haftung-mängelrechte-verzug-verjährung"/>
            <w:bookmarkEnd w:id="28"/>
            <w:r>
              <w:rPr/>
              <w:t>§ 9 Haftung, Mängelrechte, Verzug, Verjährung</w:t>
            </w:r>
          </w:p>
        </w:tc>
        <w:tc>
          <w:tcPr>
            <w:tcW w:w="7796" w:type="dxa"/>
            <w:tcBorders/>
            <w:vAlign w:val="center"/>
          </w:tcPr>
          <w:p>
            <w:pPr>
              <w:pStyle w:val="Heading1"/>
              <w:bidi w:val="0"/>
              <w:spacing w:before="240" w:after="283"/>
              <w:ind w:hanging="0" w:start="0" w:end="0"/>
              <w:rPr/>
            </w:pPr>
            <w:bookmarkStart w:id="29" w:name="liability-rights-of-defects-delay-limita"/>
            <w:bookmarkEnd w:id="29"/>
            <w:r>
              <w:rPr/>
              <w:t>§ 9 Liability, rights of defects, delay, limitation period</w:t>
            </w:r>
          </w:p>
        </w:tc>
      </w:tr>
      <w:tr>
        <w:trPr/>
        <w:tc>
          <w:tcPr>
            <w:tcW w:w="7738" w:type="dxa"/>
            <w:tcBorders/>
            <w:vAlign w:val="center"/>
          </w:tcPr>
          <w:p>
            <w:pPr>
              <w:pStyle w:val="TableContents"/>
              <w:bidi w:val="0"/>
              <w:spacing w:before="0" w:after="283"/>
              <w:rPr/>
            </w:pPr>
            <w:r>
              <w:rPr>
                <w:rStyle w:val="Strong"/>
              </w:rPr>
              <w:t>9.1</w:t>
            </w:r>
            <w:r>
              <w:rPr/>
              <w:t xml:space="preserve"> Der Verkäufer schuldet den lastenfreien Besitz- und Eigentumsübergang des Vertragsgegenstandes, soweit nicht Lasten und Rechte ausdrücklich übernommen werden.</w:t>
            </w:r>
          </w:p>
        </w:tc>
        <w:tc>
          <w:tcPr>
            <w:tcW w:w="7796" w:type="dxa"/>
            <w:tcBorders/>
            <w:vAlign w:val="center"/>
          </w:tcPr>
          <w:p>
            <w:pPr>
              <w:pStyle w:val="TableContents"/>
              <w:bidi w:val="0"/>
              <w:spacing w:before="0" w:after="283"/>
              <w:rPr/>
            </w:pPr>
            <w:r>
              <w:rPr>
                <w:rStyle w:val="Strong"/>
              </w:rPr>
              <w:t>9.1</w:t>
            </w:r>
            <w:r>
              <w:rPr/>
              <w:t xml:space="preserve"> The Seller shall be liable for the transfer of ownership and ownership of the subject-matter of the contract free of charge, insofar as loads and rights are not expressly assumed.</w:t>
            </w:r>
          </w:p>
        </w:tc>
      </w:tr>
      <w:tr>
        <w:trPr/>
        <w:tc>
          <w:tcPr>
            <w:tcW w:w="7738" w:type="dxa"/>
            <w:tcBorders/>
            <w:vAlign w:val="center"/>
          </w:tcPr>
          <w:p>
            <w:pPr>
              <w:pStyle w:val="TableContents"/>
              <w:bidi w:val="0"/>
              <w:spacing w:before="0" w:after="283"/>
              <w:rPr/>
            </w:pPr>
            <w:r>
              <w:rPr>
                <w:rStyle w:val="Strong"/>
              </w:rPr>
              <w:t>9.2</w:t>
            </w:r>
            <w:r>
              <w:rPr/>
              <w:t xml:space="preserve"> Der Verkäufer schuldet weder die Verwendbarkeit des Kaufgegenstandes für Zwecke des Käufers noch dessen Eignung zur Erreichung steuerlicher Ziele des Käufers.</w:t>
            </w:r>
          </w:p>
        </w:tc>
        <w:tc>
          <w:tcPr>
            <w:tcW w:w="7796" w:type="dxa"/>
            <w:tcBorders/>
            <w:vAlign w:val="center"/>
          </w:tcPr>
          <w:p>
            <w:pPr>
              <w:pStyle w:val="TableContents"/>
              <w:bidi w:val="0"/>
              <w:spacing w:before="0" w:after="283"/>
              <w:rPr/>
            </w:pPr>
            <w:r>
              <w:rPr>
                <w:rStyle w:val="Strong"/>
              </w:rPr>
              <w:t>9.2</w:t>
            </w:r>
            <w:r>
              <w:rPr/>
              <w:t xml:space="preserve"> The Seller owes neither the usability of the Purchased Property for the purposes of the Buyer nor its suitability for achieving the Buyer’s tax objectives.</w:t>
            </w:r>
          </w:p>
        </w:tc>
      </w:tr>
      <w:tr>
        <w:trPr/>
        <w:tc>
          <w:tcPr>
            <w:tcW w:w="7738" w:type="dxa"/>
            <w:tcBorders/>
            <w:vAlign w:val="center"/>
          </w:tcPr>
          <w:p>
            <w:pPr>
              <w:pStyle w:val="TableContents"/>
              <w:bidi w:val="0"/>
              <w:spacing w:before="0" w:after="283"/>
              <w:rPr/>
            </w:pPr>
            <w:r>
              <w:rPr>
                <w:rStyle w:val="Strong"/>
              </w:rPr>
              <w:t>9.3</w:t>
            </w:r>
            <w:r>
              <w:rPr/>
              <w:t xml:space="preserve"> Alle Ansprüche und Rechte des Käufers wegen eines Sachmangels des Grundstücks sind ausgeschlossen, ausgenommen Schadensersatzansprüche wegen Vorsatzes.</w:t>
            </w:r>
          </w:p>
        </w:tc>
        <w:tc>
          <w:tcPr>
            <w:tcW w:w="7796" w:type="dxa"/>
            <w:tcBorders/>
            <w:vAlign w:val="center"/>
          </w:tcPr>
          <w:p>
            <w:pPr>
              <w:pStyle w:val="TableContents"/>
              <w:bidi w:val="0"/>
              <w:spacing w:before="0" w:after="283"/>
              <w:rPr/>
            </w:pPr>
            <w:r>
              <w:rPr>
                <w:rStyle w:val="Strong"/>
              </w:rPr>
              <w:t>9.3</w:t>
            </w:r>
            <w:r>
              <w:rPr/>
              <w:t xml:space="preserve"> All claims and rights of the Buyer due to a material defect of the property are excluded, except damage claims due to intent.</w:t>
            </w:r>
          </w:p>
        </w:tc>
      </w:tr>
      <w:tr>
        <w:trPr/>
        <w:tc>
          <w:tcPr>
            <w:tcW w:w="7738" w:type="dxa"/>
            <w:tcBorders/>
            <w:vAlign w:val="center"/>
          </w:tcPr>
          <w:p>
            <w:pPr>
              <w:pStyle w:val="TableContents"/>
              <w:bidi w:val="0"/>
              <w:spacing w:before="0" w:after="283"/>
              <w:rPr/>
            </w:pPr>
            <w:r>
              <w:rPr>
                <w:rStyle w:val="Strong"/>
              </w:rPr>
              <w:t>9.4</w:t>
            </w:r>
            <w:r>
              <w:rPr/>
              <w:t xml:space="preserve"> Hinsichtlich des herzustellenden Bauwerks gelten die Regelungen des Werkvertragsrechts gem. §§ 633 ff. BGB mit folgender Maßgabe und zur Sicherung einer geordneten Gewährleistungsabwicklung:</w:t>
            </w:r>
          </w:p>
        </w:tc>
        <w:tc>
          <w:tcPr>
            <w:tcW w:w="7796" w:type="dxa"/>
            <w:tcBorders/>
            <w:vAlign w:val="center"/>
          </w:tcPr>
          <w:p>
            <w:pPr>
              <w:pStyle w:val="TableContents"/>
              <w:bidi w:val="0"/>
              <w:spacing w:before="0" w:after="283"/>
              <w:rPr/>
            </w:pPr>
            <w:r>
              <w:rPr>
                <w:rStyle w:val="Strong"/>
              </w:rPr>
              <w:t>9.4</w:t>
            </w:r>
            <w:r>
              <w:rPr/>
              <w:t xml:space="preserve"> With regard to the building to be produced, the provisions of the Work Contract Law acc. §§ 633 ff. BGB with the following provisions and to ensure an orderly warranty processing:</w:t>
            </w:r>
          </w:p>
        </w:tc>
      </w:tr>
      <w:tr>
        <w:trPr/>
        <w:tc>
          <w:tcPr>
            <w:tcW w:w="7738" w:type="dxa"/>
            <w:tcBorders/>
            <w:vAlign w:val="center"/>
          </w:tcPr>
          <w:p>
            <w:pPr>
              <w:pStyle w:val="TableContents"/>
              <w:numPr>
                <w:ilvl w:val="0"/>
                <w:numId w:val="8"/>
              </w:numPr>
              <w:tabs>
                <w:tab w:val="clear" w:pos="1134"/>
                <w:tab w:val="left" w:pos="709" w:leader="none"/>
              </w:tabs>
              <w:bidi w:val="0"/>
              <w:spacing w:before="0" w:after="0"/>
              <w:ind w:hanging="283" w:start="709"/>
              <w:rPr/>
            </w:pPr>
            <w:r>
              <w:rPr/>
              <w:t xml:space="preserve">Mängelanzeigen sind mit konkreter Beschreibung, Lageangabe innerhalb der Wohnung 4.27, Foto und gewünschter Kontaktaufnahme an die vom Verkäufer benannte Gewährleistungsstelle </w:t>
            </w:r>
            <w:r>
              <w:rPr>
                <w:rStyle w:val="SourceText"/>
              </w:rPr>
              <w:t>gewaehrleistung-birkenpfuhl@hq-projekt.de</w:t>
            </w:r>
            <w:r>
              <w:rPr/>
              <w:t xml:space="preserve"> zu richten. </w:t>
            </w:r>
          </w:p>
          <w:p>
            <w:pPr>
              <w:pStyle w:val="TableContents"/>
              <w:numPr>
                <w:ilvl w:val="0"/>
                <w:numId w:val="8"/>
              </w:numPr>
              <w:tabs>
                <w:tab w:val="clear" w:pos="1134"/>
                <w:tab w:val="left" w:pos="709" w:leader="none"/>
              </w:tabs>
              <w:bidi w:val="0"/>
              <w:spacing w:before="0" w:after="0"/>
              <w:ind w:hanging="283" w:start="709"/>
              <w:rPr/>
            </w:pPr>
            <w:r>
              <w:rPr/>
              <w:t xml:space="preserve">Der Käufer wird dem Verkäufer zunächst Gelegenheit zur Prüfung und Nacherfüllung geben; Ersatzvornahmen vor Abschluss dieser Prüfung sind nur bei Gefahr im Verzug oder nach schriftlicher Freigabe des Verkäufers erstattungsfähig. </w:t>
            </w:r>
          </w:p>
          <w:p>
            <w:pPr>
              <w:pStyle w:val="TableContents"/>
              <w:numPr>
                <w:ilvl w:val="0"/>
                <w:numId w:val="8"/>
              </w:numPr>
              <w:tabs>
                <w:tab w:val="clear" w:pos="1134"/>
                <w:tab w:val="left" w:pos="709" w:leader="none"/>
              </w:tabs>
              <w:bidi w:val="0"/>
              <w:spacing w:before="0" w:after="0"/>
              <w:ind w:hanging="283" w:start="709"/>
              <w:rPr/>
            </w:pPr>
            <w:r>
              <w:rPr/>
              <w:t xml:space="preserve">Zur Vermeidung von Folgeschäden sollen Mängel binnen 14 Kalendertagen nach Entdeckung in Textform angezeigt werden. Später angezeigte Punkte werden im Rahmen der Gewährleistungsbearbeitung berücksichtigt, soweit eine Zuordnung zum Verantwortungsbereich des Verkäufers noch möglich ist. </w:t>
            </w:r>
          </w:p>
          <w:p>
            <w:pPr>
              <w:pStyle w:val="TableContents"/>
              <w:numPr>
                <w:ilvl w:val="0"/>
                <w:numId w:val="8"/>
              </w:numPr>
              <w:tabs>
                <w:tab w:val="clear" w:pos="1134"/>
                <w:tab w:val="left" w:pos="709" w:leader="none"/>
              </w:tabs>
              <w:bidi w:val="0"/>
              <w:spacing w:before="0" w:after="0"/>
              <w:ind w:hanging="283" w:start="709"/>
              <w:rPr/>
            </w:pPr>
            <w:r>
              <w:rPr/>
              <w:t xml:space="preserve">Für Verschleißteile, einstellungsbedürftige Anlagen und wartungsabhängige Bauteile gelten die jeweiligen Wartungs- und Bedienungshinweise. Unterbleibt die nach den Hersteller- oder Betreiberunterlagen vorgesehene Wartung, wird vermutet, dass hierauf beruhende Funktionsstörungen nicht vom Verkäufer zu vertreten sind. </w:t>
            </w:r>
          </w:p>
          <w:p>
            <w:pPr>
              <w:pStyle w:val="TableContents"/>
              <w:numPr>
                <w:ilvl w:val="0"/>
                <w:numId w:val="8"/>
              </w:numPr>
              <w:tabs>
                <w:tab w:val="clear" w:pos="1134"/>
                <w:tab w:val="left" w:pos="709" w:leader="none"/>
              </w:tabs>
              <w:bidi w:val="0"/>
              <w:spacing w:before="0" w:after="283"/>
              <w:ind w:hanging="283" w:start="709"/>
              <w:rPr/>
            </w:pPr>
            <w:r>
              <w:rPr/>
              <w:t xml:space="preserve">Die Verjährungsfrist für Mängelansprüche beträgt zwei Jahre ab der vom Verkäufer dokumentierten Abnahmebestätigung, soweit zwingendes Recht keine längere Frist vorschreibt. </w:t>
            </w:r>
          </w:p>
        </w:tc>
        <w:tc>
          <w:tcPr>
            <w:tcW w:w="7796" w:type="dxa"/>
            <w:tcBorders/>
            <w:vAlign w:val="center"/>
          </w:tcPr>
          <w:p>
            <w:pPr>
              <w:pStyle w:val="TableContents"/>
              <w:numPr>
                <w:ilvl w:val="0"/>
                <w:numId w:val="9"/>
              </w:numPr>
              <w:tabs>
                <w:tab w:val="clear" w:pos="1134"/>
                <w:tab w:val="left" w:pos="709" w:leader="none"/>
              </w:tabs>
              <w:bidi w:val="0"/>
              <w:spacing w:before="0" w:after="0"/>
              <w:ind w:hanging="283" w:start="709"/>
              <w:rPr/>
            </w:pPr>
            <w:r>
              <w:rPr/>
              <w:t xml:space="preserve">Notices of defects must be sent with a specific description, location within the apartment 4.27, photo and desired contact to the warranty office named by the Seller </w:t>
            </w:r>
            <w:r>
              <w:rPr>
                <w:rStyle w:val="SourceText"/>
              </w:rPr>
              <w:t>gewaehrleistung-birkenpfuhl@hq-projekt.de</w:t>
            </w:r>
            <w:r>
              <w:rPr/>
              <w:t xml:space="preserve">. </w:t>
            </w:r>
          </w:p>
          <w:p>
            <w:pPr>
              <w:pStyle w:val="TableContents"/>
              <w:numPr>
                <w:ilvl w:val="0"/>
                <w:numId w:val="9"/>
              </w:numPr>
              <w:tabs>
                <w:tab w:val="clear" w:pos="1134"/>
                <w:tab w:val="left" w:pos="709" w:leader="none"/>
              </w:tabs>
              <w:bidi w:val="0"/>
              <w:spacing w:before="0" w:after="0"/>
              <w:ind w:hanging="283" w:start="709"/>
              <w:rPr/>
            </w:pPr>
            <w:r>
              <w:rPr/>
              <w:t xml:space="preserve">The Buyer will first give the Seller the opportunity to check and follow-up; Replacement operations before completion of this examination are only refundable in case of danger in default or after written approval of the Seller. </w:t>
            </w:r>
          </w:p>
          <w:p>
            <w:pPr>
              <w:pStyle w:val="TableContents"/>
              <w:numPr>
                <w:ilvl w:val="0"/>
                <w:numId w:val="9"/>
              </w:numPr>
              <w:tabs>
                <w:tab w:val="clear" w:pos="1134"/>
                <w:tab w:val="left" w:pos="709" w:leader="none"/>
              </w:tabs>
              <w:bidi w:val="0"/>
              <w:spacing w:before="0" w:after="0"/>
              <w:ind w:hanging="283" w:start="709"/>
              <w:rPr/>
            </w:pPr>
            <w:r>
              <w:rPr/>
              <w:t xml:space="preserve">To avoid consequential damage, defects should be reported in text form within 14 calendar days of discovery. Points displayed later are taken into account in the context of warranty processing, as far as an assignment to the Seller’s area of responsibility is still possible. </w:t>
            </w:r>
          </w:p>
          <w:p>
            <w:pPr>
              <w:pStyle w:val="TableContents"/>
              <w:numPr>
                <w:ilvl w:val="0"/>
                <w:numId w:val="9"/>
              </w:numPr>
              <w:tabs>
                <w:tab w:val="clear" w:pos="1134"/>
                <w:tab w:val="left" w:pos="709" w:leader="none"/>
              </w:tabs>
              <w:bidi w:val="0"/>
              <w:spacing w:before="0" w:after="0"/>
              <w:ind w:hanging="283" w:start="709"/>
              <w:rPr/>
            </w:pPr>
            <w:r>
              <w:rPr/>
              <w:t xml:space="preserve">For wear parts, installations in need of adjustment and maintenance-dependent components, the respective maintenance and operating instructions apply. If the maintenance provided for in the manufacturer’s or operator’s documents is omitted, it is presumed that malfunctions caused by this are not attributable to the Seller. </w:t>
            </w:r>
          </w:p>
          <w:p>
            <w:pPr>
              <w:pStyle w:val="TableContents"/>
              <w:numPr>
                <w:ilvl w:val="0"/>
                <w:numId w:val="9"/>
              </w:numPr>
              <w:tabs>
                <w:tab w:val="clear" w:pos="1134"/>
                <w:tab w:val="left" w:pos="709" w:leader="none"/>
              </w:tabs>
              <w:bidi w:val="0"/>
              <w:spacing w:before="0" w:after="283"/>
              <w:ind w:hanging="283" w:start="709"/>
              <w:rPr/>
            </w:pPr>
            <w:r>
              <w:rPr/>
              <w:t xml:space="preserve">The limitation period for claims for defects is two years from the confirmation of acceptance documented by the Seller, unless mandatory law prescribes a longer period. </w:t>
            </w:r>
          </w:p>
        </w:tc>
      </w:tr>
      <w:tr>
        <w:trPr/>
        <w:tc>
          <w:tcPr>
            <w:tcW w:w="7738" w:type="dxa"/>
            <w:tcBorders/>
            <w:vAlign w:val="center"/>
          </w:tcPr>
          <w:p>
            <w:pPr>
              <w:pStyle w:val="TableContents"/>
              <w:bidi w:val="0"/>
              <w:spacing w:before="0" w:after="283"/>
              <w:rPr/>
            </w:pPr>
            <w:r>
              <w:rPr>
                <w:rStyle w:val="Strong"/>
              </w:rPr>
              <w:t>9.5</w:t>
            </w:r>
            <w:r>
              <w:rPr/>
              <w:t xml:space="preserve"> Schäden an Gebrauchsteilen und sonstigen Bauteilen, die aufgrund bestimmungsgemäßen Gebrauches über eine nur begrenzte Nutzungsdauer verfügen und/oder ständiger Wartung bedürfen, stellen keinen Mangel dar.</w:t>
            </w:r>
          </w:p>
        </w:tc>
        <w:tc>
          <w:tcPr>
            <w:tcW w:w="7796" w:type="dxa"/>
            <w:tcBorders/>
            <w:vAlign w:val="center"/>
          </w:tcPr>
          <w:p>
            <w:pPr>
              <w:pStyle w:val="TableContents"/>
              <w:bidi w:val="0"/>
              <w:spacing w:before="0" w:after="283"/>
              <w:rPr/>
            </w:pPr>
            <w:r>
              <w:rPr>
                <w:rStyle w:val="Strong"/>
              </w:rPr>
              <w:t>9.5</w:t>
            </w:r>
            <w:r>
              <w:rPr/>
              <w:t xml:space="preserve"> Damage to useful parts and other components which, due to intended use, have only a limited useful life and/or require constant maintenance do not constitute a defect.</w:t>
            </w:r>
          </w:p>
        </w:tc>
      </w:tr>
      <w:tr>
        <w:trPr/>
        <w:tc>
          <w:tcPr>
            <w:tcW w:w="7738" w:type="dxa"/>
            <w:tcBorders/>
            <w:vAlign w:val="center"/>
          </w:tcPr>
          <w:p>
            <w:pPr>
              <w:pStyle w:val="TableContents"/>
              <w:bidi w:val="0"/>
              <w:spacing w:before="0" w:after="283"/>
              <w:rPr/>
            </w:pPr>
            <w:r>
              <w:rPr>
                <w:rStyle w:val="Strong"/>
              </w:rPr>
              <w:t>9.6</w:t>
            </w:r>
            <w:r>
              <w:rPr/>
              <w:t xml:space="preserve"> Werden bei Übergabe oder Abnahme unwesentliche Mängel oder Restarbeiten festgestellt, kann der Verkäufer zur Beschleunigung der Übergabe einen Restarbeitenplan für die Wohnung 4.27 mit Kostenbewertung je Position oder eine Bürgschaft eines Bürgen gemäß § 2 Abs. 2 MaBV stellen. Die Parteien werden den Einbehalt auf den nach dem Restarbeitenplan verbleibenden voraussichtlichen Aufwand begrenzen; nach Anzeige der Abarbeitung ist eine gestellte Sicherheit freizugeben, sofern der Käufer nicht binnen zehn Bankarbeitstagen substantiiert widerspricht.</w:t>
            </w:r>
          </w:p>
        </w:tc>
        <w:tc>
          <w:tcPr>
            <w:tcW w:w="7796" w:type="dxa"/>
            <w:tcBorders/>
            <w:vAlign w:val="center"/>
          </w:tcPr>
          <w:p>
            <w:pPr>
              <w:pStyle w:val="TableContents"/>
              <w:bidi w:val="0"/>
              <w:spacing w:before="0" w:after="283"/>
              <w:rPr/>
            </w:pPr>
            <w:r>
              <w:rPr>
                <w:rStyle w:val="Strong"/>
              </w:rPr>
              <w:t>9.6</w:t>
            </w:r>
            <w:r>
              <w:rPr/>
              <w:t xml:space="preserve"> If insignificant defects or residual work are found on handover or acceptance, the Seller may, in order to accelerate the handover, provide a residual work plan for the apartment 4.27 with a cost assessment per position or a guarantee from a guarantor in accordance with § 2 para. 2 MaBV. The parties will limit the retention to the estimated effort remaining under the remaining work plan; after notification of processing, a security provided must be released unless the Buyer substantiated objectes within ten banking working days.</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30" w:name="vormerkung"/>
            <w:bookmarkEnd w:id="30"/>
            <w:r>
              <w:rPr/>
              <w:t>§ 10 Vormerkung</w:t>
            </w:r>
          </w:p>
        </w:tc>
        <w:tc>
          <w:tcPr>
            <w:tcW w:w="7796" w:type="dxa"/>
            <w:tcBorders/>
            <w:vAlign w:val="center"/>
          </w:tcPr>
          <w:p>
            <w:pPr>
              <w:pStyle w:val="Heading1"/>
              <w:bidi w:val="0"/>
              <w:spacing w:before="240" w:after="283"/>
              <w:ind w:hanging="0" w:start="0" w:end="0"/>
              <w:rPr/>
            </w:pPr>
            <w:bookmarkStart w:id="31" w:name="preliminary-notice"/>
            <w:bookmarkEnd w:id="31"/>
            <w:r>
              <w:rPr/>
              <w:t>§ 10 Preliminary notice</w:t>
            </w:r>
          </w:p>
        </w:tc>
      </w:tr>
      <w:tr>
        <w:trPr/>
        <w:tc>
          <w:tcPr>
            <w:tcW w:w="7738" w:type="dxa"/>
            <w:tcBorders/>
            <w:vAlign w:val="center"/>
          </w:tcPr>
          <w:p>
            <w:pPr>
              <w:pStyle w:val="TableContents"/>
              <w:bidi w:val="0"/>
              <w:spacing w:before="0" w:after="283"/>
              <w:rPr/>
            </w:pPr>
            <w:r>
              <w:rPr>
                <w:rStyle w:val="Strong"/>
              </w:rPr>
              <w:t>10.1</w:t>
            </w:r>
            <w:r>
              <w:rPr/>
              <w:t xml:space="preserve"> Zur Sicherung des Anspruchs des Käufers auf Verschaffung des Eigentums an dem Kaufgegenstand wird die Eintragung einer Eigentumsvormerkung nach § 883 BGB zugunsten des Käufers im Wohnungsgrundbuch durch den Verkäufer bewilligt und durch die Parteien beantragt.</w:t>
            </w:r>
          </w:p>
        </w:tc>
        <w:tc>
          <w:tcPr>
            <w:tcW w:w="7796" w:type="dxa"/>
            <w:tcBorders/>
            <w:vAlign w:val="center"/>
          </w:tcPr>
          <w:p>
            <w:pPr>
              <w:pStyle w:val="TableContents"/>
              <w:bidi w:val="0"/>
              <w:spacing w:before="0" w:after="283"/>
              <w:rPr/>
            </w:pPr>
            <w:r>
              <w:rPr>
                <w:rStyle w:val="Strong"/>
              </w:rPr>
              <w:t>10.1</w:t>
            </w:r>
            <w:r>
              <w:rPr/>
              <w:t xml:space="preserve"> In order to secure the claim of the Buyer to procure the ownership of the Purchased Property, the registration of a priority notice of conveyance according to § 883 BGB in favour of the Buyer in the housing Land Register is approved by the Seller and requested by the parties.</w:t>
            </w:r>
          </w:p>
        </w:tc>
      </w:tr>
      <w:tr>
        <w:trPr/>
        <w:tc>
          <w:tcPr>
            <w:tcW w:w="7738" w:type="dxa"/>
            <w:tcBorders/>
            <w:vAlign w:val="center"/>
          </w:tcPr>
          <w:p>
            <w:pPr>
              <w:pStyle w:val="TableContents"/>
              <w:bidi w:val="0"/>
              <w:spacing w:before="0" w:after="283"/>
              <w:rPr/>
            </w:pPr>
            <w:r>
              <w:rPr>
                <w:rStyle w:val="Strong"/>
              </w:rPr>
              <w:t>10.2</w:t>
            </w:r>
            <w:r>
              <w:rPr/>
              <w:t xml:space="preserve"> Zur Vermeidung grundbuchlicher Blockaden bewilligt der Käufer bereits heute die Löschung der Vormerkung für den Fall, dass der gesicherte Anspruch infolge Rücktritts, einvernehmlicher Aufhebung, endgültiger Kaufpreisnichtzahlung oder sonstiger Erledigung nicht mehr besteht. Der Notar darf von dieser Bewilligung Gebrauch machen, wenn ihm der Verkäufer die Erledigung des gesicherten Anspruchs in Textform anzeigt und der Käufer nicht binnen zehn Bankarbeitstagen nach notarieller Anhörung widerspricht.</w:t>
            </w:r>
          </w:p>
        </w:tc>
        <w:tc>
          <w:tcPr>
            <w:tcW w:w="7796" w:type="dxa"/>
            <w:tcBorders/>
            <w:vAlign w:val="center"/>
          </w:tcPr>
          <w:p>
            <w:pPr>
              <w:pStyle w:val="TableContents"/>
              <w:bidi w:val="0"/>
              <w:spacing w:before="0" w:after="283"/>
              <w:rPr/>
            </w:pPr>
            <w:r>
              <w:rPr>
                <w:rStyle w:val="Strong"/>
              </w:rPr>
              <w:t>10.2</w:t>
            </w:r>
            <w:r>
              <w:rPr/>
              <w:t xml:space="preserve"> In order to avoid blockages, the Buyer already authorizes the deletion of the priority notice of conveyance in the event that the secured claim no longer exists as a result of withdrawal, mutually agreed cancellation, final non-payment of the Purchase Price or other settlement. The Notary may make use of this authorisation if the Seller informs him of the settlement of the secured claim in text form and the Buyer does not object within ten banking working days after the notarial hearing.</w:t>
            </w:r>
          </w:p>
        </w:tc>
      </w:tr>
      <w:tr>
        <w:trPr/>
        <w:tc>
          <w:tcPr>
            <w:tcW w:w="7738" w:type="dxa"/>
            <w:tcBorders/>
            <w:vAlign w:val="center"/>
          </w:tcPr>
          <w:p>
            <w:pPr>
              <w:pStyle w:val="TableContents"/>
              <w:bidi w:val="0"/>
              <w:spacing w:before="0" w:after="283"/>
              <w:rPr/>
            </w:pPr>
            <w:r>
              <w:rPr>
                <w:rStyle w:val="Strong"/>
              </w:rPr>
              <w:t>10.3</w:t>
            </w:r>
            <w:r>
              <w:rPr/>
              <w:t xml:space="preserve"> Der Käufer beantragt schon heute die Löschung der Eigentumsvormerkung Zug um Zug mit Vollzug der Auflassung.</w:t>
            </w:r>
          </w:p>
        </w:tc>
        <w:tc>
          <w:tcPr>
            <w:tcW w:w="7796" w:type="dxa"/>
            <w:tcBorders/>
            <w:vAlign w:val="center"/>
          </w:tcPr>
          <w:p>
            <w:pPr>
              <w:pStyle w:val="TableContents"/>
              <w:bidi w:val="0"/>
              <w:spacing w:before="0" w:after="283"/>
              <w:rPr/>
            </w:pPr>
            <w:r>
              <w:rPr>
                <w:rStyle w:val="Strong"/>
              </w:rPr>
              <w:t>10.3</w:t>
            </w:r>
            <w:r>
              <w:rPr/>
              <w:t xml:space="preserve"> The Buyer already today requests the deletion of the priority notice of conveyance concurrently with completion of the conveyance.</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32" w:name="auflassung"/>
            <w:bookmarkEnd w:id="32"/>
            <w:r>
              <w:rPr/>
              <w:t>§ 11 Auflassung</w:t>
            </w:r>
          </w:p>
        </w:tc>
        <w:tc>
          <w:tcPr>
            <w:tcW w:w="7796" w:type="dxa"/>
            <w:tcBorders/>
            <w:vAlign w:val="center"/>
          </w:tcPr>
          <w:p>
            <w:pPr>
              <w:pStyle w:val="Heading1"/>
              <w:bidi w:val="0"/>
              <w:spacing w:before="240" w:after="283"/>
              <w:ind w:hanging="0" w:start="0" w:end="0"/>
              <w:rPr/>
            </w:pPr>
            <w:bookmarkStart w:id="33" w:name="discontinuation"/>
            <w:bookmarkEnd w:id="33"/>
            <w:r>
              <w:rPr/>
              <w:t>§ 11 Discontinuation</w:t>
            </w:r>
          </w:p>
        </w:tc>
      </w:tr>
      <w:tr>
        <w:trPr/>
        <w:tc>
          <w:tcPr>
            <w:tcW w:w="7738" w:type="dxa"/>
            <w:tcBorders/>
            <w:vAlign w:val="center"/>
          </w:tcPr>
          <w:p>
            <w:pPr>
              <w:pStyle w:val="TableContents"/>
              <w:bidi w:val="0"/>
              <w:spacing w:before="0" w:after="283"/>
              <w:rPr/>
            </w:pPr>
            <w:r>
              <w:rPr/>
              <w:t>Verkäufer und Käufer sind über den Eigentumsübergang einig. Sie bewilligen und beantragen die Eintragung der Eigentumsänderung im Grundbuch. Der Notar wird angewiesen, die Auflassung erst nach Eingang des vollständigen Kaufpreises sowie Vorlage einer Bestätigung des Verkäufers über die Fertigstellung beim Grundbuchamt zur Eintragung zu bringen.</w:t>
            </w:r>
          </w:p>
        </w:tc>
        <w:tc>
          <w:tcPr>
            <w:tcW w:w="7796" w:type="dxa"/>
            <w:tcBorders/>
            <w:vAlign w:val="center"/>
          </w:tcPr>
          <w:p>
            <w:pPr>
              <w:pStyle w:val="TableContents"/>
              <w:bidi w:val="0"/>
              <w:spacing w:before="0" w:after="283"/>
              <w:rPr/>
            </w:pPr>
            <w:r>
              <w:rPr/>
              <w:t>The Seller and Buyer agree on the transfer of ownership. They approve and apply for the registration of the property change in the Land Register. The Notary is instructed to bring the registration only after receipt of the full Purchase Price and presentation of a confirmation of completion by the Seller to the Land Registry for registration.</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34" w:name="vollmachten"/>
            <w:bookmarkEnd w:id="34"/>
            <w:r>
              <w:rPr/>
              <w:t>§ 12 Vollmachten</w:t>
            </w:r>
          </w:p>
        </w:tc>
        <w:tc>
          <w:tcPr>
            <w:tcW w:w="7796" w:type="dxa"/>
            <w:tcBorders/>
            <w:vAlign w:val="center"/>
          </w:tcPr>
          <w:p>
            <w:pPr>
              <w:pStyle w:val="Heading1"/>
              <w:bidi w:val="0"/>
              <w:spacing w:before="240" w:after="283"/>
              <w:ind w:hanging="0" w:start="0" w:end="0"/>
              <w:rPr/>
            </w:pPr>
            <w:bookmarkStart w:id="35" w:name="section-12-powers-of-attorney"/>
            <w:bookmarkEnd w:id="35"/>
            <w:r>
              <w:rPr/>
              <w:t>Section 12 Powers of Attorney</w:t>
            </w:r>
          </w:p>
        </w:tc>
      </w:tr>
      <w:tr>
        <w:trPr/>
        <w:tc>
          <w:tcPr>
            <w:tcW w:w="7738" w:type="dxa"/>
            <w:tcBorders/>
            <w:vAlign w:val="center"/>
          </w:tcPr>
          <w:p>
            <w:pPr>
              <w:pStyle w:val="TableContents"/>
              <w:bidi w:val="0"/>
              <w:spacing w:before="0" w:after="283"/>
              <w:rPr/>
            </w:pPr>
            <w:r>
              <w:rPr>
                <w:rStyle w:val="Strong"/>
              </w:rPr>
              <w:t>12.1</w:t>
            </w:r>
            <w:r>
              <w:rPr/>
              <w:t xml:space="preserve"> Der Käufer bevollmächtigt den Verkäufer, die Teilungserklärung einschließlich Gemeinschaftsordnung ohne weitere Mitwirkung des Käufers zu ändern, soweit dies zur Durchführung des Gesamtprojekts, zur Anpassung der Aufteilungspläne, zur Berichtigung offenbarer Unrichtigkeiten, zur Bildung oder Anpassung von Untergemeinschaften, zur Verschiebung oder Konkretisierung von Sondernutzungsrechten, zur Änderung technischer Gemeinschaftsflächen oder zur sachgerechten Kostenverteilung erforderlich oder zweckmäßig ist. Die Vollmacht erstreckt sich auch auf die Sondereigentumseinheit des Käufers, soweit deren wirtschaftlicher Zuschnitt nicht wesentlich verändert wird.</w:t>
            </w:r>
          </w:p>
        </w:tc>
        <w:tc>
          <w:tcPr>
            <w:tcW w:w="7796" w:type="dxa"/>
            <w:tcBorders/>
            <w:vAlign w:val="center"/>
          </w:tcPr>
          <w:p>
            <w:pPr>
              <w:pStyle w:val="TableContents"/>
              <w:bidi w:val="0"/>
              <w:spacing w:before="0" w:after="283"/>
              <w:rPr/>
            </w:pPr>
            <w:r>
              <w:rPr>
                <w:rStyle w:val="Strong"/>
              </w:rPr>
              <w:t>12.1</w:t>
            </w:r>
            <w:r>
              <w:rPr/>
              <w:t xml:space="preserve"> The Purchaser shall authorise the Seller to amend the declaration of division, including Community rules, without further involvement of the Purchaser, insofar as this is necessary or appropriate for the implementation of the overall project, for the adjustment of the distribution plans, for the correction of obvious errors, for the formation or adaptation of sub-communities, for the postponement or concretisation of special use rights, for the modification of technical common areas or for the proper allocation of costs. The power of attorney also extends to the special ownership unit of the Buyer, insofar as its economic shape is not significantly changed.</w:t>
            </w:r>
          </w:p>
        </w:tc>
      </w:tr>
      <w:tr>
        <w:trPr/>
        <w:tc>
          <w:tcPr>
            <w:tcW w:w="7738" w:type="dxa"/>
            <w:tcBorders/>
            <w:vAlign w:val="center"/>
          </w:tcPr>
          <w:p>
            <w:pPr>
              <w:pStyle w:val="TableContents"/>
              <w:bidi w:val="0"/>
              <w:spacing w:before="0" w:after="283"/>
              <w:rPr/>
            </w:pPr>
            <w:r>
              <w:rPr>
                <w:rStyle w:val="Strong"/>
              </w:rPr>
              <w:t>12.2</w:t>
            </w:r>
            <w:r>
              <w:rPr/>
              <w:t xml:space="preserve"> Die Vollmacht ist im Außenverhältnis unbeschränkt und von den Beschränkungen des § 181 BGB befreit. Im Innenverhältnis soll sie nur projektbezogen und unter Wahrung der berechtigten Interessen des Käufers ausgeübt werden. Ein Widerruf ist nur aus wichtigem Grund zulässig.</w:t>
            </w:r>
          </w:p>
        </w:tc>
        <w:tc>
          <w:tcPr>
            <w:tcW w:w="7796" w:type="dxa"/>
            <w:tcBorders/>
            <w:vAlign w:val="center"/>
          </w:tcPr>
          <w:p>
            <w:pPr>
              <w:pStyle w:val="TableContents"/>
              <w:bidi w:val="0"/>
              <w:spacing w:before="0" w:after="283"/>
              <w:rPr/>
            </w:pPr>
            <w:r>
              <w:rPr>
                <w:rStyle w:val="Strong"/>
              </w:rPr>
              <w:t>12.2</w:t>
            </w:r>
            <w:r>
              <w:rPr/>
              <w:t xml:space="preserve"> The power of attorney is unlimited in external relations and exempt from the restrictions of § 181 BGB. Internally, it should only be exercised on a project-by-project basis and in compliance with the legitimate interests of the Buyer. A revocation is only permitted for an important reason.</w:t>
            </w:r>
          </w:p>
        </w:tc>
      </w:tr>
      <w:tr>
        <w:trPr/>
        <w:tc>
          <w:tcPr>
            <w:tcW w:w="7738" w:type="dxa"/>
            <w:tcBorders/>
            <w:vAlign w:val="center"/>
          </w:tcPr>
          <w:p>
            <w:pPr>
              <w:pStyle w:val="TableContents"/>
              <w:bidi w:val="0"/>
              <w:spacing w:before="0" w:after="283"/>
              <w:rPr/>
            </w:pPr>
            <w:r>
              <w:rPr>
                <w:rStyle w:val="Strong"/>
              </w:rPr>
              <w:t>12.3</w:t>
            </w:r>
            <w:r>
              <w:rPr/>
              <w:t xml:space="preserve"> Der Käufer bevollmächtigt den Verkäufer ferner, sämtliche zur Durchführung dieses Vertrages erforderlichen Anträge, Erklärungen und Verzichte beim Grundbuchamt, bei Behörden und gegenüber Dritten abzugeben.</w:t>
            </w:r>
          </w:p>
        </w:tc>
        <w:tc>
          <w:tcPr>
            <w:tcW w:w="7796" w:type="dxa"/>
            <w:tcBorders/>
            <w:vAlign w:val="center"/>
          </w:tcPr>
          <w:p>
            <w:pPr>
              <w:pStyle w:val="TableContents"/>
              <w:bidi w:val="0"/>
              <w:spacing w:before="0" w:after="283"/>
              <w:rPr/>
            </w:pPr>
            <w:r>
              <w:rPr>
                <w:rStyle w:val="Strong"/>
              </w:rPr>
              <w:t>12.3</w:t>
            </w:r>
            <w:r>
              <w:rPr/>
              <w:t xml:space="preserve"> The Buyer also authorizes the Seller to submit all applications, declarations and waivers necessary for the implementation of this contract to the Land Registry, to authorities and to third parties.</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36" w:name="schlussbestimmungen"/>
            <w:bookmarkEnd w:id="36"/>
            <w:r>
              <w:rPr/>
              <w:t>§ 13 Schlussbestimmungen</w:t>
            </w:r>
          </w:p>
        </w:tc>
        <w:tc>
          <w:tcPr>
            <w:tcW w:w="7796" w:type="dxa"/>
            <w:tcBorders/>
            <w:vAlign w:val="center"/>
          </w:tcPr>
          <w:p>
            <w:pPr>
              <w:pStyle w:val="Heading1"/>
              <w:bidi w:val="0"/>
              <w:spacing w:before="240" w:after="283"/>
              <w:ind w:hanging="0" w:start="0" w:end="0"/>
              <w:rPr/>
            </w:pPr>
            <w:bookmarkStart w:id="37" w:name="final-provisions"/>
            <w:bookmarkEnd w:id="37"/>
            <w:r>
              <w:rPr/>
              <w:t>§ 13 Final provisions</w:t>
            </w:r>
          </w:p>
        </w:tc>
      </w:tr>
      <w:tr>
        <w:trPr/>
        <w:tc>
          <w:tcPr>
            <w:tcW w:w="7738" w:type="dxa"/>
            <w:tcBorders/>
            <w:vAlign w:val="center"/>
          </w:tcPr>
          <w:p>
            <w:pPr>
              <w:pStyle w:val="TableContents"/>
              <w:bidi w:val="0"/>
              <w:spacing w:before="0" w:after="283"/>
              <w:rPr/>
            </w:pPr>
            <w:r>
              <w:rPr>
                <w:rStyle w:val="Strong"/>
              </w:rPr>
              <w:t>13.1</w:t>
            </w:r>
            <w:r>
              <w:rPr/>
              <w:t xml:space="preserve"> Mündliche Nebenabreden bestehen nicht. Änderungen und Ergänzungen dieses Vertrages bedürfen der notariellen Beurkundung, soweit gesetzlich vorgeschrieben, im Übrigen der Schriftform.</w:t>
            </w:r>
          </w:p>
        </w:tc>
        <w:tc>
          <w:tcPr>
            <w:tcW w:w="7796" w:type="dxa"/>
            <w:tcBorders/>
            <w:vAlign w:val="center"/>
          </w:tcPr>
          <w:p>
            <w:pPr>
              <w:pStyle w:val="TableContents"/>
              <w:bidi w:val="0"/>
              <w:spacing w:before="0" w:after="283"/>
              <w:rPr/>
            </w:pPr>
            <w:r>
              <w:rPr>
                <w:rStyle w:val="Strong"/>
              </w:rPr>
              <w:t>13.1</w:t>
            </w:r>
            <w:r>
              <w:rPr/>
              <w:t xml:space="preserve"> Oral ancillary arrangements do not exist. Amendments and additions to this contract require notarization, as required by law, otherwise in writing.</w:t>
            </w:r>
          </w:p>
        </w:tc>
      </w:tr>
      <w:tr>
        <w:trPr/>
        <w:tc>
          <w:tcPr>
            <w:tcW w:w="7738" w:type="dxa"/>
            <w:tcBorders/>
            <w:vAlign w:val="center"/>
          </w:tcPr>
          <w:p>
            <w:pPr>
              <w:pStyle w:val="TableContents"/>
              <w:bidi w:val="0"/>
              <w:spacing w:before="0" w:after="283"/>
              <w:rPr/>
            </w:pPr>
            <w:r>
              <w:rPr>
                <w:rStyle w:val="Strong"/>
              </w:rPr>
              <w:t>13.2</w:t>
            </w:r>
            <w:r>
              <w:rPr/>
              <w:t xml:space="preserve"> Sollte eine Bestimmung dieses Vertrages unwirksam sein oder werden, so wird die Wirksamkeit der übrigen Bestimmungen davon nicht berührt.</w:t>
            </w:r>
          </w:p>
        </w:tc>
        <w:tc>
          <w:tcPr>
            <w:tcW w:w="7796" w:type="dxa"/>
            <w:tcBorders/>
            <w:vAlign w:val="center"/>
          </w:tcPr>
          <w:p>
            <w:pPr>
              <w:pStyle w:val="TableContents"/>
              <w:bidi w:val="0"/>
              <w:spacing w:before="0" w:after="283"/>
              <w:rPr/>
            </w:pPr>
            <w:r>
              <w:rPr>
                <w:rStyle w:val="Strong"/>
              </w:rPr>
              <w:t>13.2</w:t>
            </w:r>
            <w:r>
              <w:rPr/>
              <w:t xml:space="preserve"> Should a provision of this contract be or become ineffective, the effectiveness of the other provisions shall not be affected.</w:t>
            </w:r>
          </w:p>
        </w:tc>
      </w:tr>
      <w:tr>
        <w:trPr/>
        <w:tc>
          <w:tcPr>
            <w:tcW w:w="7738" w:type="dxa"/>
            <w:tcBorders/>
            <w:vAlign w:val="center"/>
          </w:tcPr>
          <w:p>
            <w:pPr>
              <w:pStyle w:val="TableContents"/>
              <w:bidi w:val="0"/>
              <w:spacing w:before="0" w:after="283"/>
              <w:rPr/>
            </w:pPr>
            <w:r>
              <w:rPr>
                <w:rStyle w:val="Strong"/>
              </w:rPr>
              <w:t>13.3</w:t>
            </w:r>
            <w:r>
              <w:rPr/>
              <w:t xml:space="preserve"> Gerichtsstand für sämtliche Streitigkeiten aus diesem Vertrag ist Berlin, soweit dies rechtlich zulässig ist.</w:t>
            </w:r>
          </w:p>
        </w:tc>
        <w:tc>
          <w:tcPr>
            <w:tcW w:w="7796" w:type="dxa"/>
            <w:tcBorders/>
            <w:vAlign w:val="center"/>
          </w:tcPr>
          <w:p>
            <w:pPr>
              <w:pStyle w:val="TableContents"/>
              <w:bidi w:val="0"/>
              <w:spacing w:before="0" w:after="283"/>
              <w:rPr/>
            </w:pPr>
            <w:r>
              <w:rPr>
                <w:rStyle w:val="Strong"/>
              </w:rPr>
              <w:t>13.3</w:t>
            </w:r>
            <w:r>
              <w:rPr/>
              <w:t xml:space="preserve"> The place of jurisdiction for all disputes arising from this contract is Berlin, as far as this is legally permissible.</w:t>
            </w:r>
          </w:p>
        </w:tc>
      </w:tr>
      <w:tr>
        <w:trPr/>
        <w:tc>
          <w:tcPr>
            <w:tcW w:w="7738" w:type="dxa"/>
            <w:tcBorders/>
            <w:vAlign w:val="center"/>
          </w:tcPr>
          <w:p>
            <w:pPr>
              <w:pStyle w:val="TableContents"/>
              <w:bidi w:val="0"/>
              <w:spacing w:before="0" w:after="283"/>
              <w:rPr/>
            </w:pPr>
            <w:r>
              <w:rPr>
                <w:rStyle w:val="Strong"/>
              </w:rPr>
              <w:t>13.4</w:t>
            </w:r>
            <w:r>
              <w:rPr/>
              <w:t xml:space="preserve"> Die Kosten dieser Urkunde und ihres Vollzugs trägt der Käufer.</w:t>
            </w:r>
          </w:p>
        </w:tc>
        <w:tc>
          <w:tcPr>
            <w:tcW w:w="7796" w:type="dxa"/>
            <w:tcBorders/>
            <w:vAlign w:val="center"/>
          </w:tcPr>
          <w:p>
            <w:pPr>
              <w:pStyle w:val="TableContents"/>
              <w:bidi w:val="0"/>
              <w:spacing w:before="0" w:after="283"/>
              <w:rPr/>
            </w:pPr>
            <w:r>
              <w:rPr>
                <w:rStyle w:val="Strong"/>
              </w:rPr>
              <w:t>13.4</w:t>
            </w:r>
            <w:r>
              <w:rPr/>
              <w:t xml:space="preserve"> The costs of this document and its execution shall be borne by the Buyer.</w:t>
            </w:r>
          </w:p>
        </w:tc>
      </w:tr>
      <w:tr>
        <w:trPr/>
        <w:tc>
          <w:tcPr>
            <w:tcW w:w="7738" w:type="dxa"/>
            <w:tcBorders/>
            <w:vAlign w:val="center"/>
          </w:tcPr>
          <w:p>
            <w:pPr>
              <w:pStyle w:val="TableContents"/>
              <w:bidi w:val="0"/>
              <w:spacing w:before="0" w:after="283"/>
              <w:rPr/>
            </w:pPr>
            <w:r>
              <w:rPr>
                <w:rStyle w:val="Strong"/>
              </w:rPr>
              <w:t>13.5</w:t>
            </w:r>
            <w:r>
              <w:rPr/>
              <w:t xml:space="preserve"> Der Käufer trägt die auf die Einheit 4.27 und den Stellplatz TG-127 entfallenden Kosten der erstmaligen Einrichtung und Übergabe der WEG-Verwaltung, der technischen Betriebsführung, der Einweisung in Aufzug, Tiefgarage, Wärmeversorgung, Rauchabzug und Messsysteme sowie der für die Erstbetriebsphase abgeschlossenen Wartungs- und Dienstleistungsverträge. Eine Überprüfung der Wirtschaftlichkeit dieser Verträge durch einzelne Erwerber ist vor Übergabe des Gemeinschaftseigentums nicht geschuldet.</w:t>
            </w:r>
          </w:p>
        </w:tc>
        <w:tc>
          <w:tcPr>
            <w:tcW w:w="7796" w:type="dxa"/>
            <w:tcBorders/>
            <w:vAlign w:val="center"/>
          </w:tcPr>
          <w:p>
            <w:pPr>
              <w:pStyle w:val="TableContents"/>
              <w:bidi w:val="0"/>
              <w:spacing w:before="0" w:after="283"/>
              <w:rPr/>
            </w:pPr>
            <w:r>
              <w:rPr>
                <w:rStyle w:val="Strong"/>
              </w:rPr>
              <w:t>13.5</w:t>
            </w:r>
            <w:r>
              <w:rPr/>
              <w:t xml:space="preserve"> The Purchaser shall bear the costs of unit 4.27 and parking space TG-127 for the initial installation and handover of the WEG administration, technical management, instruction in the lift, underground parking, heat supply, smoke extraction and measuring systems, as well as the maintenance and service contracts concluded for the initial operation phase. A check of the profitability of these contracts by individual acquirers is not owed before transfer of the Common Property.</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38" w:name="belehrungen"/>
            <w:bookmarkEnd w:id="38"/>
            <w:r>
              <w:rPr/>
              <w:t>§ 14 Belehrungen</w:t>
            </w:r>
          </w:p>
        </w:tc>
        <w:tc>
          <w:tcPr>
            <w:tcW w:w="7796" w:type="dxa"/>
            <w:tcBorders/>
            <w:vAlign w:val="center"/>
          </w:tcPr>
          <w:p>
            <w:pPr>
              <w:pStyle w:val="Heading1"/>
              <w:bidi w:val="0"/>
              <w:spacing w:before="240" w:after="283"/>
              <w:ind w:hanging="0" w:start="0" w:end="0"/>
              <w:rPr/>
            </w:pPr>
            <w:bookmarkStart w:id="39" w:name="instructions"/>
            <w:bookmarkEnd w:id="39"/>
            <w:r>
              <w:rPr/>
              <w:t>§ 14 Instructions</w:t>
            </w:r>
          </w:p>
        </w:tc>
      </w:tr>
      <w:tr>
        <w:trPr/>
        <w:tc>
          <w:tcPr>
            <w:tcW w:w="7738" w:type="dxa"/>
            <w:tcBorders/>
            <w:vAlign w:val="center"/>
          </w:tcPr>
          <w:p>
            <w:pPr>
              <w:pStyle w:val="TableContents"/>
              <w:bidi w:val="0"/>
              <w:spacing w:before="0" w:after="283"/>
              <w:rPr/>
            </w:pPr>
            <w:r>
              <w:rPr/>
              <w:t>Der Notar hat die Beteiligten belehrt über:</w:t>
            </w:r>
          </w:p>
        </w:tc>
        <w:tc>
          <w:tcPr>
            <w:tcW w:w="7796" w:type="dxa"/>
            <w:tcBorders/>
            <w:vAlign w:val="center"/>
          </w:tcPr>
          <w:p>
            <w:pPr>
              <w:pStyle w:val="TableContents"/>
              <w:bidi w:val="0"/>
              <w:spacing w:before="0" w:after="283"/>
              <w:rPr/>
            </w:pPr>
            <w:r>
              <w:rPr/>
              <w:t>The Notary has informed the participants about:</w:t>
            </w:r>
          </w:p>
        </w:tc>
      </w:tr>
      <w:tr>
        <w:trPr/>
        <w:tc>
          <w:tcPr>
            <w:tcW w:w="7738" w:type="dxa"/>
            <w:tcBorders/>
            <w:vAlign w:val="center"/>
          </w:tcPr>
          <w:p>
            <w:pPr>
              <w:pStyle w:val="TableContents"/>
              <w:numPr>
                <w:ilvl w:val="0"/>
                <w:numId w:val="10"/>
              </w:numPr>
              <w:tabs>
                <w:tab w:val="clear" w:pos="1134"/>
                <w:tab w:val="left" w:pos="709" w:leader="none"/>
              </w:tabs>
              <w:bidi w:val="0"/>
              <w:spacing w:before="0" w:after="0"/>
              <w:ind w:hanging="283" w:start="709"/>
              <w:rPr/>
            </w:pPr>
            <w:r>
              <w:rPr/>
              <w:t xml:space="preserve">den Inhalt und die Bedeutung dieses Vertrages, </w:t>
            </w:r>
          </w:p>
          <w:p>
            <w:pPr>
              <w:pStyle w:val="TableContents"/>
              <w:numPr>
                <w:ilvl w:val="0"/>
                <w:numId w:val="10"/>
              </w:numPr>
              <w:tabs>
                <w:tab w:val="clear" w:pos="1134"/>
                <w:tab w:val="left" w:pos="709" w:leader="none"/>
              </w:tabs>
              <w:bidi w:val="0"/>
              <w:spacing w:before="0" w:after="0"/>
              <w:ind w:hanging="283" w:start="709"/>
              <w:rPr/>
            </w:pPr>
            <w:r>
              <w:rPr/>
              <w:t xml:space="preserve">die Bedeutung der Bezugnahme nach § 13c BeurkG, </w:t>
            </w:r>
          </w:p>
          <w:p>
            <w:pPr>
              <w:pStyle w:val="TableContents"/>
              <w:numPr>
                <w:ilvl w:val="0"/>
                <w:numId w:val="10"/>
              </w:numPr>
              <w:tabs>
                <w:tab w:val="clear" w:pos="1134"/>
                <w:tab w:val="left" w:pos="709" w:leader="none"/>
              </w:tabs>
              <w:bidi w:val="0"/>
              <w:spacing w:before="0" w:after="0"/>
              <w:ind w:hanging="283" w:start="709"/>
              <w:rPr/>
            </w:pPr>
            <w:r>
              <w:rPr/>
              <w:t xml:space="preserve">die Eigentumsübertragung erst mit Eintragung im Grundbuch, </w:t>
            </w:r>
          </w:p>
          <w:p>
            <w:pPr>
              <w:pStyle w:val="TableContents"/>
              <w:numPr>
                <w:ilvl w:val="0"/>
                <w:numId w:val="10"/>
              </w:numPr>
              <w:tabs>
                <w:tab w:val="clear" w:pos="1134"/>
                <w:tab w:val="left" w:pos="709" w:leader="none"/>
              </w:tabs>
              <w:bidi w:val="0"/>
              <w:spacing w:before="0" w:after="0"/>
              <w:ind w:hanging="283" w:start="709"/>
              <w:rPr/>
            </w:pPr>
            <w:r>
              <w:rPr/>
              <w:t xml:space="preserve">die Bedeutung der Auflassungsvormerkung, </w:t>
            </w:r>
          </w:p>
          <w:p>
            <w:pPr>
              <w:pStyle w:val="TableContents"/>
              <w:numPr>
                <w:ilvl w:val="0"/>
                <w:numId w:val="10"/>
              </w:numPr>
              <w:tabs>
                <w:tab w:val="clear" w:pos="1134"/>
                <w:tab w:val="left" w:pos="709" w:leader="none"/>
              </w:tabs>
              <w:bidi w:val="0"/>
              <w:spacing w:before="0" w:after="0"/>
              <w:ind w:hanging="283" w:start="709"/>
              <w:rPr/>
            </w:pPr>
            <w:r>
              <w:rPr/>
              <w:t xml:space="preserve">die Bedeutung der Belastungsvollmacht, </w:t>
            </w:r>
          </w:p>
          <w:p>
            <w:pPr>
              <w:pStyle w:val="TableContents"/>
              <w:numPr>
                <w:ilvl w:val="0"/>
                <w:numId w:val="10"/>
              </w:numPr>
              <w:tabs>
                <w:tab w:val="clear" w:pos="1134"/>
                <w:tab w:val="left" w:pos="709" w:leader="none"/>
              </w:tabs>
              <w:bidi w:val="0"/>
              <w:spacing w:before="0" w:after="0"/>
              <w:ind w:hanging="283" w:start="709"/>
              <w:rPr/>
            </w:pPr>
            <w:r>
              <w:rPr/>
              <w:t xml:space="preserve">die gesetzliche Verjährungsfrist für Mängelansprüche im Werkvertragsrecht, </w:t>
            </w:r>
          </w:p>
          <w:p>
            <w:pPr>
              <w:pStyle w:val="TableContents"/>
              <w:numPr>
                <w:ilvl w:val="0"/>
                <w:numId w:val="10"/>
              </w:numPr>
              <w:tabs>
                <w:tab w:val="clear" w:pos="1134"/>
                <w:tab w:val="left" w:pos="709" w:leader="none"/>
              </w:tabs>
              <w:bidi w:val="0"/>
              <w:spacing w:before="0" w:after="283"/>
              <w:ind w:hanging="283" w:start="709"/>
              <w:rPr/>
            </w:pPr>
            <w:r>
              <w:rPr/>
              <w:t xml:space="preserve">die Möglichkeit, eigene technische Berater hinzuzuziehen, wobei der Notar keine technische Prüfung des Baugrunds, der Bauüberwachung, der Fachplanung oder der Wirtschaftlichkeit von Betriebs- und Wartungsverträgen vorgenommen hat. </w:t>
            </w:r>
          </w:p>
        </w:tc>
        <w:tc>
          <w:tcPr>
            <w:tcW w:w="7796" w:type="dxa"/>
            <w:tcBorders/>
            <w:vAlign w:val="center"/>
          </w:tcPr>
          <w:p>
            <w:pPr>
              <w:pStyle w:val="TableContents"/>
              <w:numPr>
                <w:ilvl w:val="0"/>
                <w:numId w:val="11"/>
              </w:numPr>
              <w:tabs>
                <w:tab w:val="clear" w:pos="1134"/>
                <w:tab w:val="left" w:pos="709" w:leader="none"/>
              </w:tabs>
              <w:bidi w:val="0"/>
              <w:spacing w:before="0" w:after="0"/>
              <w:ind w:hanging="283" w:start="709"/>
              <w:rPr/>
            </w:pPr>
            <w:r>
              <w:rPr/>
              <w:t xml:space="preserve">the content and significance of this Treaty, </w:t>
            </w:r>
          </w:p>
          <w:p>
            <w:pPr>
              <w:pStyle w:val="TableContents"/>
              <w:numPr>
                <w:ilvl w:val="0"/>
                <w:numId w:val="11"/>
              </w:numPr>
              <w:tabs>
                <w:tab w:val="clear" w:pos="1134"/>
                <w:tab w:val="left" w:pos="709" w:leader="none"/>
              </w:tabs>
              <w:bidi w:val="0"/>
              <w:spacing w:before="0" w:after="0"/>
              <w:ind w:hanging="283" w:start="709"/>
              <w:rPr/>
            </w:pPr>
            <w:r>
              <w:rPr/>
              <w:t xml:space="preserve">the meaning of the reference pursuant to § 13c BeurkG, </w:t>
            </w:r>
          </w:p>
          <w:p>
            <w:pPr>
              <w:pStyle w:val="TableContents"/>
              <w:numPr>
                <w:ilvl w:val="0"/>
                <w:numId w:val="11"/>
              </w:numPr>
              <w:tabs>
                <w:tab w:val="clear" w:pos="1134"/>
                <w:tab w:val="left" w:pos="709" w:leader="none"/>
              </w:tabs>
              <w:bidi w:val="0"/>
              <w:spacing w:before="0" w:after="0"/>
              <w:ind w:hanging="283" w:start="709"/>
              <w:rPr/>
            </w:pPr>
            <w:r>
              <w:rPr/>
              <w:t xml:space="preserve">the transfer of ownership only upon registration in the Land Register, </w:t>
            </w:r>
          </w:p>
          <w:p>
            <w:pPr>
              <w:pStyle w:val="TableContents"/>
              <w:numPr>
                <w:ilvl w:val="0"/>
                <w:numId w:val="11"/>
              </w:numPr>
              <w:tabs>
                <w:tab w:val="clear" w:pos="1134"/>
                <w:tab w:val="left" w:pos="709" w:leader="none"/>
              </w:tabs>
              <w:bidi w:val="0"/>
              <w:spacing w:before="0" w:after="0"/>
              <w:ind w:hanging="283" w:start="709"/>
              <w:rPr/>
            </w:pPr>
            <w:r>
              <w:rPr/>
              <w:t xml:space="preserve">the importance of the injunction, </w:t>
            </w:r>
          </w:p>
          <w:p>
            <w:pPr>
              <w:pStyle w:val="TableContents"/>
              <w:numPr>
                <w:ilvl w:val="0"/>
                <w:numId w:val="11"/>
              </w:numPr>
              <w:tabs>
                <w:tab w:val="clear" w:pos="1134"/>
                <w:tab w:val="left" w:pos="709" w:leader="none"/>
              </w:tabs>
              <w:bidi w:val="0"/>
              <w:spacing w:before="0" w:after="0"/>
              <w:ind w:hanging="283" w:start="709"/>
              <w:rPr/>
            </w:pPr>
            <w:r>
              <w:rPr/>
              <w:t xml:space="preserve">the importance of the power of attorney; </w:t>
            </w:r>
          </w:p>
          <w:p>
            <w:pPr>
              <w:pStyle w:val="TableContents"/>
              <w:numPr>
                <w:ilvl w:val="0"/>
                <w:numId w:val="11"/>
              </w:numPr>
              <w:tabs>
                <w:tab w:val="clear" w:pos="1134"/>
                <w:tab w:val="left" w:pos="709" w:leader="none"/>
              </w:tabs>
              <w:bidi w:val="0"/>
              <w:spacing w:before="0" w:after="0"/>
              <w:ind w:hanging="283" w:start="709"/>
              <w:rPr/>
            </w:pPr>
            <w:r>
              <w:rPr/>
              <w:t xml:space="preserve">the statutory limitation period for claims for defects in work contract law, </w:t>
            </w:r>
          </w:p>
          <w:p>
            <w:pPr>
              <w:pStyle w:val="TableContents"/>
              <w:numPr>
                <w:ilvl w:val="0"/>
                <w:numId w:val="11"/>
              </w:numPr>
              <w:tabs>
                <w:tab w:val="clear" w:pos="1134"/>
                <w:tab w:val="left" w:pos="709" w:leader="none"/>
              </w:tabs>
              <w:bidi w:val="0"/>
              <w:spacing w:before="0" w:after="283"/>
              <w:ind w:hanging="283" w:start="709"/>
              <w:rPr/>
            </w:pPr>
            <w:r>
              <w:rPr/>
              <w:t xml:space="preserve">the possibility of consulting its own technical consultants, where the Notary has not carried out a technical examination of the ground, the construction supervision, the technical planning or the economics of operating and maintenance contracts. </w:t>
            </w:r>
          </w:p>
        </w:tc>
      </w:tr>
      <w:tr>
        <w:trPr/>
        <w:tc>
          <w:tcPr>
            <w:tcW w:w="7738" w:type="dxa"/>
            <w:tcBorders/>
            <w:vAlign w:val="center"/>
          </w:tcPr>
          <w:p>
            <w:pPr>
              <w:pStyle w:val="TableContents"/>
              <w:bidi w:val="0"/>
              <w:spacing w:before="0" w:after="283"/>
              <w:rPr/>
            </w:pPr>
            <w:r>
              <w:rPr/>
              <w:t>Der Notar hat darauf hingewiesen, dass er als unparteiischer Amtsträger keine wirtschaftliche, steuerliche oder bautechnische Beratung übernimmt und keine Interessenvertretung einer Partei leistet. Fragen der Finanzierung, Rentabilität, technischen Zweckmäßigkeit, Wartungskosten, Förderfähigkeit und individuellen steuerlichen Auswirkungen waren nicht Gegenstand der notariellen Prüfung.</w:t>
            </w:r>
          </w:p>
        </w:tc>
        <w:tc>
          <w:tcPr>
            <w:tcW w:w="7796" w:type="dxa"/>
            <w:tcBorders/>
            <w:vAlign w:val="center"/>
          </w:tcPr>
          <w:p>
            <w:pPr>
              <w:pStyle w:val="TableContents"/>
              <w:bidi w:val="0"/>
              <w:spacing w:before="0" w:after="283"/>
              <w:rPr/>
            </w:pPr>
            <w:r>
              <w:rPr/>
              <w:t>The Notary has pointed out that, as an impartial public office holder, he does not provide any economic, tax or structural advice and does not represent the interests of a party. Issues of financing, profitability, technical expediency, maintenance costs, eligibility and individual tax implications were not covered by the notarial audit.</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40" w:name="bezugsurkunden-anlagen-und-vollzugshinwe"/>
            <w:bookmarkEnd w:id="40"/>
            <w:r>
              <w:rPr/>
              <w:t>Bezugsurkunden, Anlagen und Vollzugshinweise</w:t>
            </w:r>
          </w:p>
        </w:tc>
        <w:tc>
          <w:tcPr>
            <w:tcW w:w="7796" w:type="dxa"/>
            <w:tcBorders/>
            <w:vAlign w:val="center"/>
          </w:tcPr>
          <w:p>
            <w:pPr>
              <w:pStyle w:val="Heading1"/>
              <w:bidi w:val="0"/>
              <w:spacing w:before="240" w:after="283"/>
              <w:ind w:hanging="0" w:start="0" w:end="0"/>
              <w:rPr/>
            </w:pPr>
            <w:bookmarkStart w:id="41" w:name="documents-annexes-and-enforcement-instru"/>
            <w:bookmarkEnd w:id="41"/>
            <w:r>
              <w:rPr/>
              <w:t>Documents, annexes and enforcement instructions</w:t>
            </w:r>
          </w:p>
        </w:tc>
      </w:tr>
      <w:tr>
        <w:trPr/>
        <w:tc>
          <w:tcPr>
            <w:tcW w:w="7738" w:type="dxa"/>
            <w:tcBorders/>
            <w:vAlign w:val="center"/>
          </w:tcPr>
          <w:p>
            <w:pPr>
              <w:pStyle w:val="TableContents"/>
              <w:bidi w:val="0"/>
              <w:spacing w:before="0" w:after="283"/>
              <w:rPr/>
            </w:pPr>
            <w:r>
              <w:rPr>
                <w:rStyle w:val="Strong"/>
              </w:rPr>
              <w:t>Bezugsurkunde 1</w:t>
            </w:r>
            <w:r>
              <w:rPr/>
              <w:t xml:space="preserve"> — Teilungserklärung einschließlich Gemeinschaftsordnung vom 18. Juli 2024, UR-Nr. 612/2024 W des Notars Egmont Wachtelborn, Berlin, in der Fassung des 1. bis 7. Nachtrags (UR-Nrn. 731/2024 W, 942/2024 W, 28/2025 W, 412/2025 W, 698/2025 W, 1108/2025 W und 187/2026 W). Auf das Verlesen wird gemäß § 13c BeurkG verzichtet (siehe Unterschriftenvermerk).</w:t>
            </w:r>
          </w:p>
        </w:tc>
        <w:tc>
          <w:tcPr>
            <w:tcW w:w="7796" w:type="dxa"/>
            <w:tcBorders/>
            <w:vAlign w:val="center"/>
          </w:tcPr>
          <w:p>
            <w:pPr>
              <w:pStyle w:val="TableContents"/>
              <w:bidi w:val="0"/>
              <w:spacing w:before="0" w:after="283"/>
              <w:rPr/>
            </w:pPr>
            <w:r>
              <w:rPr/>
              <w:t>Referenced Deed 1 — Declaration of division including Community rules of 18 July 2024, UR No 612/2024 W of the Notary Egmont Wachtelborn, Berlin, as amended by the 1st to 7th addendum (UR Nos.) 731/2024 W, 942/2024 W, 28/2025 W, 412/2025 W, 698/2025 W, 1108/2025 W and 187/2026 W. Reading is waived in accordance with § 13c BeurkG (see signature note).</w:t>
            </w:r>
          </w:p>
        </w:tc>
      </w:tr>
      <w:tr>
        <w:trPr/>
        <w:tc>
          <w:tcPr>
            <w:tcW w:w="7738" w:type="dxa"/>
            <w:tcBorders/>
            <w:vAlign w:val="center"/>
          </w:tcPr>
          <w:p>
            <w:pPr>
              <w:pStyle w:val="TableContents"/>
              <w:bidi w:val="0"/>
              <w:spacing w:before="0" w:after="283"/>
              <w:rPr/>
            </w:pPr>
            <w:r>
              <w:rPr>
                <w:rStyle w:val="Strong"/>
              </w:rPr>
              <w:t>Anhang a</w:t>
            </w:r>
            <w:r>
              <w:rPr/>
              <w:t xml:space="preserve"> — beglaubigte Fotokopie der Vollmacht der Erschienenen zu 1. vom 22.10.2025, UR-Nr. 1402/2025 W des Notars Egmont Wachtelborn, Berlin.</w:t>
            </w:r>
          </w:p>
        </w:tc>
        <w:tc>
          <w:tcPr>
            <w:tcW w:w="7796" w:type="dxa"/>
            <w:tcBorders/>
            <w:vAlign w:val="center"/>
          </w:tcPr>
          <w:p>
            <w:pPr>
              <w:pStyle w:val="TableContents"/>
              <w:bidi w:val="0"/>
              <w:spacing w:before="0" w:after="283"/>
              <w:rPr/>
            </w:pPr>
            <w:r>
              <w:rPr/>
              <w:t>Annex a — certified photocopy of the power of attorney issued on 1 October 22, 2025, UR No. 1402/2025 W of the Notary Egmont Wachtelborn, Berlin.</w:t>
            </w:r>
          </w:p>
        </w:tc>
      </w:tr>
      <w:tr>
        <w:trPr/>
        <w:tc>
          <w:tcPr>
            <w:tcW w:w="7738" w:type="dxa"/>
            <w:tcBorders/>
            <w:vAlign w:val="center"/>
          </w:tcPr>
          <w:p>
            <w:pPr>
              <w:pStyle w:val="TableContents"/>
              <w:bidi w:val="0"/>
              <w:spacing w:before="0" w:after="283"/>
              <w:rPr/>
            </w:pPr>
            <w:r>
              <w:rPr>
                <w:rStyle w:val="Strong"/>
              </w:rPr>
              <w:t>Lose übergebene Unterlagen (nicht Gegenstand der Beurkundung):</w:t>
            </w:r>
            <w:r>
              <w:rPr/>
              <w:t xml:space="preserve"> Baubeschreibung in der Fassung Februar 2026, Version 7.2; Abgeschlossenheitsbescheinigung; Aufteilungsplan-Auszug zur Einheit 4.27. Diese Unterlagen wurden dem Käufer mit Vertragsunterzeichnung in Druckfassung ausgehändigt.</w:t>
            </w:r>
          </w:p>
        </w:tc>
        <w:tc>
          <w:tcPr>
            <w:tcW w:w="7796" w:type="dxa"/>
            <w:tcBorders/>
            <w:vAlign w:val="center"/>
          </w:tcPr>
          <w:p>
            <w:pPr>
              <w:pStyle w:val="TableContents"/>
              <w:bidi w:val="0"/>
              <w:spacing w:before="0" w:after="283"/>
              <w:rPr/>
            </w:pPr>
            <w:r>
              <w:rPr/>
              <w:t>Lots of documents handed over (not subject of the notarization): Description of the building in the version February 2026, version 7.2; certificate of completion; Subdivision plan extract to unit 4.27. These documents were handed over to the Buyer with contract signature in print.</w:t>
            </w:r>
          </w:p>
        </w:tc>
      </w:tr>
      <w:tr>
        <w:trPr/>
        <w:tc>
          <w:tcPr>
            <w:tcW w:w="7738" w:type="dxa"/>
            <w:tcBorders/>
            <w:vAlign w:val="center"/>
          </w:tcPr>
          <w:p>
            <w:pPr>
              <w:pStyle w:val="TableContents"/>
              <w:bidi w:val="0"/>
              <w:spacing w:before="0" w:after="283"/>
              <w:rPr/>
            </w:pPr>
            <w:r>
              <w:rPr/>
              <w:t>Der Notar wird mit dem Vollzug beauftragt. Er soll Anträge erst stellen, wenn die hierfür erforderlichen Erklärungen und Nachweise vorliegen. Mitteilungen über den Eintritt der Fälligkeitsvoraussetzungen nach § 3 erfolgen schriftlich an beide Parteien.</w:t>
            </w:r>
          </w:p>
        </w:tc>
        <w:tc>
          <w:tcPr>
            <w:tcW w:w="7796" w:type="dxa"/>
            <w:tcBorders/>
            <w:vAlign w:val="center"/>
          </w:tcPr>
          <w:p>
            <w:pPr>
              <w:pStyle w:val="TableContents"/>
              <w:bidi w:val="0"/>
              <w:spacing w:before="0" w:after="283"/>
              <w:rPr/>
            </w:pPr>
            <w:r>
              <w:rPr/>
              <w:t>The Notary is charged with execution. He should not submit applications until the necessary explanations and supporting documents are available. Notices about the occurrence of the due date requirements according to § 3 shall be made in writing to both parties.</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42" w:name="geschäftswert-und-kosten"/>
            <w:bookmarkEnd w:id="42"/>
            <w:r>
              <w:rPr/>
              <w:t>Geschäftswert und Kosten</w:t>
            </w:r>
          </w:p>
        </w:tc>
        <w:tc>
          <w:tcPr>
            <w:tcW w:w="7796" w:type="dxa"/>
            <w:tcBorders/>
            <w:vAlign w:val="center"/>
          </w:tcPr>
          <w:p>
            <w:pPr>
              <w:pStyle w:val="Heading1"/>
              <w:bidi w:val="0"/>
              <w:spacing w:before="240" w:after="283"/>
              <w:ind w:hanging="0" w:start="0" w:end="0"/>
              <w:rPr/>
            </w:pPr>
            <w:bookmarkStart w:id="43" w:name="goodwill-and-costs"/>
            <w:bookmarkEnd w:id="43"/>
            <w:r>
              <w:rPr/>
              <w:t>Goodwill and costs</w:t>
            </w:r>
          </w:p>
        </w:tc>
      </w:tr>
      <w:tr>
        <w:trPr/>
        <w:tc>
          <w:tcPr>
            <w:tcW w:w="7738" w:type="dxa"/>
            <w:tcBorders/>
            <w:vAlign w:val="center"/>
          </w:tcPr>
          <w:p>
            <w:pPr>
              <w:pStyle w:val="TableContents"/>
              <w:bidi w:val="0"/>
              <w:spacing w:before="0" w:after="283"/>
              <w:rPr/>
            </w:pPr>
            <w:r>
              <w:rPr/>
              <w:t>Der Geschäftswert dieser Urkunde wird mit dem Gesamtkaufpreis von 828.000,00 EUR angegeben. Die Kosten dieser Urkunde und ihres Vollzugs trägt nach § 13.4 der Käufer. Auf die zusätzlich anfallende Grunderwerbsteuer sowie die Erschließungs- und Anschlusskosten nach § 7 wurde hingewiesen.</w:t>
            </w:r>
          </w:p>
        </w:tc>
        <w:tc>
          <w:tcPr>
            <w:tcW w:w="7796" w:type="dxa"/>
            <w:tcBorders/>
            <w:vAlign w:val="center"/>
          </w:tcPr>
          <w:p>
            <w:pPr>
              <w:pStyle w:val="TableContents"/>
              <w:bidi w:val="0"/>
              <w:spacing w:before="0" w:after="283"/>
              <w:rPr/>
            </w:pPr>
            <w:r>
              <w:rPr/>
              <w:t>The business value of this deed is indicated with the total Purchase Price of 828,000.00 EUR. The costs of this document and its execution shall be borne by the Buyer in accordance with § 13.4. Reference was made to the additional registration of title tax and the development and connection costs pursuant to § 7.</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44" w:name="unterschriften"/>
            <w:bookmarkEnd w:id="44"/>
            <w:r>
              <w:rPr/>
              <w:t>Unterschriften</w:t>
            </w:r>
          </w:p>
        </w:tc>
        <w:tc>
          <w:tcPr>
            <w:tcW w:w="7796" w:type="dxa"/>
            <w:tcBorders/>
            <w:vAlign w:val="center"/>
          </w:tcPr>
          <w:p>
            <w:pPr>
              <w:pStyle w:val="Heading1"/>
              <w:bidi w:val="0"/>
              <w:spacing w:before="240" w:after="283"/>
              <w:ind w:hanging="0" w:start="0" w:end="0"/>
              <w:rPr/>
            </w:pPr>
            <w:bookmarkStart w:id="45" w:name="signatures"/>
            <w:bookmarkEnd w:id="45"/>
            <w:r>
              <w:rPr/>
              <w:t>Signatures</w:t>
            </w:r>
          </w:p>
        </w:tc>
      </w:tr>
      <w:tr>
        <w:trPr/>
        <w:tc>
          <w:tcPr>
            <w:tcW w:w="7738" w:type="dxa"/>
            <w:tcBorders/>
            <w:vAlign w:val="center"/>
          </w:tcPr>
          <w:p>
            <w:pPr>
              <w:pStyle w:val="TableContents"/>
              <w:bidi w:val="0"/>
              <w:spacing w:before="0" w:after="283"/>
              <w:rPr/>
            </w:pPr>
            <w:r>
              <w:rPr/>
              <w:t>Die Erschienenen erklärten, dass sie auf das Verlesen der Bezugsurkunden verzichten, da ihnen deren Inhalt bekannt ist. Diese Niederschrift wurde den Erschienenen vom Notar vorgelesen, von ihnen genehmigt und sodann eigenhändig wie folgt unterschrieben:</w:t>
            </w:r>
          </w:p>
        </w:tc>
        <w:tc>
          <w:tcPr>
            <w:tcW w:w="7796" w:type="dxa"/>
            <w:tcBorders/>
            <w:vAlign w:val="center"/>
          </w:tcPr>
          <w:p>
            <w:pPr>
              <w:pStyle w:val="TableContents"/>
              <w:bidi w:val="0"/>
              <w:spacing w:before="0" w:after="283"/>
              <w:rPr/>
            </w:pPr>
            <w:r>
              <w:rPr/>
              <w:t>The persons appearing declared that they waived the reading aloud of the referenced deeds because they were familiar with their contents. This record was read aloud to the persons appearing by the Notary, approved by them and then signed by hand as follows:</w:t>
            </w:r>
          </w:p>
        </w:tc>
      </w:tr>
      <w:tr>
        <w:trPr/>
        <w:tc>
          <w:tcPr>
            <w:tcW w:w="7738" w:type="dxa"/>
            <w:tcBorders/>
            <w:vAlign w:val="center"/>
          </w:tcPr>
          <w:p>
            <w:pPr>
              <w:pStyle w:val="TableContents"/>
              <w:bidi w:val="0"/>
              <w:spacing w:before="0" w:after="283"/>
              <w:rPr/>
            </w:pPr>
            <w:r>
              <w:rPr/>
            </w:r>
          </w:p>
        </w:tc>
        <w:tc>
          <w:tcPr>
            <w:tcW w:w="7796" w:type="dxa"/>
            <w:tcBorders/>
            <w:vAlign w:val="center"/>
          </w:tcPr>
          <w:p>
            <w:pPr>
              <w:pStyle w:val="TableContents"/>
              <w:bidi w:val="0"/>
              <w:spacing w:before="0" w:after="283"/>
              <w:rPr/>
            </w:pPr>
            <w:r>
              <w:rPr/>
            </w:r>
          </w:p>
        </w:tc>
      </w:tr>
      <w:tr>
        <w:trPr/>
        <w:tc>
          <w:tcPr>
            <w:tcW w:w="7738" w:type="dxa"/>
            <w:tcBorders/>
            <w:vAlign w:val="center"/>
          </w:tcPr>
          <w:p>
            <w:pPr>
              <w:pStyle w:val="TableContents"/>
              <w:bidi w:val="0"/>
              <w:spacing w:before="0" w:after="283"/>
              <w:rPr/>
            </w:pPr>
            <w:r>
              <w:rPr/>
            </w:r>
          </w:p>
        </w:tc>
        <w:tc>
          <w:tcPr>
            <w:tcW w:w="7796" w:type="dxa"/>
            <w:tcBorders/>
            <w:vAlign w:val="center"/>
          </w:tcPr>
          <w:p>
            <w:pPr>
              <w:pStyle w:val="TableContents"/>
              <w:bidi w:val="0"/>
              <w:spacing w:before="0" w:after="283"/>
              <w:rPr/>
            </w:pPr>
            <w:r>
              <w:rPr/>
            </w:r>
          </w:p>
        </w:tc>
      </w:tr>
      <w:tr>
        <w:trPr/>
        <w:tc>
          <w:tcPr>
            <w:tcW w:w="7738" w:type="dxa"/>
            <w:tcBorders/>
            <w:vAlign w:val="center"/>
          </w:tcPr>
          <w:p>
            <w:pPr>
              <w:pStyle w:val="TableContents"/>
              <w:bidi w:val="0"/>
              <w:spacing w:before="0" w:after="283"/>
              <w:rPr/>
            </w:pPr>
            <w:r>
              <w:rPr/>
              <w:t>——————————————————————————</w:t>
            </w:r>
          </w:p>
        </w:tc>
        <w:tc>
          <w:tcPr>
            <w:tcW w:w="7796" w:type="dxa"/>
            <w:tcBorders/>
            <w:vAlign w:val="center"/>
          </w:tcPr>
          <w:p>
            <w:pPr>
              <w:pStyle w:val="TableContents"/>
              <w:bidi w:val="0"/>
              <w:spacing w:before="0" w:after="283"/>
              <w:rPr/>
            </w:pPr>
            <w:r>
              <w:rPr/>
              <w:t>——————————————————————————</w:t>
            </w:r>
          </w:p>
        </w:tc>
      </w:tr>
      <w:tr>
        <w:trPr/>
        <w:tc>
          <w:tcPr>
            <w:tcW w:w="7738" w:type="dxa"/>
            <w:tcBorders/>
            <w:vAlign w:val="center"/>
          </w:tcPr>
          <w:p>
            <w:pPr>
              <w:pStyle w:val="TableContents"/>
              <w:bidi w:val="0"/>
              <w:spacing w:before="0" w:after="283"/>
              <w:rPr/>
            </w:pPr>
            <w:r>
              <w:rPr/>
              <w:t>Roswitha Quendel-Bingenheimer (für Verkäufer)</w:t>
            </w:r>
          </w:p>
        </w:tc>
        <w:tc>
          <w:tcPr>
            <w:tcW w:w="7796" w:type="dxa"/>
            <w:tcBorders/>
            <w:vAlign w:val="center"/>
          </w:tcPr>
          <w:p>
            <w:pPr>
              <w:pStyle w:val="TableContents"/>
              <w:bidi w:val="0"/>
              <w:spacing w:before="0" w:after="283"/>
              <w:rPr/>
            </w:pPr>
            <w:r>
              <w:rPr/>
              <w:t>Roswitha Quendel-Bingenheimer (for sellers)</w:t>
            </w:r>
          </w:p>
        </w:tc>
      </w:tr>
      <w:tr>
        <w:trPr/>
        <w:tc>
          <w:tcPr>
            <w:tcW w:w="7738" w:type="dxa"/>
            <w:tcBorders/>
            <w:vAlign w:val="center"/>
          </w:tcPr>
          <w:p>
            <w:pPr>
              <w:pStyle w:val="TableContents"/>
              <w:bidi w:val="0"/>
              <w:spacing w:before="0" w:after="283"/>
              <w:rPr/>
            </w:pPr>
            <w:r>
              <w:rPr/>
            </w:r>
          </w:p>
        </w:tc>
        <w:tc>
          <w:tcPr>
            <w:tcW w:w="7796" w:type="dxa"/>
            <w:tcBorders/>
            <w:vAlign w:val="center"/>
          </w:tcPr>
          <w:p>
            <w:pPr>
              <w:pStyle w:val="TableContents"/>
              <w:bidi w:val="0"/>
              <w:spacing w:before="0" w:after="283"/>
              <w:rPr/>
            </w:pPr>
            <w:r>
              <w:rPr/>
            </w:r>
          </w:p>
        </w:tc>
      </w:tr>
      <w:tr>
        <w:trPr/>
        <w:tc>
          <w:tcPr>
            <w:tcW w:w="7738" w:type="dxa"/>
            <w:tcBorders/>
            <w:vAlign w:val="center"/>
          </w:tcPr>
          <w:p>
            <w:pPr>
              <w:pStyle w:val="TableContents"/>
              <w:bidi w:val="0"/>
              <w:spacing w:before="0" w:after="283"/>
              <w:rPr/>
            </w:pPr>
            <w:r>
              <w:rPr/>
            </w:r>
          </w:p>
        </w:tc>
        <w:tc>
          <w:tcPr>
            <w:tcW w:w="7796" w:type="dxa"/>
            <w:tcBorders/>
            <w:vAlign w:val="center"/>
          </w:tcPr>
          <w:p>
            <w:pPr>
              <w:pStyle w:val="TableContents"/>
              <w:bidi w:val="0"/>
              <w:spacing w:before="0" w:after="283"/>
              <w:rPr/>
            </w:pPr>
            <w:r>
              <w:rPr/>
            </w:r>
          </w:p>
        </w:tc>
      </w:tr>
      <w:tr>
        <w:trPr/>
        <w:tc>
          <w:tcPr>
            <w:tcW w:w="7738" w:type="dxa"/>
            <w:tcBorders/>
            <w:vAlign w:val="center"/>
          </w:tcPr>
          <w:p>
            <w:pPr>
              <w:pStyle w:val="TableContents"/>
              <w:bidi w:val="0"/>
              <w:spacing w:before="0" w:after="283"/>
              <w:rPr/>
            </w:pPr>
            <w:r>
              <w:rPr/>
              <w:t>——————————————————————————</w:t>
            </w:r>
          </w:p>
        </w:tc>
        <w:tc>
          <w:tcPr>
            <w:tcW w:w="7796" w:type="dxa"/>
            <w:tcBorders/>
            <w:vAlign w:val="center"/>
          </w:tcPr>
          <w:p>
            <w:pPr>
              <w:pStyle w:val="TableContents"/>
              <w:bidi w:val="0"/>
              <w:spacing w:before="0" w:after="283"/>
              <w:rPr/>
            </w:pPr>
            <w:r>
              <w:rPr/>
              <w:t>——————————————————————————</w:t>
            </w:r>
          </w:p>
        </w:tc>
      </w:tr>
      <w:tr>
        <w:trPr/>
        <w:tc>
          <w:tcPr>
            <w:tcW w:w="7738" w:type="dxa"/>
            <w:tcBorders/>
            <w:vAlign w:val="center"/>
          </w:tcPr>
          <w:p>
            <w:pPr>
              <w:pStyle w:val="TableContents"/>
              <w:bidi w:val="0"/>
              <w:spacing w:before="0" w:after="283"/>
              <w:rPr/>
            </w:pPr>
            <w:r>
              <w:rPr/>
              <w:t>Dr. Eberwein Übelacker-Strohmeyer (Käufer)</w:t>
            </w:r>
          </w:p>
        </w:tc>
        <w:tc>
          <w:tcPr>
            <w:tcW w:w="7796" w:type="dxa"/>
            <w:tcBorders/>
            <w:vAlign w:val="center"/>
          </w:tcPr>
          <w:p>
            <w:pPr>
              <w:pStyle w:val="TableContents"/>
              <w:bidi w:val="0"/>
              <w:spacing w:before="0" w:after="283"/>
              <w:rPr/>
            </w:pPr>
            <w:r>
              <w:rPr/>
              <w:t>Dr. Eberwein Übelacker-Strohmeyer (Buyer)</w:t>
            </w:r>
          </w:p>
        </w:tc>
      </w:tr>
      <w:tr>
        <w:trPr/>
        <w:tc>
          <w:tcPr>
            <w:tcW w:w="7738" w:type="dxa"/>
            <w:tcBorders/>
            <w:vAlign w:val="center"/>
          </w:tcPr>
          <w:p>
            <w:pPr>
              <w:pStyle w:val="TableContents"/>
              <w:bidi w:val="0"/>
              <w:spacing w:before="0" w:after="283"/>
              <w:rPr/>
            </w:pPr>
            <w:r>
              <w:rPr/>
            </w:r>
          </w:p>
        </w:tc>
        <w:tc>
          <w:tcPr>
            <w:tcW w:w="7796" w:type="dxa"/>
            <w:tcBorders/>
            <w:vAlign w:val="center"/>
          </w:tcPr>
          <w:p>
            <w:pPr>
              <w:pStyle w:val="TableContents"/>
              <w:bidi w:val="0"/>
              <w:spacing w:before="0" w:after="283"/>
              <w:rPr/>
            </w:pPr>
            <w:r>
              <w:rPr/>
            </w:r>
          </w:p>
        </w:tc>
      </w:tr>
      <w:tr>
        <w:trPr/>
        <w:tc>
          <w:tcPr>
            <w:tcW w:w="7738" w:type="dxa"/>
            <w:tcBorders/>
            <w:vAlign w:val="center"/>
          </w:tcPr>
          <w:p>
            <w:pPr>
              <w:pStyle w:val="TableContents"/>
              <w:bidi w:val="0"/>
              <w:spacing w:before="0" w:after="283"/>
              <w:rPr/>
            </w:pPr>
            <w:r>
              <w:rPr/>
            </w:r>
          </w:p>
        </w:tc>
        <w:tc>
          <w:tcPr>
            <w:tcW w:w="7796" w:type="dxa"/>
            <w:tcBorders/>
            <w:vAlign w:val="center"/>
          </w:tcPr>
          <w:p>
            <w:pPr>
              <w:pStyle w:val="TableContents"/>
              <w:bidi w:val="0"/>
              <w:spacing w:before="0" w:after="283"/>
              <w:rPr/>
            </w:pPr>
            <w:r>
              <w:rPr/>
            </w:r>
          </w:p>
        </w:tc>
      </w:tr>
      <w:tr>
        <w:trPr/>
        <w:tc>
          <w:tcPr>
            <w:tcW w:w="7738" w:type="dxa"/>
            <w:tcBorders/>
            <w:vAlign w:val="center"/>
          </w:tcPr>
          <w:p>
            <w:pPr>
              <w:pStyle w:val="TableContents"/>
              <w:bidi w:val="0"/>
              <w:spacing w:before="0" w:after="283"/>
              <w:rPr/>
            </w:pPr>
            <w:r>
              <w:rPr/>
              <w:t>——————————————————————————</w:t>
            </w:r>
          </w:p>
        </w:tc>
        <w:tc>
          <w:tcPr>
            <w:tcW w:w="7796" w:type="dxa"/>
            <w:tcBorders/>
            <w:vAlign w:val="center"/>
          </w:tcPr>
          <w:p>
            <w:pPr>
              <w:pStyle w:val="TableContents"/>
              <w:bidi w:val="0"/>
              <w:spacing w:before="0" w:after="283"/>
              <w:rPr/>
            </w:pPr>
            <w:r>
              <w:rPr/>
              <w:t>——————————————————————————</w:t>
            </w:r>
          </w:p>
        </w:tc>
      </w:tr>
      <w:tr>
        <w:trPr/>
        <w:tc>
          <w:tcPr>
            <w:tcW w:w="7738" w:type="dxa"/>
            <w:tcBorders/>
            <w:vAlign w:val="center"/>
          </w:tcPr>
          <w:p>
            <w:pPr>
              <w:pStyle w:val="TableContents"/>
              <w:bidi w:val="0"/>
              <w:spacing w:before="0" w:after="283"/>
              <w:rPr/>
            </w:pPr>
            <w:r>
              <w:rPr/>
              <w:t>Dr. Adalbert von Sickingen-Querfurt, Notar</w:t>
            </w:r>
          </w:p>
        </w:tc>
        <w:tc>
          <w:tcPr>
            <w:tcW w:w="7796" w:type="dxa"/>
            <w:tcBorders/>
            <w:vAlign w:val="center"/>
          </w:tcPr>
          <w:p>
            <w:pPr>
              <w:pStyle w:val="TableContents"/>
              <w:bidi w:val="0"/>
              <w:spacing w:before="0" w:after="283"/>
              <w:rPr/>
            </w:pPr>
            <w:r>
              <w:rPr/>
              <w:t>Dr. Adalbert von Sickingen-Querfurt, Notary</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46" w:name="anlage-baubeschreibung"/>
            <w:bookmarkEnd w:id="46"/>
            <w:r>
              <w:rPr/>
              <w:t>Anlage: Baubeschreibung</w:t>
            </w:r>
          </w:p>
        </w:tc>
        <w:tc>
          <w:tcPr>
            <w:tcW w:w="7796" w:type="dxa"/>
            <w:tcBorders/>
            <w:vAlign w:val="center"/>
          </w:tcPr>
          <w:p>
            <w:pPr>
              <w:pStyle w:val="Heading1"/>
              <w:bidi w:val="0"/>
              <w:spacing w:before="240" w:after="283"/>
              <w:ind w:hanging="0" w:start="0" w:end="0"/>
              <w:rPr/>
            </w:pPr>
            <w:bookmarkStart w:id="47" w:name="annex-building-specification"/>
            <w:bookmarkEnd w:id="47"/>
            <w:r>
              <w:rPr/>
              <w:t>Annex: Building Specification</w:t>
            </w:r>
          </w:p>
        </w:tc>
      </w:tr>
      <w:tr>
        <w:trPr/>
        <w:tc>
          <w:tcPr>
            <w:tcW w:w="7738" w:type="dxa"/>
            <w:tcBorders/>
            <w:vAlign w:val="center"/>
          </w:tcPr>
          <w:p>
            <w:pPr>
              <w:pStyle w:val="TableContents"/>
              <w:bidi w:val="0"/>
              <w:spacing w:before="0" w:after="283"/>
              <w:rPr/>
            </w:pPr>
            <w:r>
              <w:rPr/>
              <w:t>Bauvorhaben: Wohnquartier „Am Birkenpfuhl”, Gemarkung Kannenberg-Niederwall, Flur 7, Flurstück 218/4</w:t>
            </w:r>
          </w:p>
        </w:tc>
        <w:tc>
          <w:tcPr>
            <w:tcW w:w="7796" w:type="dxa"/>
            <w:tcBorders/>
            <w:vAlign w:val="center"/>
          </w:tcPr>
          <w:p>
            <w:pPr>
              <w:pStyle w:val="TableContents"/>
              <w:bidi w:val="0"/>
              <w:spacing w:before="0" w:after="283"/>
              <w:rPr/>
            </w:pPr>
            <w:r>
              <w:rPr/>
              <w:t>Construction project: residential quarter “Am Birkenpfuhl”, marking Kannenberg-Niederwall, corridor 7, parcel 218/4</w:t>
            </w:r>
          </w:p>
        </w:tc>
      </w:tr>
      <w:tr>
        <w:trPr/>
        <w:tc>
          <w:tcPr>
            <w:tcW w:w="7738" w:type="dxa"/>
            <w:tcBorders/>
            <w:vAlign w:val="center"/>
          </w:tcPr>
          <w:p>
            <w:pPr>
              <w:pStyle w:val="TableContents"/>
              <w:bidi w:val="0"/>
              <w:spacing w:before="0" w:after="283"/>
              <w:rPr/>
            </w:pPr>
            <w:r>
              <w:rPr/>
              <w:t>Bauträgerin: Hohenwartshofen Quartiersentwicklung GmbH &amp; Co. KG, Schloßstraße 88, 12163 Berlin</w:t>
            </w:r>
          </w:p>
        </w:tc>
        <w:tc>
          <w:tcPr>
            <w:tcW w:w="7796" w:type="dxa"/>
            <w:tcBorders/>
            <w:vAlign w:val="center"/>
          </w:tcPr>
          <w:p>
            <w:pPr>
              <w:pStyle w:val="TableContents"/>
              <w:bidi w:val="0"/>
              <w:spacing w:before="0" w:after="283"/>
              <w:rPr/>
            </w:pPr>
            <w:r>
              <w:rPr/>
              <w:t>Property developer: Hohenwartshofen Quartiersentwicklung GmbH &amp; Co. KG, Schloßstraße 88, 12163 Berlin</w:t>
            </w:r>
          </w:p>
        </w:tc>
      </w:tr>
      <w:tr>
        <w:trPr/>
        <w:tc>
          <w:tcPr>
            <w:tcW w:w="7738" w:type="dxa"/>
            <w:tcBorders/>
            <w:vAlign w:val="center"/>
          </w:tcPr>
          <w:p>
            <w:pPr>
              <w:pStyle w:val="TableContents"/>
              <w:bidi w:val="0"/>
              <w:spacing w:before="0" w:after="283"/>
              <w:rPr/>
            </w:pPr>
            <w:r>
              <w:rPr/>
              <w:t>Fassung: Februar 2026 — Version 7.2</w:t>
            </w:r>
          </w:p>
        </w:tc>
        <w:tc>
          <w:tcPr>
            <w:tcW w:w="7796" w:type="dxa"/>
            <w:tcBorders/>
            <w:vAlign w:val="center"/>
          </w:tcPr>
          <w:p>
            <w:pPr>
              <w:pStyle w:val="TableContents"/>
              <w:bidi w:val="0"/>
              <w:spacing w:before="0" w:after="283"/>
              <w:rPr/>
            </w:pPr>
            <w:r>
              <w:rPr/>
              <w:t>Version: February 2026 — Version 7.2</w:t>
            </w:r>
          </w:p>
        </w:tc>
      </w:tr>
      <w:tr>
        <w:trPr/>
        <w:tc>
          <w:tcPr>
            <w:tcW w:w="7738" w:type="dxa"/>
            <w:tcBorders/>
            <w:vAlign w:val="center"/>
          </w:tcPr>
          <w:p>
            <w:pPr>
              <w:pStyle w:val="TableContents"/>
              <w:bidi w:val="0"/>
              <w:spacing w:before="0" w:after="283"/>
              <w:rPr/>
            </w:pPr>
            <w:r>
              <w:rPr/>
              <w:t>Bezug: Haus 4, Wohnung 4.27 (3. Obergeschoss) nebst Kellerabteil K-4.27, Terrasse T-4.27 und Tiefgaragenstellplatz TG-127</w:t>
            </w:r>
          </w:p>
        </w:tc>
        <w:tc>
          <w:tcPr>
            <w:tcW w:w="7796" w:type="dxa"/>
            <w:tcBorders/>
            <w:vAlign w:val="center"/>
          </w:tcPr>
          <w:p>
            <w:pPr>
              <w:pStyle w:val="TableContents"/>
              <w:bidi w:val="0"/>
              <w:spacing w:before="0" w:after="283"/>
              <w:rPr/>
            </w:pPr>
            <w:r>
              <w:rPr/>
              <w:t>Reference: House 4, Apartment 4.27 (3rd floor) with basement compartment K-4.27, terrace T-4.27 and underground parking space TG-127</w:t>
            </w:r>
          </w:p>
        </w:tc>
      </w:tr>
      <w:tr>
        <w:trPr/>
        <w:tc>
          <w:tcPr>
            <w:tcW w:w="7738" w:type="dxa"/>
            <w:tcBorders/>
            <w:vAlign w:val="center"/>
          </w:tcPr>
          <w:p>
            <w:pPr>
              <w:pStyle w:val="Heading2"/>
              <w:bidi w:val="0"/>
              <w:spacing w:before="200" w:after="120"/>
              <w:ind w:hanging="0" w:start="0" w:end="0"/>
              <w:rPr/>
            </w:pPr>
            <w:bookmarkStart w:id="48" w:name="vorbemerkungen-zur-baubeschreibung"/>
            <w:bookmarkEnd w:id="48"/>
            <w:r>
              <w:rPr/>
              <w:t>Vorbemerkungen zur Baubeschreibung</w:t>
            </w:r>
          </w:p>
        </w:tc>
        <w:tc>
          <w:tcPr>
            <w:tcW w:w="7796" w:type="dxa"/>
            <w:tcBorders/>
            <w:vAlign w:val="center"/>
          </w:tcPr>
          <w:p>
            <w:pPr>
              <w:pStyle w:val="Heading2"/>
              <w:bidi w:val="0"/>
              <w:spacing w:before="200" w:after="120"/>
              <w:ind w:hanging="0" w:start="0" w:end="0"/>
              <w:rPr/>
            </w:pPr>
            <w:bookmarkStart w:id="49" w:name="preliminary-remarks-on-the-building-spec"/>
            <w:bookmarkEnd w:id="49"/>
            <w:r>
              <w:rPr/>
              <w:t>Preliminary remarks on the Building Specification</w:t>
            </w:r>
          </w:p>
        </w:tc>
      </w:tr>
      <w:tr>
        <w:trPr/>
        <w:tc>
          <w:tcPr>
            <w:tcW w:w="7738" w:type="dxa"/>
            <w:tcBorders/>
            <w:vAlign w:val="center"/>
          </w:tcPr>
          <w:p>
            <w:pPr>
              <w:pStyle w:val="TableContents"/>
              <w:bidi w:val="0"/>
              <w:spacing w:before="0" w:after="283"/>
              <w:rPr/>
            </w:pPr>
            <w:r>
              <w:rPr>
                <w:rStyle w:val="Strong"/>
              </w:rPr>
              <w:t>V.1</w:t>
            </w:r>
            <w:r>
              <w:rPr/>
              <w:t xml:space="preserve"> Diese Baubeschreibung beschreibt das Bausoll für Haus 4, Wohnung 4.27, Keller K-4.27, Terrasse T-4.27 und Stellplatz TG-127 in der für die Kaufentscheidung maßgeblichen Fassung. Verkaufsunterlagen, Exposés, Visualisierungen des Quartiersplatzes, Renderings der Häuser 4 bis 6, Grundrissdarstellungen mit Möblierung sowie die Musterwohnung in Haus 5 dienen der Veranschaulichung des Quartiers- und Ausstattungskonzepts „Birkenpfuhl Komfort B4” und werden nur insoweit Vertragsbestandteil, als diese Baubeschreibung oder der Kaufvertrag ausdrücklich darauf Bezug nehmen.</w:t>
            </w:r>
          </w:p>
        </w:tc>
        <w:tc>
          <w:tcPr>
            <w:tcW w:w="7796" w:type="dxa"/>
            <w:tcBorders/>
            <w:vAlign w:val="center"/>
          </w:tcPr>
          <w:p>
            <w:pPr>
              <w:pStyle w:val="TableContents"/>
              <w:bidi w:val="0"/>
              <w:spacing w:before="0" w:after="283"/>
              <w:rPr/>
            </w:pPr>
            <w:r>
              <w:rPr>
                <w:rStyle w:val="Strong"/>
              </w:rPr>
              <w:t>V.1</w:t>
            </w:r>
            <w:r>
              <w:rPr/>
              <w:t xml:space="preserve"> This Building Specification describes the contractual construction specification for house 4, apartment 4.27, cellar K-4.27, terrace T-4.27 and parking space TG-127 in the version that is relevant for the purchase decision. Sales documents, exposés, visualizations of the quarter square, renderings of houses 4 to 6, floor plan representations with furnishings and the model apartment in house 5 serve to illustrate the quarter and equipment concept “Birkenpfuhl Komfort B4” and become part of the contract only insofar as this Building Specification or the purchase contract expressly refer to it.</w:t>
            </w:r>
          </w:p>
        </w:tc>
      </w:tr>
      <w:tr>
        <w:trPr/>
        <w:tc>
          <w:tcPr>
            <w:tcW w:w="7738" w:type="dxa"/>
            <w:tcBorders/>
            <w:vAlign w:val="center"/>
          </w:tcPr>
          <w:p>
            <w:pPr>
              <w:pStyle w:val="TableContents"/>
              <w:bidi w:val="0"/>
              <w:spacing w:before="0" w:after="283"/>
              <w:rPr/>
            </w:pPr>
            <w:r>
              <w:rPr>
                <w:rStyle w:val="Strong"/>
              </w:rPr>
              <w:t>V.2</w:t>
            </w:r>
            <w:r>
              <w:rPr/>
              <w:t xml:space="preserve"> Die in dieser Baubeschreibung genannten Fabrikate, Hersteller, Typen und Modelle für Boden, Fliesen, Sanitär, Türen, Beschläge, Fensterprofile, Aufzug, Lüftung, Messsysteme und Tiefgaragentechnik sind, soweit überhaupt benannt, beispielhaft zu verstehen. Der Verkäufer ist berechtigt, gleichwertige oder gleichartige Produkte anderer Hersteller einzusetzen, wenn dies wegen Lieferterminen der Haus-4-Gewerke, Bemusterungsbündelung, Schnittstellen zur TGA-Planung oder Serienbestellung für die Häuser 4 bis 6 in den Bauablauf eingepasst werden soll. Ein Anspruch auf ein bestimmtes Fabrikat besteht nicht.</w:t>
            </w:r>
          </w:p>
        </w:tc>
        <w:tc>
          <w:tcPr>
            <w:tcW w:w="7796" w:type="dxa"/>
            <w:tcBorders/>
            <w:vAlign w:val="center"/>
          </w:tcPr>
          <w:p>
            <w:pPr>
              <w:pStyle w:val="TableContents"/>
              <w:bidi w:val="0"/>
              <w:spacing w:before="0" w:after="283"/>
              <w:rPr/>
            </w:pPr>
            <w:r>
              <w:rPr>
                <w:rStyle w:val="Strong"/>
              </w:rPr>
              <w:t>V.2</w:t>
            </w:r>
            <w:r>
              <w:rPr/>
              <w:t xml:space="preserve"> The manufactures, manufacturers, types and models mentioned in this Building Specification for floor, tiles, sanitary, doors, fittings, window profiles, elevator, ventilation, measuring systems and underground garage technology are to be understood as examples, if they are mentioned at all. The Seller is entitled to use equivalent or similar products from other manufacturers if this is to be adapted in the construction process due to delivery dates of the house 4 trades, sample bundling, interfaces to the TGA planning or serial order for houses 4 to 6. There is no entitlement to a particular make.</w:t>
            </w:r>
          </w:p>
        </w:tc>
      </w:tr>
      <w:tr>
        <w:trPr/>
        <w:tc>
          <w:tcPr>
            <w:tcW w:w="7738" w:type="dxa"/>
            <w:tcBorders/>
            <w:vAlign w:val="center"/>
          </w:tcPr>
          <w:p>
            <w:pPr>
              <w:pStyle w:val="TableContents"/>
              <w:bidi w:val="0"/>
              <w:spacing w:before="0" w:after="283"/>
              <w:rPr/>
            </w:pPr>
            <w:r>
              <w:rPr>
                <w:rStyle w:val="Strong"/>
              </w:rPr>
              <w:t>V.3</w:t>
            </w:r>
            <w:r>
              <w:rPr/>
              <w:t xml:space="preserve"> Soweit Ausführungen, Materialien, Farben oder Oberflächen nicht im Einzelnen festgelegt sind, bestimmt der Verkäufer die Ausführung innerhalb der Materialfamilie „Birkenpfuhl Komfort B4” unter Berücksichtigung der Fassadenfarben von Haus 4, der Bemusterungsserien B4-Boden/B4-Bad/B4-Tür, der TGA-Schnittstellen und der späteren Wartbarkeit.</w:t>
            </w:r>
          </w:p>
        </w:tc>
        <w:tc>
          <w:tcPr>
            <w:tcW w:w="7796" w:type="dxa"/>
            <w:tcBorders/>
            <w:vAlign w:val="center"/>
          </w:tcPr>
          <w:p>
            <w:pPr>
              <w:pStyle w:val="TableContents"/>
              <w:bidi w:val="0"/>
              <w:spacing w:before="0" w:after="283"/>
              <w:rPr/>
            </w:pPr>
            <w:r>
              <w:rPr>
                <w:rStyle w:val="Strong"/>
              </w:rPr>
              <w:t>V.3</w:t>
            </w:r>
            <w:r>
              <w:rPr/>
              <w:t xml:space="preserve"> If designs, materials, colors or surfaces are not specified in detail, the Seller determines the design within the material family “Birkenpfuhl Comfort B4” taking into account the facade colors of house 4, the selection series B4 floor/B4 bath/B4 door, the TGA interfaces and the later maintainability.</w:t>
            </w:r>
          </w:p>
        </w:tc>
      </w:tr>
      <w:tr>
        <w:trPr/>
        <w:tc>
          <w:tcPr>
            <w:tcW w:w="7738" w:type="dxa"/>
            <w:tcBorders/>
            <w:vAlign w:val="center"/>
          </w:tcPr>
          <w:p>
            <w:pPr>
              <w:pStyle w:val="TableContents"/>
              <w:bidi w:val="0"/>
              <w:spacing w:before="0" w:after="283"/>
              <w:rPr/>
            </w:pPr>
            <w:r>
              <w:rPr>
                <w:rStyle w:val="Strong"/>
              </w:rPr>
              <w:t>V.4</w:t>
            </w:r>
            <w:r>
              <w:rPr/>
              <w:t xml:space="preserve"> Maßangaben in Plänen sind, soweit nicht ausdrücklich als verbindlich bezeichnet, ca.-Angaben und können sich im Zuge der Ausführungsplanung, der statischen Bemessung und der Haustechniktrassen verändern. Geringfügige Verschiebungen von Wänden, Schächten, Unterzügen, Installationsführungen und abgehängten Decken bleiben vorbehalten und stellen keinen Mangel dar.</w:t>
            </w:r>
          </w:p>
        </w:tc>
        <w:tc>
          <w:tcPr>
            <w:tcW w:w="7796" w:type="dxa"/>
            <w:tcBorders/>
            <w:vAlign w:val="center"/>
          </w:tcPr>
          <w:p>
            <w:pPr>
              <w:pStyle w:val="TableContents"/>
              <w:bidi w:val="0"/>
              <w:spacing w:before="0" w:after="283"/>
              <w:rPr/>
            </w:pPr>
            <w:r>
              <w:rPr>
                <w:rStyle w:val="Strong"/>
              </w:rPr>
              <w:t>V.4</w:t>
            </w:r>
            <w:r>
              <w:rPr/>
              <w:t xml:space="preserve"> Dimensional specifications in plans are, unless expressly designated as binding, approx. information and may change in the course of execution planning, static dimensioning and building technology routes. Minor displacements of walls, shafts, underlays, installation guides and suspended ceilings are reserved and do not constitute a defect.</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50" w:name="allgemeines-gebäudekonzept"/>
            <w:bookmarkEnd w:id="50"/>
            <w:r>
              <w:rPr/>
              <w:t>1 Allgemeines, Gebäudekonzept</w:t>
            </w:r>
          </w:p>
        </w:tc>
        <w:tc>
          <w:tcPr>
            <w:tcW w:w="7796" w:type="dxa"/>
            <w:tcBorders/>
            <w:vAlign w:val="center"/>
          </w:tcPr>
          <w:p>
            <w:pPr>
              <w:pStyle w:val="Heading1"/>
              <w:bidi w:val="0"/>
              <w:spacing w:before="240" w:after="283"/>
              <w:ind w:hanging="0" w:start="0" w:end="0"/>
              <w:rPr/>
            </w:pPr>
            <w:bookmarkStart w:id="51" w:name="general-building-concept"/>
            <w:bookmarkEnd w:id="51"/>
            <w:r>
              <w:rPr/>
              <w:t>1 General, building concept</w:t>
            </w:r>
          </w:p>
        </w:tc>
      </w:tr>
      <w:tr>
        <w:trPr/>
        <w:tc>
          <w:tcPr>
            <w:tcW w:w="7738" w:type="dxa"/>
            <w:tcBorders/>
            <w:vAlign w:val="center"/>
          </w:tcPr>
          <w:p>
            <w:pPr>
              <w:pStyle w:val="TableContents"/>
              <w:bidi w:val="0"/>
              <w:spacing w:before="0" w:after="283"/>
              <w:rPr/>
            </w:pPr>
            <w:r>
              <w:rPr>
                <w:rStyle w:val="Strong"/>
              </w:rPr>
              <w:t>1.1</w:t>
            </w:r>
            <w:r>
              <w:rPr/>
              <w:t xml:space="preserve"> Das Quartier umfasst nach derzeitiger Planung zwölf Mehrfamilienhäuser nebst Stadtvilla-Cluster, eine zweigeschossige Tiefgarage sowie Gemeinschafts- und Freiflächen. Haus 4 ist als Mehrfamilienhaus mit Staffelgeschoss konzipiert.</w:t>
            </w:r>
          </w:p>
        </w:tc>
        <w:tc>
          <w:tcPr>
            <w:tcW w:w="7796" w:type="dxa"/>
            <w:tcBorders/>
            <w:vAlign w:val="center"/>
          </w:tcPr>
          <w:p>
            <w:pPr>
              <w:pStyle w:val="TableContents"/>
              <w:bidi w:val="0"/>
              <w:spacing w:before="0" w:after="283"/>
              <w:rPr/>
            </w:pPr>
            <w:r>
              <w:rPr>
                <w:rStyle w:val="Strong"/>
              </w:rPr>
              <w:t>1.1</w:t>
            </w:r>
            <w:r>
              <w:rPr/>
              <w:t xml:space="preserve"> According to current planning, the quarter comprises twelve multi-family houses with a city villa cluster, a two-storey underground garage and common and open spaces. House 4 is designed as an apartment building with a relay floor.</w:t>
            </w:r>
          </w:p>
        </w:tc>
      </w:tr>
      <w:tr>
        <w:trPr/>
        <w:tc>
          <w:tcPr>
            <w:tcW w:w="7738" w:type="dxa"/>
            <w:tcBorders/>
            <w:vAlign w:val="center"/>
          </w:tcPr>
          <w:p>
            <w:pPr>
              <w:pStyle w:val="TableContents"/>
              <w:bidi w:val="0"/>
              <w:spacing w:before="0" w:after="283"/>
              <w:rPr/>
            </w:pPr>
            <w:r>
              <w:rPr>
                <w:rStyle w:val="Strong"/>
              </w:rPr>
              <w:t>1.2</w:t>
            </w:r>
            <w:r>
              <w:rPr/>
              <w:t xml:space="preserve"> Die Ausstattung der Wohnung 4.27 entspricht der Linie „Birkenpfuhl Komfort B4” mit zurückhaltenden Oberflächen, hellen Sanitärobjekten, großformatigen Fliesen in Bad und Gäste-WC, designorientierten Bodenbelägen in Wohn- und Schlafräumen sowie einheitlichen Tür- und Beschlagsserien. Die konkrete Ausgestaltung der einzelnen Gewerke ergibt sich aus den nachstehenden Abschnitten und den im Zuge der Ausführungsplanung für Haus 4 fortgeschriebenen Detailfestlegungen.</w:t>
            </w:r>
          </w:p>
        </w:tc>
        <w:tc>
          <w:tcPr>
            <w:tcW w:w="7796" w:type="dxa"/>
            <w:tcBorders/>
            <w:vAlign w:val="center"/>
          </w:tcPr>
          <w:p>
            <w:pPr>
              <w:pStyle w:val="TableContents"/>
              <w:bidi w:val="0"/>
              <w:spacing w:before="0" w:after="283"/>
              <w:rPr/>
            </w:pPr>
            <w:r>
              <w:rPr>
                <w:rStyle w:val="Strong"/>
              </w:rPr>
              <w:t>1.2</w:t>
            </w:r>
            <w:r>
              <w:rPr/>
              <w:t xml:space="preserve"> The equipment of apartment 4.27 corresponds to the line “Birkenpfuhl Comfort B4” with restrained surfaces, bright sanitary objects, large-sized tiles in bathroom and guest toilet, design-oriented floor coverings in living and sleeping rooms as well as uniform door and hardware series. The specific design of the individual trades results from the following sections and the detailed specifications updated in the course of the execution planning for House 4.</w:t>
            </w:r>
          </w:p>
        </w:tc>
      </w:tr>
      <w:tr>
        <w:trPr/>
        <w:tc>
          <w:tcPr>
            <w:tcW w:w="7738" w:type="dxa"/>
            <w:tcBorders/>
            <w:vAlign w:val="center"/>
          </w:tcPr>
          <w:p>
            <w:pPr>
              <w:pStyle w:val="TableContents"/>
              <w:bidi w:val="0"/>
              <w:spacing w:before="0" w:after="283"/>
              <w:rPr/>
            </w:pPr>
            <w:r>
              <w:rPr>
                <w:rStyle w:val="Strong"/>
              </w:rPr>
              <w:t>1.3</w:t>
            </w:r>
            <w:r>
              <w:rPr/>
              <w:t xml:space="preserve"> Konstruktive und gestalterische Änderungen, die sich aus der Fortschreibung der Ausführungsplanung, aus behördlichen Auflagen, aus der Tragwerksplanung oder aus der Abstimmung der Fachplaner ergeben, bleiben vorbehalten, soweit der Gesamtcharakter des Bauvorhabens gewahrt bleibt.</w:t>
            </w:r>
          </w:p>
        </w:tc>
        <w:tc>
          <w:tcPr>
            <w:tcW w:w="7796" w:type="dxa"/>
            <w:tcBorders/>
            <w:vAlign w:val="center"/>
          </w:tcPr>
          <w:p>
            <w:pPr>
              <w:pStyle w:val="TableContents"/>
              <w:bidi w:val="0"/>
              <w:spacing w:before="0" w:after="283"/>
              <w:rPr/>
            </w:pPr>
            <w:r>
              <w:rPr>
                <w:rStyle w:val="Strong"/>
              </w:rPr>
              <w:t>1.3</w:t>
            </w:r>
            <w:r>
              <w:rPr/>
              <w:t xml:space="preserve"> Constructive and design changes resulting from the updating of the execution planning, from official requirements, from the structural design or from the coordination of the specialist planners remain reserved, as far as the overall character of the construction project is maintained.</w:t>
            </w:r>
          </w:p>
        </w:tc>
      </w:tr>
      <w:tr>
        <w:trPr/>
        <w:tc>
          <w:tcPr>
            <w:tcW w:w="7738" w:type="dxa"/>
            <w:tcBorders/>
            <w:vAlign w:val="center"/>
          </w:tcPr>
          <w:p>
            <w:pPr>
              <w:pStyle w:val="Heading1"/>
              <w:bidi w:val="0"/>
              <w:spacing w:before="240" w:after="283"/>
              <w:ind w:hanging="0" w:start="0" w:end="0"/>
              <w:rPr/>
            </w:pPr>
            <w:bookmarkStart w:id="52" w:name="baugrund-gründung-baugrube"/>
            <w:bookmarkEnd w:id="52"/>
            <w:r>
              <w:rPr/>
              <w:t>2 Baugrund, Gründung, Baugrube</w:t>
            </w:r>
          </w:p>
        </w:tc>
        <w:tc>
          <w:tcPr>
            <w:tcW w:w="7796" w:type="dxa"/>
            <w:tcBorders/>
            <w:vAlign w:val="center"/>
          </w:tcPr>
          <w:p>
            <w:pPr>
              <w:pStyle w:val="Heading1"/>
              <w:bidi w:val="0"/>
              <w:spacing w:before="240" w:after="283"/>
              <w:ind w:hanging="0" w:start="0" w:end="0"/>
              <w:rPr/>
            </w:pPr>
            <w:bookmarkStart w:id="53" w:name="ground-foundation-excavation-pit"/>
            <w:bookmarkEnd w:id="53"/>
            <w:r>
              <w:rPr/>
              <w:t>2 Ground, foundation, excavation pit</w:t>
            </w:r>
          </w:p>
        </w:tc>
      </w:tr>
      <w:tr>
        <w:trPr/>
        <w:tc>
          <w:tcPr>
            <w:tcW w:w="7738" w:type="dxa"/>
            <w:tcBorders/>
            <w:vAlign w:val="center"/>
          </w:tcPr>
          <w:p>
            <w:pPr>
              <w:pStyle w:val="TableContents"/>
              <w:bidi w:val="0"/>
              <w:spacing w:before="0" w:after="283"/>
              <w:rPr/>
            </w:pPr>
            <w:r>
              <w:rPr>
                <w:rStyle w:val="Strong"/>
              </w:rPr>
              <w:t>2.1</w:t>
            </w:r>
            <w:r>
              <w:rPr/>
              <w:t xml:space="preserve"> Der Gründung liegen die orientierenden Baugrunderkundungen „BQ-KNW-4/2026” zugrunde. Art und Tiefe der Gründung von Haus 4 und der Tiefgaragenspange Nord (Flachgründung, Tiefgründung, Bodenaustausch, Bodenverbesserung oder Kombination) werden im Zuge der Ausführungsplanung durch den Tragwerksplaner festgelegt.</w:t>
            </w:r>
          </w:p>
        </w:tc>
        <w:tc>
          <w:tcPr>
            <w:tcW w:w="7796" w:type="dxa"/>
            <w:tcBorders/>
            <w:vAlign w:val="center"/>
          </w:tcPr>
          <w:p>
            <w:pPr>
              <w:pStyle w:val="TableContents"/>
              <w:bidi w:val="0"/>
              <w:spacing w:before="0" w:after="283"/>
              <w:rPr/>
            </w:pPr>
            <w:r>
              <w:rPr>
                <w:rStyle w:val="Strong"/>
              </w:rPr>
              <w:t>2.1</w:t>
            </w:r>
            <w:r>
              <w:rPr/>
              <w:t xml:space="preserve"> The foundation is based on the oriented ground exploration “BQ-KNW-4/2026”. The type and depth of the foundation of House 4 and the underground car park span Nord (flat foundation, underground foundation, soil exchange, soil improvement or combination) are determined in the course of the execution planning by the structural planner.</w:t>
            </w:r>
          </w:p>
        </w:tc>
      </w:tr>
      <w:tr>
        <w:trPr/>
        <w:tc>
          <w:tcPr>
            <w:tcW w:w="7738" w:type="dxa"/>
            <w:tcBorders/>
            <w:vAlign w:val="center"/>
          </w:tcPr>
          <w:p>
            <w:pPr>
              <w:pStyle w:val="TableContents"/>
              <w:bidi w:val="0"/>
              <w:spacing w:before="0" w:after="283"/>
              <w:rPr/>
            </w:pPr>
            <w:r>
              <w:rPr>
                <w:rStyle w:val="Strong"/>
              </w:rPr>
              <w:t>2.2</w:t>
            </w:r>
            <w:r>
              <w:rPr/>
              <w:t xml:space="preserve"> Maßnahmen der Wasserhaltung, des Baugrubenverbaus entlang der nördlichen Tiefgaragenkante, der Grundwasserabsenkung sowie etwaige Anpassungen infolge tatsächlicher Baugrund-, Grundwasser-, Altlasten- oder Kampfmittelbefunde gehören zur bauseitigen Herstellung, begründen jedoch keine über diese Baubeschreibung hinausgehende Beschaffenheit. Die Abdichtung der erdberührten Bauteile von Haus 4, Kellerzone und Tiefgarage erfolgt nach den einschlägigen technischen Regelwerken in einer für Wohnhaus, Kellerabteile und Tiefgaragennutzung geeigneten Ausführung.</w:t>
            </w:r>
          </w:p>
        </w:tc>
        <w:tc>
          <w:tcPr>
            <w:tcW w:w="7796" w:type="dxa"/>
            <w:tcBorders/>
            <w:vAlign w:val="center"/>
          </w:tcPr>
          <w:p>
            <w:pPr>
              <w:pStyle w:val="TableContents"/>
              <w:bidi w:val="0"/>
              <w:spacing w:before="0" w:after="283"/>
              <w:rPr/>
            </w:pPr>
            <w:r>
              <w:rPr>
                <w:rStyle w:val="Strong"/>
              </w:rPr>
              <w:t>2.2</w:t>
            </w:r>
            <w:r>
              <w:rPr/>
              <w:t xml:space="preserve"> Water management measures, the construction of excavation pits along the northern edge of the underground car park, the lowering of groundwater and any adjustments resulting from actual findings of soil, groundwater, contaminated sites or ordnance constitute part of the construction-side production, but do not justify a condition beyond this specification. The earth-contacting components of house 4, basement zone and underground garage are sealed according to the relevant technical regulations in a design suitable for residential buildings, basement compartments and underground garage use.</w:t>
            </w:r>
          </w:p>
        </w:tc>
      </w:tr>
      <w:tr>
        <w:trPr/>
        <w:tc>
          <w:tcPr>
            <w:tcW w:w="7738" w:type="dxa"/>
            <w:tcBorders/>
            <w:vAlign w:val="center"/>
          </w:tcPr>
          <w:p>
            <w:pPr>
              <w:pStyle w:val="Heading1"/>
              <w:bidi w:val="0"/>
              <w:spacing w:before="240" w:after="283"/>
              <w:ind w:hanging="0" w:start="0" w:end="0"/>
              <w:rPr/>
            </w:pPr>
            <w:bookmarkStart w:id="54" w:name="rohbau-und-konstruktion"/>
            <w:bookmarkEnd w:id="54"/>
            <w:r>
              <w:rPr/>
              <w:t>3 Rohbau und Konstruktion</w:t>
            </w:r>
          </w:p>
        </w:tc>
        <w:tc>
          <w:tcPr>
            <w:tcW w:w="7796" w:type="dxa"/>
            <w:tcBorders/>
            <w:vAlign w:val="center"/>
          </w:tcPr>
          <w:p>
            <w:pPr>
              <w:pStyle w:val="Heading1"/>
              <w:bidi w:val="0"/>
              <w:spacing w:before="240" w:after="283"/>
              <w:ind w:hanging="0" w:start="0" w:end="0"/>
              <w:rPr/>
            </w:pPr>
            <w:bookmarkStart w:id="55" w:name="structure-and-construction"/>
            <w:bookmarkEnd w:id="55"/>
            <w:r>
              <w:rPr/>
              <w:t>3 Structure and construction</w:t>
            </w:r>
          </w:p>
        </w:tc>
      </w:tr>
      <w:tr>
        <w:trPr/>
        <w:tc>
          <w:tcPr>
            <w:tcW w:w="7738" w:type="dxa"/>
            <w:tcBorders/>
            <w:vAlign w:val="center"/>
          </w:tcPr>
          <w:p>
            <w:pPr>
              <w:pStyle w:val="TableContents"/>
              <w:bidi w:val="0"/>
              <w:spacing w:before="0" w:after="283"/>
              <w:rPr/>
            </w:pPr>
            <w:r>
              <w:rPr>
                <w:rStyle w:val="Strong"/>
              </w:rPr>
              <w:t>3.1</w:t>
            </w:r>
            <w:r>
              <w:rPr/>
              <w:t xml:space="preserve"> Gründung, Kelleraußenwände und Tiefgarage werden in Stahlbeton bzw. wasserundurchlässigem Beton hergestellt, soweit es die Tragwerksplanung vorsieht. Wohnungstrennwände und tragende Innenwände werden in Massivbauweise (Beton oder Mauerwerk) ausgeführt.</w:t>
            </w:r>
          </w:p>
        </w:tc>
        <w:tc>
          <w:tcPr>
            <w:tcW w:w="7796" w:type="dxa"/>
            <w:tcBorders/>
            <w:vAlign w:val="center"/>
          </w:tcPr>
          <w:p>
            <w:pPr>
              <w:pStyle w:val="TableContents"/>
              <w:bidi w:val="0"/>
              <w:spacing w:before="0" w:after="283"/>
              <w:rPr/>
            </w:pPr>
            <w:r>
              <w:rPr>
                <w:rStyle w:val="Strong"/>
              </w:rPr>
              <w:t>3.1</w:t>
            </w:r>
            <w:r>
              <w:rPr/>
              <w:t xml:space="preserve"> Foundation, basement outer walls and underground garage are produced in reinforced concrete or water-impermeable concrete, as far as the structural design provides. Residential partition walls and load-bearing interior walls are of solid construction (concrete or masonry).</w:t>
            </w:r>
          </w:p>
        </w:tc>
      </w:tr>
      <w:tr>
        <w:trPr/>
        <w:tc>
          <w:tcPr>
            <w:tcW w:w="7738" w:type="dxa"/>
            <w:tcBorders/>
            <w:vAlign w:val="center"/>
          </w:tcPr>
          <w:p>
            <w:pPr>
              <w:pStyle w:val="TableContents"/>
              <w:bidi w:val="0"/>
              <w:spacing w:before="0" w:after="283"/>
              <w:rPr/>
            </w:pPr>
            <w:r>
              <w:rPr>
                <w:rStyle w:val="Strong"/>
              </w:rPr>
              <w:t>3.2</w:t>
            </w:r>
            <w:r>
              <w:rPr/>
              <w:t xml:space="preserve"> Nichttragende Trennwände innerhalb der Wohnung 4.27 werden entsprechend der Ausführungsplanung als Trockenbau- oder Mauerwerkswände erstellt. Die genaue Ausführung legt der Verkäufer anhand von Schachtlage, Installationsführung, Schallschutzkonzept und Bauablauf fest.</w:t>
            </w:r>
          </w:p>
        </w:tc>
        <w:tc>
          <w:tcPr>
            <w:tcW w:w="7796" w:type="dxa"/>
            <w:tcBorders/>
            <w:vAlign w:val="center"/>
          </w:tcPr>
          <w:p>
            <w:pPr>
              <w:pStyle w:val="TableContents"/>
              <w:bidi w:val="0"/>
              <w:spacing w:before="0" w:after="283"/>
              <w:rPr/>
            </w:pPr>
            <w:r>
              <w:rPr>
                <w:rStyle w:val="Strong"/>
              </w:rPr>
              <w:t>3.2</w:t>
            </w:r>
            <w:r>
              <w:rPr/>
              <w:t xml:space="preserve"> Non-supporting partitions within the apartment 4.27 are constructed as drywall or masonry walls according to the execution planning. The Seller determines the exact execution on the basis of shaft location, installation guidance, sound protection concept and construction process.</w:t>
            </w:r>
          </w:p>
        </w:tc>
      </w:tr>
      <w:tr>
        <w:trPr/>
        <w:tc>
          <w:tcPr>
            <w:tcW w:w="7738" w:type="dxa"/>
            <w:tcBorders/>
            <w:vAlign w:val="center"/>
          </w:tcPr>
          <w:p>
            <w:pPr>
              <w:pStyle w:val="TableContents"/>
              <w:bidi w:val="0"/>
              <w:spacing w:before="0" w:after="283"/>
              <w:rPr/>
            </w:pPr>
            <w:r>
              <w:rPr>
                <w:rStyle w:val="Strong"/>
              </w:rPr>
              <w:t>3.3</w:t>
            </w:r>
            <w:r>
              <w:rPr/>
              <w:t xml:space="preserve"> Die lichte Raumhöhe der Wohnräume beträgt ca. 2,60 m, im Bereich von Unterzügen, abgehängten Decken und Installationsführungen entsprechend weniger.</w:t>
            </w:r>
          </w:p>
        </w:tc>
        <w:tc>
          <w:tcPr>
            <w:tcW w:w="7796" w:type="dxa"/>
            <w:tcBorders/>
            <w:vAlign w:val="center"/>
          </w:tcPr>
          <w:p>
            <w:pPr>
              <w:pStyle w:val="TableContents"/>
              <w:bidi w:val="0"/>
              <w:spacing w:before="0" w:after="283"/>
              <w:rPr/>
            </w:pPr>
            <w:r>
              <w:rPr>
                <w:rStyle w:val="Strong"/>
              </w:rPr>
              <w:t>3.3</w:t>
            </w:r>
            <w:r>
              <w:rPr/>
              <w:t xml:space="preserve"> The clear room height of the living rooms is approx. 2,60 m, correspondingly less in the area of lifts, suspended ceilings and installation guides.</w:t>
            </w:r>
          </w:p>
        </w:tc>
      </w:tr>
      <w:tr>
        <w:trPr/>
        <w:tc>
          <w:tcPr>
            <w:tcW w:w="7738" w:type="dxa"/>
            <w:tcBorders/>
            <w:vAlign w:val="center"/>
          </w:tcPr>
          <w:p>
            <w:pPr>
              <w:pStyle w:val="Heading1"/>
              <w:bidi w:val="0"/>
              <w:spacing w:before="240" w:after="283"/>
              <w:ind w:hanging="0" w:start="0" w:end="0"/>
              <w:rPr/>
            </w:pPr>
            <w:bookmarkStart w:id="56" w:name="fassade-außenwände-wärmedämmung"/>
            <w:bookmarkEnd w:id="56"/>
            <w:r>
              <w:rPr/>
              <w:t>4 Fassade, Außenwände, Wärmedämmung</w:t>
            </w:r>
          </w:p>
        </w:tc>
        <w:tc>
          <w:tcPr>
            <w:tcW w:w="7796" w:type="dxa"/>
            <w:tcBorders/>
            <w:vAlign w:val="center"/>
          </w:tcPr>
          <w:p>
            <w:pPr>
              <w:pStyle w:val="Heading1"/>
              <w:bidi w:val="0"/>
              <w:spacing w:before="240" w:after="283"/>
              <w:ind w:hanging="0" w:start="0" w:end="0"/>
              <w:rPr/>
            </w:pPr>
            <w:bookmarkStart w:id="57" w:name="facade-exterior-walls-thermal-insulation"/>
            <w:bookmarkEnd w:id="57"/>
            <w:r>
              <w:rPr/>
              <w:t>4 Facade, exterior walls, thermal insulation</w:t>
            </w:r>
          </w:p>
        </w:tc>
      </w:tr>
      <w:tr>
        <w:trPr/>
        <w:tc>
          <w:tcPr>
            <w:tcW w:w="7738" w:type="dxa"/>
            <w:tcBorders/>
            <w:vAlign w:val="center"/>
          </w:tcPr>
          <w:p>
            <w:pPr>
              <w:pStyle w:val="TableContents"/>
              <w:bidi w:val="0"/>
              <w:spacing w:before="0" w:after="283"/>
              <w:rPr/>
            </w:pPr>
            <w:r>
              <w:rPr>
                <w:rStyle w:val="Strong"/>
              </w:rPr>
              <w:t>4.1</w:t>
            </w:r>
            <w:r>
              <w:rPr/>
              <w:t xml:space="preserve"> Die Außenwände von Haus 4 erhalten ein Wärmedämmverbundsystem oder eine gleichwertige Dämmkonstruktion mit heller Putzoberfläche, akzentuierten Fassadenfeldern und im Erdgeschoss bereichsweise widerstandsfähiger Sockelausbildung. Farbgebung und Materialität der Fassade legt der Verkäufer im Rahmen des Gestaltungskonzepts „Birkenpfuhl Q1” fest.</w:t>
            </w:r>
          </w:p>
        </w:tc>
        <w:tc>
          <w:tcPr>
            <w:tcW w:w="7796" w:type="dxa"/>
            <w:tcBorders/>
            <w:vAlign w:val="center"/>
          </w:tcPr>
          <w:p>
            <w:pPr>
              <w:pStyle w:val="TableContents"/>
              <w:bidi w:val="0"/>
              <w:spacing w:before="0" w:after="283"/>
              <w:rPr/>
            </w:pPr>
            <w:r>
              <w:rPr>
                <w:rStyle w:val="Strong"/>
              </w:rPr>
              <w:t>4.1</w:t>
            </w:r>
            <w:r>
              <w:rPr/>
              <w:t xml:space="preserve"> The exterior walls of house 4 receive a thermal insulation composite system or an equivalent insulation construction with a bright plaster surface, accentuated facade fields and a solid base construction on the ground floor. The colouring and materiality of the facade is defined by the Seller as part of the design concept “Birkenpfuhl Q1”.</w:t>
            </w:r>
          </w:p>
        </w:tc>
      </w:tr>
      <w:tr>
        <w:trPr/>
        <w:tc>
          <w:tcPr>
            <w:tcW w:w="7738" w:type="dxa"/>
            <w:tcBorders/>
            <w:vAlign w:val="center"/>
          </w:tcPr>
          <w:p>
            <w:pPr>
              <w:pStyle w:val="TableContents"/>
              <w:bidi w:val="0"/>
              <w:spacing w:before="0" w:after="283"/>
              <w:rPr/>
            </w:pPr>
            <w:r>
              <w:rPr>
                <w:rStyle w:val="Strong"/>
              </w:rPr>
              <w:t>4.2</w:t>
            </w:r>
            <w:r>
              <w:rPr/>
              <w:t xml:space="preserve"> Dämmstärken und Dämmstoffe werden nach den energetischen Nachweisen bemessen (vgl. Abschnitt 17).</w:t>
            </w:r>
          </w:p>
        </w:tc>
        <w:tc>
          <w:tcPr>
            <w:tcW w:w="7796" w:type="dxa"/>
            <w:tcBorders/>
            <w:vAlign w:val="center"/>
          </w:tcPr>
          <w:p>
            <w:pPr>
              <w:pStyle w:val="TableContents"/>
              <w:bidi w:val="0"/>
              <w:spacing w:before="0" w:after="283"/>
              <w:rPr/>
            </w:pPr>
            <w:r>
              <w:rPr>
                <w:rStyle w:val="Strong"/>
              </w:rPr>
              <w:t>4.2</w:t>
            </w:r>
            <w:r>
              <w:rPr/>
              <w:t xml:space="preserve"> Insulation thicknesses and insulation materials are measured according to the energetic evidence (see Section 17).</w:t>
            </w:r>
          </w:p>
        </w:tc>
      </w:tr>
      <w:tr>
        <w:trPr/>
        <w:tc>
          <w:tcPr>
            <w:tcW w:w="7738" w:type="dxa"/>
            <w:tcBorders/>
            <w:vAlign w:val="center"/>
          </w:tcPr>
          <w:p>
            <w:pPr>
              <w:pStyle w:val="Heading1"/>
              <w:bidi w:val="0"/>
              <w:spacing w:before="240" w:after="283"/>
              <w:ind w:hanging="0" w:start="0" w:end="0"/>
              <w:rPr/>
            </w:pPr>
            <w:bookmarkStart w:id="58" w:name="dach"/>
            <w:bookmarkEnd w:id="58"/>
            <w:r>
              <w:rPr/>
              <w:t>5 Dach</w:t>
            </w:r>
          </w:p>
        </w:tc>
        <w:tc>
          <w:tcPr>
            <w:tcW w:w="7796" w:type="dxa"/>
            <w:tcBorders/>
            <w:vAlign w:val="center"/>
          </w:tcPr>
          <w:p>
            <w:pPr>
              <w:pStyle w:val="Heading1"/>
              <w:bidi w:val="0"/>
              <w:spacing w:before="240" w:after="283"/>
              <w:ind w:hanging="0" w:start="0" w:end="0"/>
              <w:rPr/>
            </w:pPr>
            <w:bookmarkStart w:id="59" w:name="roof"/>
            <w:bookmarkEnd w:id="59"/>
            <w:r>
              <w:rPr/>
              <w:t>5 roof</w:t>
            </w:r>
          </w:p>
        </w:tc>
      </w:tr>
      <w:tr>
        <w:trPr/>
        <w:tc>
          <w:tcPr>
            <w:tcW w:w="7738" w:type="dxa"/>
            <w:tcBorders/>
            <w:vAlign w:val="center"/>
          </w:tcPr>
          <w:p>
            <w:pPr>
              <w:pStyle w:val="TableContents"/>
              <w:bidi w:val="0"/>
              <w:spacing w:before="0" w:after="283"/>
              <w:rPr/>
            </w:pPr>
            <w:r>
              <w:rPr>
                <w:rStyle w:val="Strong"/>
              </w:rPr>
              <w:t>5.1</w:t>
            </w:r>
            <w:r>
              <w:rPr/>
              <w:t xml:space="preserve"> Die Dachflächen werden als Flachdach bzw. flach geneigtes Dach ausgeführt und abgedichtet. Dachbegrünung, Bekiesung oder Belegung erfolgt nach dem Freiflächen- und Entwässerungskonzept.</w:t>
            </w:r>
          </w:p>
        </w:tc>
        <w:tc>
          <w:tcPr>
            <w:tcW w:w="7796" w:type="dxa"/>
            <w:tcBorders/>
            <w:vAlign w:val="center"/>
          </w:tcPr>
          <w:p>
            <w:pPr>
              <w:pStyle w:val="TableContents"/>
              <w:bidi w:val="0"/>
              <w:spacing w:before="0" w:after="283"/>
              <w:rPr/>
            </w:pPr>
            <w:r>
              <w:rPr>
                <w:rStyle w:val="Strong"/>
              </w:rPr>
              <w:t>5.1</w:t>
            </w:r>
            <w:r>
              <w:rPr/>
              <w:t xml:space="preserve"> The roof surfaces are designed and sealed as a flat roof or a flatly inclined roof. Green roofing, gravel or occupancy is carried out according to the open-air and drainage concept.</w:t>
            </w:r>
          </w:p>
        </w:tc>
      </w:tr>
      <w:tr>
        <w:trPr/>
        <w:tc>
          <w:tcPr>
            <w:tcW w:w="7738" w:type="dxa"/>
            <w:tcBorders/>
            <w:vAlign w:val="center"/>
          </w:tcPr>
          <w:p>
            <w:pPr>
              <w:pStyle w:val="TableContents"/>
              <w:bidi w:val="0"/>
              <w:spacing w:before="0" w:after="283"/>
              <w:rPr/>
            </w:pPr>
            <w:r>
              <w:rPr>
                <w:rStyle w:val="Strong"/>
              </w:rPr>
              <w:t>5.2</w:t>
            </w:r>
            <w:r>
              <w:rPr/>
              <w:t xml:space="preserve"> Eine Nutzung der Dachflächen durch die Erwerber des Hauses 4 ist nicht geschuldet, soweit nicht in der Teilungserklärung ausdrücklich ein Sondernutzungsrecht zugewiesen ist.</w:t>
            </w:r>
          </w:p>
        </w:tc>
        <w:tc>
          <w:tcPr>
            <w:tcW w:w="7796" w:type="dxa"/>
            <w:tcBorders/>
            <w:vAlign w:val="center"/>
          </w:tcPr>
          <w:p>
            <w:pPr>
              <w:pStyle w:val="TableContents"/>
              <w:bidi w:val="0"/>
              <w:spacing w:before="0" w:after="283"/>
              <w:rPr/>
            </w:pPr>
            <w:r>
              <w:rPr>
                <w:rStyle w:val="Strong"/>
              </w:rPr>
              <w:t>5.2</w:t>
            </w:r>
            <w:r>
              <w:rPr/>
              <w:t xml:space="preserve"> A use of the roof areas by the purchasers of House 4 is not owed, unless a special right of use is explicitly assigned in the declaration of division.</w:t>
            </w:r>
          </w:p>
        </w:tc>
      </w:tr>
      <w:tr>
        <w:trPr/>
        <w:tc>
          <w:tcPr>
            <w:tcW w:w="7738" w:type="dxa"/>
            <w:tcBorders/>
            <w:vAlign w:val="center"/>
          </w:tcPr>
          <w:p>
            <w:pPr>
              <w:pStyle w:val="Heading1"/>
              <w:bidi w:val="0"/>
              <w:spacing w:before="240" w:after="283"/>
              <w:ind w:hanging="0" w:start="0" w:end="0"/>
              <w:rPr/>
            </w:pPr>
            <w:bookmarkStart w:id="60" w:name="fenster-außentüren-verglasung"/>
            <w:bookmarkEnd w:id="60"/>
            <w:r>
              <w:rPr/>
              <w:t>6 Fenster, Außentüren, Verglasung</w:t>
            </w:r>
          </w:p>
        </w:tc>
        <w:tc>
          <w:tcPr>
            <w:tcW w:w="7796" w:type="dxa"/>
            <w:tcBorders/>
            <w:vAlign w:val="center"/>
          </w:tcPr>
          <w:p>
            <w:pPr>
              <w:pStyle w:val="Heading1"/>
              <w:bidi w:val="0"/>
              <w:spacing w:before="240" w:after="283"/>
              <w:ind w:hanging="0" w:start="0" w:end="0"/>
              <w:rPr/>
            </w:pPr>
            <w:bookmarkStart w:id="61" w:name="windows-exterior-doors-glazing"/>
            <w:bookmarkEnd w:id="61"/>
            <w:r>
              <w:rPr/>
              <w:t>6 windows, exterior doors, glazing</w:t>
            </w:r>
          </w:p>
        </w:tc>
      </w:tr>
      <w:tr>
        <w:trPr/>
        <w:tc>
          <w:tcPr>
            <w:tcW w:w="7738" w:type="dxa"/>
            <w:tcBorders/>
            <w:vAlign w:val="center"/>
          </w:tcPr>
          <w:p>
            <w:pPr>
              <w:pStyle w:val="TableContents"/>
              <w:bidi w:val="0"/>
              <w:spacing w:before="0" w:after="283"/>
              <w:rPr/>
            </w:pPr>
            <w:r>
              <w:rPr>
                <w:rStyle w:val="Strong"/>
              </w:rPr>
              <w:t>6.1</w:t>
            </w:r>
            <w:r>
              <w:rPr/>
              <w:t xml:space="preserve"> Die Fenster der Wohnung 4.27 werden als Kunststoff-, Kunststoff-Aluminium- oder Aluminiumfenster mit Mehrscheiben-Isolierverglasung ausgeführt; Profilwahl, Standardbeschlag, Öffnungsart und Farbton trifft der Verkäufer im Rahmen des Fassaden- und Energiekonzepts für Haus 4. Außenfarbton, Rahmenbreite und Teilungen folgen dem Fassadenraster B4-F-03; innen ist eine helle Standardoberfläche vorgesehen.</w:t>
            </w:r>
          </w:p>
        </w:tc>
        <w:tc>
          <w:tcPr>
            <w:tcW w:w="7796" w:type="dxa"/>
            <w:tcBorders/>
            <w:vAlign w:val="center"/>
          </w:tcPr>
          <w:p>
            <w:pPr>
              <w:pStyle w:val="TableContents"/>
              <w:bidi w:val="0"/>
              <w:spacing w:before="0" w:after="283"/>
              <w:rPr/>
            </w:pPr>
            <w:r>
              <w:rPr>
                <w:rStyle w:val="Strong"/>
              </w:rPr>
              <w:t>6.1</w:t>
            </w:r>
            <w:r>
              <w:rPr/>
              <w:t xml:space="preserve"> The windows of the apartment 4.27 are designed as plastic, plastic aluminum or aluminum windows with multiple-glazing; Profile selection, standard fitting, opening type and colour shade are made by the Seller within the framework of the facade and energy concept for House 4. External color, frame width and divisions follow the facade grid B4-F-03; A bright standard surface is provided on the inside.</w:t>
            </w:r>
          </w:p>
        </w:tc>
      </w:tr>
      <w:tr>
        <w:trPr/>
        <w:tc>
          <w:tcPr>
            <w:tcW w:w="7738" w:type="dxa"/>
            <w:tcBorders/>
            <w:vAlign w:val="center"/>
          </w:tcPr>
          <w:p>
            <w:pPr>
              <w:pStyle w:val="TableContents"/>
              <w:bidi w:val="0"/>
              <w:spacing w:before="0" w:after="283"/>
              <w:rPr/>
            </w:pPr>
            <w:r>
              <w:rPr>
                <w:rStyle w:val="Strong"/>
              </w:rPr>
              <w:t>6.2</w:t>
            </w:r>
            <w:r>
              <w:rPr/>
              <w:t xml:space="preserve"> Ein Teil der Fenster und Fenstertüren wird mit außenliegendem Sonnenschutz ausgestattet. Welche Öffnungen der Wohnung 4.27 Sonnenschutz erhalten, richtet sich nach Fassadenlage, Windwächterkonzept, Verschattung der Nachbarbaukörper und technischer Durchführbarkeit; die Festlegung trifft der Verkäufer.</w:t>
            </w:r>
          </w:p>
        </w:tc>
        <w:tc>
          <w:tcPr>
            <w:tcW w:w="7796" w:type="dxa"/>
            <w:tcBorders/>
            <w:vAlign w:val="center"/>
          </w:tcPr>
          <w:p>
            <w:pPr>
              <w:pStyle w:val="TableContents"/>
              <w:bidi w:val="0"/>
              <w:spacing w:before="0" w:after="283"/>
              <w:rPr/>
            </w:pPr>
            <w:r>
              <w:rPr>
                <w:rStyle w:val="Strong"/>
              </w:rPr>
              <w:t>6.2</w:t>
            </w:r>
            <w:r>
              <w:rPr/>
              <w:t xml:space="preserve"> Part of the windows and window doors are equipped with external sun protection. Which openings of the apartment 4.27 receive sun protection depends on facade location, wind guard concept, shading of the neighboring buildings and technical feasibility; It is determined by the Seller.</w:t>
            </w:r>
          </w:p>
        </w:tc>
      </w:tr>
      <w:tr>
        <w:trPr/>
        <w:tc>
          <w:tcPr>
            <w:tcW w:w="7738" w:type="dxa"/>
            <w:tcBorders/>
            <w:vAlign w:val="center"/>
          </w:tcPr>
          <w:p>
            <w:pPr>
              <w:pStyle w:val="TableContents"/>
              <w:bidi w:val="0"/>
              <w:spacing w:before="0" w:after="283"/>
              <w:rPr/>
            </w:pPr>
            <w:r>
              <w:rPr>
                <w:rStyle w:val="Strong"/>
              </w:rPr>
              <w:t>6.3</w:t>
            </w:r>
            <w:r>
              <w:rPr/>
              <w:t xml:space="preserve"> Die Wohnungseingangstür der Einheit 4.27 wird als dichtschließende Tür mit Spion, Mehrfachverriegelung nach Verkäuferstandard, Edelstahl-Drückergarnitur und der im Treppenhaus Haus 4 verwendeten Oberflächenserie ausgeführt; weitergehende Widerstands- oder Schallschutzklassen werden nur geschuldet, wenn sie ausdrücklich mit Kennwert vereinbart sind.</w:t>
            </w:r>
          </w:p>
        </w:tc>
        <w:tc>
          <w:tcPr>
            <w:tcW w:w="7796" w:type="dxa"/>
            <w:tcBorders/>
            <w:vAlign w:val="center"/>
          </w:tcPr>
          <w:p>
            <w:pPr>
              <w:pStyle w:val="TableContents"/>
              <w:bidi w:val="0"/>
              <w:spacing w:before="0" w:after="283"/>
              <w:rPr/>
            </w:pPr>
            <w:r>
              <w:rPr>
                <w:rStyle w:val="Strong"/>
              </w:rPr>
              <w:t>6.3</w:t>
            </w:r>
            <w:r>
              <w:rPr/>
              <w:t xml:space="preserve"> The apartment entrance door of unit 4.27 is designed as a tight-closing door with spy, multiple-locking according to Seller standard, stainless steel pusher fitting and the series of surfaces used in stairwell house 4; Further resistance or sound protection classes are only owed if they are expressly agreed with the characteristic value.</w:t>
            </w:r>
          </w:p>
        </w:tc>
      </w:tr>
      <w:tr>
        <w:trPr/>
        <w:tc>
          <w:tcPr>
            <w:tcW w:w="7738" w:type="dxa"/>
            <w:tcBorders/>
            <w:vAlign w:val="center"/>
          </w:tcPr>
          <w:p>
            <w:pPr>
              <w:pStyle w:val="Heading1"/>
              <w:bidi w:val="0"/>
              <w:spacing w:before="240" w:after="283"/>
              <w:ind w:hanging="0" w:start="0" w:end="0"/>
              <w:rPr/>
            </w:pPr>
            <w:bookmarkStart w:id="62" w:name="innenausbau-wände-decken-estrich"/>
            <w:bookmarkEnd w:id="62"/>
            <w:r>
              <w:rPr/>
              <w:t>7 Innenausbau, Wände, Decken, Estrich</w:t>
            </w:r>
          </w:p>
        </w:tc>
        <w:tc>
          <w:tcPr>
            <w:tcW w:w="7796" w:type="dxa"/>
            <w:tcBorders/>
            <w:vAlign w:val="center"/>
          </w:tcPr>
          <w:p>
            <w:pPr>
              <w:pStyle w:val="Heading1"/>
              <w:bidi w:val="0"/>
              <w:spacing w:before="240" w:after="283"/>
              <w:ind w:hanging="0" w:start="0" w:end="0"/>
              <w:rPr/>
            </w:pPr>
            <w:bookmarkStart w:id="63" w:name="interior-walls-ceilings-floor-screed"/>
            <w:bookmarkEnd w:id="63"/>
            <w:r>
              <w:rPr/>
              <w:t>7 Interior, walls, ceilings, floor screed</w:t>
            </w:r>
          </w:p>
        </w:tc>
      </w:tr>
      <w:tr>
        <w:trPr/>
        <w:tc>
          <w:tcPr>
            <w:tcW w:w="7738" w:type="dxa"/>
            <w:tcBorders/>
            <w:vAlign w:val="center"/>
          </w:tcPr>
          <w:p>
            <w:pPr>
              <w:pStyle w:val="TableContents"/>
              <w:bidi w:val="0"/>
              <w:spacing w:before="0" w:after="283"/>
              <w:rPr/>
            </w:pPr>
            <w:r>
              <w:rPr>
                <w:rStyle w:val="Strong"/>
              </w:rPr>
              <w:t>7.1</w:t>
            </w:r>
            <w:r>
              <w:rPr/>
              <w:t xml:space="preserve"> Wand- und Deckenflächen werden verputzt bzw. in Trockenbau hergestellt und für eine malerfertige bzw. tapezierfertige Oberfläche vorbereitet. Ein Anstrich der Wände in den Wohnräumen ist im Standard nicht enthalten, soweit in der Bemusterung nichts anderes festgelegt wird.</w:t>
            </w:r>
          </w:p>
        </w:tc>
        <w:tc>
          <w:tcPr>
            <w:tcW w:w="7796" w:type="dxa"/>
            <w:tcBorders/>
            <w:vAlign w:val="center"/>
          </w:tcPr>
          <w:p>
            <w:pPr>
              <w:pStyle w:val="TableContents"/>
              <w:bidi w:val="0"/>
              <w:spacing w:before="0" w:after="283"/>
              <w:rPr/>
            </w:pPr>
            <w:r>
              <w:rPr>
                <w:rStyle w:val="Strong"/>
              </w:rPr>
              <w:t>7.1</w:t>
            </w:r>
            <w:r>
              <w:rPr/>
              <w:t xml:space="preserve"> Wall and ceiling surfaces are plastered or made in drywall and prepared for a paint-ready or paper-ready surface. A painting of the walls in the living rooms is not included in the standard, unless otherwise specified during selection.</w:t>
            </w:r>
          </w:p>
        </w:tc>
      </w:tr>
      <w:tr>
        <w:trPr/>
        <w:tc>
          <w:tcPr>
            <w:tcW w:w="7738" w:type="dxa"/>
            <w:tcBorders/>
            <w:vAlign w:val="center"/>
          </w:tcPr>
          <w:p>
            <w:pPr>
              <w:pStyle w:val="TableContents"/>
              <w:bidi w:val="0"/>
              <w:spacing w:before="0" w:after="283"/>
              <w:rPr/>
            </w:pPr>
            <w:r>
              <w:rPr>
                <w:rStyle w:val="Strong"/>
              </w:rPr>
              <w:t>7.2</w:t>
            </w:r>
            <w:r>
              <w:rPr/>
              <w:t xml:space="preserve"> In den Wohnräumen wird ein schwimmender Estrich auf Dämmung eingebracht. Der Estrich wird für die in Abschnitt 8 vorgesehenen Bodenbeläge vorbereitet.</w:t>
            </w:r>
          </w:p>
        </w:tc>
        <w:tc>
          <w:tcPr>
            <w:tcW w:w="7796" w:type="dxa"/>
            <w:tcBorders/>
            <w:vAlign w:val="center"/>
          </w:tcPr>
          <w:p>
            <w:pPr>
              <w:pStyle w:val="TableContents"/>
              <w:bidi w:val="0"/>
              <w:spacing w:before="0" w:after="283"/>
              <w:rPr/>
            </w:pPr>
            <w:r>
              <w:rPr>
                <w:rStyle w:val="Strong"/>
              </w:rPr>
              <w:t>7.2</w:t>
            </w:r>
            <w:r>
              <w:rPr/>
              <w:t xml:space="preserve"> A floating screed is placed on insulation in the living quarters. The screed is prepared for the floor coverings provided for in Section 8.</w:t>
            </w:r>
          </w:p>
        </w:tc>
      </w:tr>
      <w:tr>
        <w:trPr/>
        <w:tc>
          <w:tcPr>
            <w:tcW w:w="7738" w:type="dxa"/>
            <w:tcBorders/>
            <w:vAlign w:val="center"/>
          </w:tcPr>
          <w:p>
            <w:pPr>
              <w:pStyle w:val="Heading1"/>
              <w:bidi w:val="0"/>
              <w:spacing w:before="240" w:after="283"/>
              <w:ind w:hanging="0" w:start="0" w:end="0"/>
              <w:rPr/>
            </w:pPr>
            <w:bookmarkStart w:id="64" w:name="bodenbeläge"/>
            <w:bookmarkEnd w:id="64"/>
            <w:r>
              <w:rPr/>
              <w:t>8 Bodenbeläge</w:t>
            </w:r>
          </w:p>
        </w:tc>
        <w:tc>
          <w:tcPr>
            <w:tcW w:w="7796" w:type="dxa"/>
            <w:tcBorders/>
            <w:vAlign w:val="center"/>
          </w:tcPr>
          <w:p>
            <w:pPr>
              <w:pStyle w:val="Heading1"/>
              <w:bidi w:val="0"/>
              <w:spacing w:before="240" w:after="283"/>
              <w:ind w:hanging="0" w:start="0" w:end="0"/>
              <w:rPr/>
            </w:pPr>
            <w:bookmarkStart w:id="65" w:name="floor-coverings"/>
            <w:bookmarkEnd w:id="65"/>
            <w:r>
              <w:rPr/>
              <w:t>8 Floor coverings</w:t>
            </w:r>
          </w:p>
        </w:tc>
      </w:tr>
      <w:tr>
        <w:trPr/>
        <w:tc>
          <w:tcPr>
            <w:tcW w:w="7738" w:type="dxa"/>
            <w:tcBorders/>
            <w:vAlign w:val="center"/>
          </w:tcPr>
          <w:p>
            <w:pPr>
              <w:pStyle w:val="TableContents"/>
              <w:bidi w:val="0"/>
              <w:spacing w:before="0" w:after="283"/>
              <w:rPr/>
            </w:pPr>
            <w:r>
              <w:rPr>
                <w:rStyle w:val="Strong"/>
              </w:rPr>
              <w:t>8.1</w:t>
            </w:r>
            <w:r>
              <w:rPr/>
              <w:t xml:space="preserve"> Die Wohn- und Schlafräume der Wohnung 4.27 erhalten einen Bodenbelag aus der Bemusterungslinie „Birkenpfuhl Komfort B4” (Design-Vinyl oder Mehrschichtboden in Eiche-, Sand- oder Greigetönen aus den Serien B4-01 bis B4-06). Bad und Gäste-WC erhalten Fliesenbeläge aus der Serie B4-Bad in den Formaten 30 x 60 cm oder 60 x 60 cm; Verlegebild, Sockelausbildung und Fugenfarbe richten sich nach der Bemusterung und den technischen Erfordernissen.</w:t>
            </w:r>
          </w:p>
        </w:tc>
        <w:tc>
          <w:tcPr>
            <w:tcW w:w="7796" w:type="dxa"/>
            <w:tcBorders/>
            <w:vAlign w:val="center"/>
          </w:tcPr>
          <w:p>
            <w:pPr>
              <w:pStyle w:val="TableContents"/>
              <w:bidi w:val="0"/>
              <w:spacing w:before="0" w:after="283"/>
              <w:rPr/>
            </w:pPr>
            <w:r>
              <w:rPr>
                <w:rStyle w:val="Strong"/>
              </w:rPr>
              <w:t>8.1</w:t>
            </w:r>
            <w:r>
              <w:rPr/>
              <w:t xml:space="preserve"> The living and sleeping rooms of apartment 4.27 receive a floor covering from the pattern line “Birkenpfuhl Comfort B4” (design vinyl or multilayer floor in oak, sand or grey tones from the B4-01 to B4-06 series). Bathroom and guest toilet receive tile coverings from the B4 Bathroom series in the formats 30 x 60 cm or 60 x 60 cm; The laying pattern, base design and joint color depend on the patterning and technical requirements.</w:t>
            </w:r>
          </w:p>
        </w:tc>
      </w:tr>
      <w:tr>
        <w:trPr/>
        <w:tc>
          <w:tcPr>
            <w:tcW w:w="7738" w:type="dxa"/>
            <w:tcBorders/>
            <w:vAlign w:val="center"/>
          </w:tcPr>
          <w:p>
            <w:pPr>
              <w:pStyle w:val="TableContents"/>
              <w:bidi w:val="0"/>
              <w:spacing w:before="0" w:after="283"/>
              <w:rPr/>
            </w:pPr>
            <w:r>
              <w:rPr>
                <w:rStyle w:val="Strong"/>
              </w:rPr>
              <w:t>8.2</w:t>
            </w:r>
            <w:r>
              <w:rPr/>
              <w:t xml:space="preserve"> Der Käufer kann im Rahmen der Bemusterung aus den zum Bemusterungstermin verfügbaren Serien B4-01 bis B4-06 und B4-Bad auswählen, soweit der Baufortschritt dies noch zulässt. Eine Auswahl außerhalb dieser Serien ist als Sonderwunsch gesondert zu vereinbaren und zu vergüten.</w:t>
            </w:r>
          </w:p>
        </w:tc>
        <w:tc>
          <w:tcPr>
            <w:tcW w:w="7796" w:type="dxa"/>
            <w:tcBorders/>
            <w:vAlign w:val="center"/>
          </w:tcPr>
          <w:p>
            <w:pPr>
              <w:pStyle w:val="TableContents"/>
              <w:bidi w:val="0"/>
              <w:spacing w:before="0" w:after="283"/>
              <w:rPr/>
            </w:pPr>
            <w:r>
              <w:rPr>
                <w:rStyle w:val="Strong"/>
              </w:rPr>
              <w:t>8.2</w:t>
            </w:r>
            <w:r>
              <w:rPr/>
              <w:t xml:space="preserve"> The Buyer can select from the series B4-01 to B4-06 and B4-Bad available at the sampling date as far as the construction progress still allows. A selection outside of these series is to be agreed and paid separately as a special request.</w:t>
            </w:r>
          </w:p>
        </w:tc>
      </w:tr>
      <w:tr>
        <w:trPr/>
        <w:tc>
          <w:tcPr>
            <w:tcW w:w="7738" w:type="dxa"/>
            <w:tcBorders/>
            <w:vAlign w:val="center"/>
          </w:tcPr>
          <w:p>
            <w:pPr>
              <w:pStyle w:val="Heading1"/>
              <w:bidi w:val="0"/>
              <w:spacing w:before="240" w:after="283"/>
              <w:ind w:hanging="0" w:start="0" w:end="0"/>
              <w:rPr/>
            </w:pPr>
            <w:bookmarkStart w:id="66" w:name="innentüren"/>
            <w:bookmarkEnd w:id="66"/>
            <w:r>
              <w:rPr/>
              <w:t>9 Innentüren</w:t>
            </w:r>
          </w:p>
        </w:tc>
        <w:tc>
          <w:tcPr>
            <w:tcW w:w="7796" w:type="dxa"/>
            <w:tcBorders/>
            <w:vAlign w:val="center"/>
          </w:tcPr>
          <w:p>
            <w:pPr>
              <w:pStyle w:val="Heading1"/>
              <w:bidi w:val="0"/>
              <w:spacing w:before="240" w:after="283"/>
              <w:ind w:hanging="0" w:start="0" w:end="0"/>
              <w:rPr/>
            </w:pPr>
            <w:bookmarkStart w:id="67" w:name="interior-doors"/>
            <w:bookmarkEnd w:id="67"/>
            <w:r>
              <w:rPr/>
              <w:t>9 Interior doors</w:t>
            </w:r>
          </w:p>
        </w:tc>
      </w:tr>
      <w:tr>
        <w:trPr/>
        <w:tc>
          <w:tcPr>
            <w:tcW w:w="7738" w:type="dxa"/>
            <w:tcBorders/>
            <w:vAlign w:val="center"/>
          </w:tcPr>
          <w:p>
            <w:pPr>
              <w:pStyle w:val="TableContents"/>
              <w:bidi w:val="0"/>
              <w:spacing w:before="0" w:after="283"/>
              <w:rPr/>
            </w:pPr>
            <w:r>
              <w:rPr>
                <w:rStyle w:val="Strong"/>
              </w:rPr>
              <w:t>9.1</w:t>
            </w:r>
            <w:r>
              <w:rPr/>
              <w:t xml:space="preserve"> Die Innentüren der Wohnung 4.27 werden als glatte Zimmertüren mit CPL- oder Lackoberfläche in Weiß- bzw. Greigetönen eingebaut. Zargen, Bänder und Drückergarnituren richten sich nach der Türserie B4-Tür; abweichende Türhöhen, Glasausschnitte oder Sonderbeschläge sind Sonderwünsche.</w:t>
            </w:r>
          </w:p>
        </w:tc>
        <w:tc>
          <w:tcPr>
            <w:tcW w:w="7796" w:type="dxa"/>
            <w:tcBorders/>
            <w:vAlign w:val="center"/>
          </w:tcPr>
          <w:p>
            <w:pPr>
              <w:pStyle w:val="TableContents"/>
              <w:bidi w:val="0"/>
              <w:spacing w:before="0" w:after="283"/>
              <w:rPr/>
            </w:pPr>
            <w:r>
              <w:rPr>
                <w:rStyle w:val="Strong"/>
              </w:rPr>
              <w:t>9.1</w:t>
            </w:r>
            <w:r>
              <w:rPr/>
              <w:t xml:space="preserve"> The interior doors of apartment 4.27 are installed as smooth room doors with CPL or lacquer surface in white or grey tones. Bodies, belts and button fittings are based on the B4 door series; Deviating door heights, glass cutouts or special fittings are special requests.</w:t>
            </w:r>
          </w:p>
        </w:tc>
      </w:tr>
      <w:tr>
        <w:trPr/>
        <w:tc>
          <w:tcPr>
            <w:tcW w:w="7738" w:type="dxa"/>
            <w:tcBorders/>
            <w:vAlign w:val="center"/>
          </w:tcPr>
          <w:p>
            <w:pPr>
              <w:pStyle w:val="Heading1"/>
              <w:bidi w:val="0"/>
              <w:spacing w:before="240" w:after="283"/>
              <w:ind w:hanging="0" w:start="0" w:end="0"/>
              <w:rPr/>
            </w:pPr>
            <w:bookmarkStart w:id="68" w:name="sanitärobjekte-und-sanitärausstattung"/>
            <w:bookmarkEnd w:id="68"/>
            <w:r>
              <w:rPr/>
              <w:t>10 Sanitärobjekte und Sanitärausstattung</w:t>
            </w:r>
          </w:p>
        </w:tc>
        <w:tc>
          <w:tcPr>
            <w:tcW w:w="7796" w:type="dxa"/>
            <w:tcBorders/>
            <w:vAlign w:val="center"/>
          </w:tcPr>
          <w:p>
            <w:pPr>
              <w:pStyle w:val="Heading1"/>
              <w:bidi w:val="0"/>
              <w:spacing w:before="240" w:after="283"/>
              <w:ind w:hanging="0" w:start="0" w:end="0"/>
              <w:rPr/>
            </w:pPr>
            <w:bookmarkStart w:id="69" w:name="sanitary-objects-and-sanitary-equipment"/>
            <w:bookmarkEnd w:id="69"/>
            <w:r>
              <w:rPr/>
              <w:t>10 Sanitary objects and sanitary equipment</w:t>
            </w:r>
          </w:p>
        </w:tc>
      </w:tr>
      <w:tr>
        <w:trPr/>
        <w:tc>
          <w:tcPr>
            <w:tcW w:w="7738" w:type="dxa"/>
            <w:tcBorders/>
            <w:vAlign w:val="center"/>
          </w:tcPr>
          <w:p>
            <w:pPr>
              <w:pStyle w:val="TableContents"/>
              <w:bidi w:val="0"/>
              <w:spacing w:before="0" w:after="283"/>
              <w:rPr/>
            </w:pPr>
            <w:r>
              <w:rPr>
                <w:rStyle w:val="Strong"/>
              </w:rPr>
              <w:t>10.1</w:t>
            </w:r>
            <w:r>
              <w:rPr/>
              <w:t xml:space="preserve"> Bad und Gäste-WC werden mit weißen Sanitärobjekten aus dem Sanitärprogramm B4 ausgestattet (Waschtisch, WC, bodengleiche Dusche und/oder Badewanne je nach Ausführungsplan). Armaturen werden als Einhebelmischer in verchromter Ausführung aus der vom Verkäufer geführten Standardserie geliefert; Unterputz- oder Sonderarmaturen sind nur als Sonderwunsch geschuldet.</w:t>
            </w:r>
          </w:p>
        </w:tc>
        <w:tc>
          <w:tcPr>
            <w:tcW w:w="7796" w:type="dxa"/>
            <w:tcBorders/>
            <w:vAlign w:val="center"/>
          </w:tcPr>
          <w:p>
            <w:pPr>
              <w:pStyle w:val="TableContents"/>
              <w:bidi w:val="0"/>
              <w:spacing w:before="0" w:after="283"/>
              <w:rPr/>
            </w:pPr>
            <w:r>
              <w:rPr>
                <w:rStyle w:val="Strong"/>
              </w:rPr>
              <w:t>10.1</w:t>
            </w:r>
            <w:r>
              <w:rPr/>
              <w:t xml:space="preserve"> Bathroom and guest toilet are equipped with white sanitary objects from the sanitary program B4 (washroom, toilet, floor-level shower and/or bathtub depending on the execution plan). valves are supplied as single-lever mixers in a chrome-plated version from the standard series run by the Seller; Flush or special fittings are owed only as a special request.</w:t>
            </w:r>
          </w:p>
        </w:tc>
      </w:tr>
      <w:tr>
        <w:trPr/>
        <w:tc>
          <w:tcPr>
            <w:tcW w:w="7738" w:type="dxa"/>
            <w:tcBorders/>
            <w:vAlign w:val="center"/>
          </w:tcPr>
          <w:p>
            <w:pPr>
              <w:pStyle w:val="TableContents"/>
              <w:bidi w:val="0"/>
              <w:spacing w:before="0" w:after="283"/>
              <w:rPr/>
            </w:pPr>
            <w:r>
              <w:rPr>
                <w:rStyle w:val="Strong"/>
              </w:rPr>
              <w:t>10.2</w:t>
            </w:r>
            <w:r>
              <w:rPr/>
              <w:t xml:space="preserve"> Anzahl, Anordnung und Art der Sanitärobjekte ergeben sich aus den Ausführungsplänen. Änderungen der Anordnung infolge der Haustechnik- und Schachtplanung bleiben vorbehalten.</w:t>
            </w:r>
          </w:p>
        </w:tc>
        <w:tc>
          <w:tcPr>
            <w:tcW w:w="7796" w:type="dxa"/>
            <w:tcBorders/>
            <w:vAlign w:val="center"/>
          </w:tcPr>
          <w:p>
            <w:pPr>
              <w:pStyle w:val="TableContents"/>
              <w:bidi w:val="0"/>
              <w:spacing w:before="0" w:after="283"/>
              <w:rPr/>
            </w:pPr>
            <w:r>
              <w:rPr>
                <w:rStyle w:val="Strong"/>
              </w:rPr>
              <w:t>10.2</w:t>
            </w:r>
            <w:r>
              <w:rPr/>
              <w:t xml:space="preserve"> The number, arrangement and type of sanitary objects result from the implementation plans. Changes to the arrangement as a result of the building technology and shaft planning remain reserved.</w:t>
            </w:r>
          </w:p>
        </w:tc>
      </w:tr>
      <w:tr>
        <w:trPr/>
        <w:tc>
          <w:tcPr>
            <w:tcW w:w="7738" w:type="dxa"/>
            <w:tcBorders/>
            <w:vAlign w:val="center"/>
          </w:tcPr>
          <w:p>
            <w:pPr>
              <w:pStyle w:val="Heading1"/>
              <w:bidi w:val="0"/>
              <w:spacing w:before="240" w:after="283"/>
              <w:ind w:hanging="0" w:start="0" w:end="0"/>
              <w:rPr/>
            </w:pPr>
            <w:bookmarkStart w:id="70" w:name="heizung-warmwasser"/>
            <w:bookmarkEnd w:id="70"/>
            <w:r>
              <w:rPr/>
              <w:t>11 Heizung, Warmwasser</w:t>
            </w:r>
          </w:p>
        </w:tc>
        <w:tc>
          <w:tcPr>
            <w:tcW w:w="7796" w:type="dxa"/>
            <w:tcBorders/>
            <w:vAlign w:val="center"/>
          </w:tcPr>
          <w:p>
            <w:pPr>
              <w:pStyle w:val="Heading1"/>
              <w:bidi w:val="0"/>
              <w:spacing w:before="240" w:after="283"/>
              <w:ind w:hanging="0" w:start="0" w:end="0"/>
              <w:rPr/>
            </w:pPr>
            <w:bookmarkStart w:id="71" w:name="heating-hot-water"/>
            <w:bookmarkEnd w:id="71"/>
            <w:r>
              <w:rPr/>
              <w:t>11 Heating, hot water</w:t>
            </w:r>
          </w:p>
        </w:tc>
      </w:tr>
      <w:tr>
        <w:trPr/>
        <w:tc>
          <w:tcPr>
            <w:tcW w:w="7738" w:type="dxa"/>
            <w:tcBorders/>
            <w:vAlign w:val="center"/>
          </w:tcPr>
          <w:p>
            <w:pPr>
              <w:pStyle w:val="TableContents"/>
              <w:bidi w:val="0"/>
              <w:spacing w:before="0" w:after="283"/>
              <w:rPr/>
            </w:pPr>
            <w:r>
              <w:rPr>
                <w:rStyle w:val="Strong"/>
              </w:rPr>
              <w:t>11.1</w:t>
            </w:r>
            <w:r>
              <w:rPr/>
              <w:t xml:space="preserve"> Die Beheizung und Warmwasserbereitung von Haus 4 erfolgt über eine zentrale Anlage nach dem Quartiersversorgungskonzept (Fernwärme, Wärmepumpe, Brennwerttechnik oder eine Kombination hiervon). Die Wohnräume der Wohnung 4.27 erhalten Heizflächen als Fußbodenheizung und/oder Heizkörper nach Ausführungsplanung; Auslegung, Regelzonen und Verteilerlage richten sich nach TGA-Planung und Schachtführung.</w:t>
            </w:r>
          </w:p>
        </w:tc>
        <w:tc>
          <w:tcPr>
            <w:tcW w:w="7796" w:type="dxa"/>
            <w:tcBorders/>
            <w:vAlign w:val="center"/>
          </w:tcPr>
          <w:p>
            <w:pPr>
              <w:pStyle w:val="TableContents"/>
              <w:bidi w:val="0"/>
              <w:spacing w:before="0" w:after="283"/>
              <w:rPr/>
            </w:pPr>
            <w:r>
              <w:rPr>
                <w:rStyle w:val="Strong"/>
              </w:rPr>
              <w:t>11.1</w:t>
            </w:r>
            <w:r>
              <w:rPr/>
              <w:t xml:space="preserve"> The heating and heating of house 4 is carried out via a central system according to the district supply concept (district heating, heat pump, condensing technology or a combination thereof). The living rooms of the apartment 4.27 receive heating surfaces as floor heating and/or radiators according to execution planning; Design, control zones and distribution location are based on TGA planning and shaft guidance.</w:t>
            </w:r>
          </w:p>
        </w:tc>
      </w:tr>
      <w:tr>
        <w:trPr/>
        <w:tc>
          <w:tcPr>
            <w:tcW w:w="7738" w:type="dxa"/>
            <w:tcBorders/>
            <w:vAlign w:val="center"/>
          </w:tcPr>
          <w:p>
            <w:pPr>
              <w:pStyle w:val="TableContents"/>
              <w:bidi w:val="0"/>
              <w:spacing w:before="0" w:after="283"/>
              <w:rPr/>
            </w:pPr>
            <w:r>
              <w:rPr>
                <w:rStyle w:val="Strong"/>
              </w:rPr>
              <w:t>11.2</w:t>
            </w:r>
            <w:r>
              <w:rPr/>
              <w:t xml:space="preserve"> Die Wärme- und Warmwasserlieferung kann über einen Wärmeliefer-/Contractingvertrag erfolgen. Die hieraus entstehenden Kosten tragen die Erwerber nach Maßgabe der Teilungserklärung.</w:t>
            </w:r>
          </w:p>
        </w:tc>
        <w:tc>
          <w:tcPr>
            <w:tcW w:w="7796" w:type="dxa"/>
            <w:tcBorders/>
            <w:vAlign w:val="center"/>
          </w:tcPr>
          <w:p>
            <w:pPr>
              <w:pStyle w:val="TableContents"/>
              <w:bidi w:val="0"/>
              <w:spacing w:before="0" w:after="283"/>
              <w:rPr/>
            </w:pPr>
            <w:r>
              <w:rPr>
                <w:rStyle w:val="Strong"/>
              </w:rPr>
              <w:t>11.2</w:t>
            </w:r>
            <w:r>
              <w:rPr/>
              <w:t xml:space="preserve"> The supply of heat and hot water can take place via a heat supply/contracting contract. The purchasers shall bear the costs resulting therefrom in accordance with the declaration of division.</w:t>
            </w:r>
          </w:p>
        </w:tc>
      </w:tr>
      <w:tr>
        <w:trPr/>
        <w:tc>
          <w:tcPr>
            <w:tcW w:w="7738" w:type="dxa"/>
            <w:tcBorders/>
            <w:vAlign w:val="center"/>
          </w:tcPr>
          <w:p>
            <w:pPr>
              <w:pStyle w:val="Heading1"/>
              <w:bidi w:val="0"/>
              <w:spacing w:before="240" w:after="283"/>
              <w:ind w:hanging="0" w:start="0" w:end="0"/>
              <w:rPr/>
            </w:pPr>
            <w:bookmarkStart w:id="72" w:name="lüftung"/>
            <w:bookmarkEnd w:id="72"/>
            <w:r>
              <w:rPr/>
              <w:t>12 Lüftung</w:t>
            </w:r>
          </w:p>
        </w:tc>
        <w:tc>
          <w:tcPr>
            <w:tcW w:w="7796" w:type="dxa"/>
            <w:tcBorders/>
            <w:vAlign w:val="center"/>
          </w:tcPr>
          <w:p>
            <w:pPr>
              <w:pStyle w:val="Heading1"/>
              <w:bidi w:val="0"/>
              <w:spacing w:before="240" w:after="283"/>
              <w:ind w:hanging="0" w:start="0" w:end="0"/>
              <w:rPr/>
            </w:pPr>
            <w:bookmarkStart w:id="73" w:name="ventilation"/>
            <w:bookmarkEnd w:id="73"/>
            <w:r>
              <w:rPr/>
              <w:t>12 Ventilation</w:t>
            </w:r>
          </w:p>
        </w:tc>
      </w:tr>
      <w:tr>
        <w:trPr/>
        <w:tc>
          <w:tcPr>
            <w:tcW w:w="7738" w:type="dxa"/>
            <w:tcBorders/>
            <w:vAlign w:val="center"/>
          </w:tcPr>
          <w:p>
            <w:pPr>
              <w:pStyle w:val="TableContents"/>
              <w:bidi w:val="0"/>
              <w:spacing w:before="0" w:after="283"/>
              <w:rPr/>
            </w:pPr>
            <w:r>
              <w:rPr>
                <w:rStyle w:val="Strong"/>
              </w:rPr>
              <w:t>12.1</w:t>
            </w:r>
            <w:r>
              <w:rPr/>
              <w:t xml:space="preserve"> Innenliegende Bäder, Gäste-WC und fensterlose Abstellbereiche der Wohnung 4.27 werden nach dem Lüftungskonzept Haus 4 be- und entlüftet. Ob und in welchem Umfang eine kontrollierte Wohnraumlüftung mit Wärmerückgewinnung ausgeführt wird, richtet sich nach den energetischen Nachweisen, dem Lüftungskonzept und der Festlegung des Verkäufers. Eine bestimmte Luftwechselrate, ein bestimmter Schallschutzwert der Lüftung oder eine bestimmte sommerliche Raumtemperatur in den nach Südwesten orientierten Wohnräumen wird nicht geschuldet, soweit diese Werte nicht in einer Übergabeunterlage ausdrücklich genannt sind.</w:t>
            </w:r>
          </w:p>
        </w:tc>
        <w:tc>
          <w:tcPr>
            <w:tcW w:w="7796" w:type="dxa"/>
            <w:tcBorders/>
            <w:vAlign w:val="center"/>
          </w:tcPr>
          <w:p>
            <w:pPr>
              <w:pStyle w:val="TableContents"/>
              <w:bidi w:val="0"/>
              <w:spacing w:before="0" w:after="283"/>
              <w:rPr/>
            </w:pPr>
            <w:r>
              <w:rPr>
                <w:rStyle w:val="Strong"/>
              </w:rPr>
              <w:t>12.1</w:t>
            </w:r>
            <w:r>
              <w:rPr/>
              <w:t xml:space="preserve"> Interior bathrooms, guest toilet and windowless storage areas of apartment 4.27 are ventilated and ventilated according to the ventilation concept house 4. Whether and to what extent controlled residential ventilation with heat recovery is carried out depends on the energy proofs, the ventilation concept and the determination of the Seller. A certain air exchange rate, a certain sound insulation value of the ventilation or a certain summer room temperature in the south-west-oriented living rooms is not due, unless these values are expressly mentioned in a transfer document.</w:t>
            </w:r>
          </w:p>
        </w:tc>
      </w:tr>
      <w:tr>
        <w:trPr/>
        <w:tc>
          <w:tcPr>
            <w:tcW w:w="7738" w:type="dxa"/>
            <w:tcBorders/>
            <w:vAlign w:val="center"/>
          </w:tcPr>
          <w:p>
            <w:pPr>
              <w:pStyle w:val="Heading1"/>
              <w:bidi w:val="0"/>
              <w:spacing w:before="240" w:after="283"/>
              <w:ind w:hanging="0" w:start="0" w:end="0"/>
              <w:rPr/>
            </w:pPr>
            <w:bookmarkStart w:id="74" w:name="elektroinstallation-medien-lade--und-pv-"/>
            <w:bookmarkEnd w:id="74"/>
            <w:r>
              <w:rPr/>
              <w:t>13 Elektroinstallation, Medien, Lade- und PV-Infrastruktur</w:t>
            </w:r>
          </w:p>
        </w:tc>
        <w:tc>
          <w:tcPr>
            <w:tcW w:w="7796" w:type="dxa"/>
            <w:tcBorders/>
            <w:vAlign w:val="center"/>
          </w:tcPr>
          <w:p>
            <w:pPr>
              <w:pStyle w:val="Heading1"/>
              <w:bidi w:val="0"/>
              <w:spacing w:before="240" w:after="283"/>
              <w:ind w:hanging="0" w:start="0" w:end="0"/>
              <w:rPr/>
            </w:pPr>
            <w:bookmarkStart w:id="75" w:name="electrical-installation-media-charging-a"/>
            <w:bookmarkEnd w:id="75"/>
            <w:r>
              <w:rPr/>
              <w:t>13 Electrical installation, media, charging and PV infrastructure</w:t>
            </w:r>
          </w:p>
        </w:tc>
      </w:tr>
      <w:tr>
        <w:trPr/>
        <w:tc>
          <w:tcPr>
            <w:tcW w:w="7738" w:type="dxa"/>
            <w:tcBorders/>
            <w:vAlign w:val="center"/>
          </w:tcPr>
          <w:p>
            <w:pPr>
              <w:pStyle w:val="TableContents"/>
              <w:bidi w:val="0"/>
              <w:spacing w:before="0" w:after="283"/>
              <w:rPr/>
            </w:pPr>
            <w:r>
              <w:rPr>
                <w:rStyle w:val="Strong"/>
              </w:rPr>
              <w:t>13.1</w:t>
            </w:r>
            <w:r>
              <w:rPr/>
              <w:t xml:space="preserve"> Die Elektroinstallation der Wohnung 4.27 wird nach den einschlägigen technischen Regeln und dem Ausstattungsraster B4-Elektro ausgeführt. Anzahl und Position von Steckdosen, Schaltern, Deckenauslässen, Netzwerk-/Medienanschlüssen und Anschlüssen für Küche und Waschmaschine ergeben sich aus den Ausführungsplänen; Mehrpunkte sind als Sonderwunsch zu beauftragen.</w:t>
            </w:r>
          </w:p>
        </w:tc>
        <w:tc>
          <w:tcPr>
            <w:tcW w:w="7796" w:type="dxa"/>
            <w:tcBorders/>
            <w:vAlign w:val="center"/>
          </w:tcPr>
          <w:p>
            <w:pPr>
              <w:pStyle w:val="TableContents"/>
              <w:bidi w:val="0"/>
              <w:spacing w:before="0" w:after="283"/>
              <w:rPr/>
            </w:pPr>
            <w:r>
              <w:rPr>
                <w:rStyle w:val="Strong"/>
              </w:rPr>
              <w:t>13.1</w:t>
            </w:r>
            <w:r>
              <w:rPr/>
              <w:t xml:space="preserve"> The electrical installation of the apartment 4.27 is carried out according to the relevant technical rules and the equipment grid B4 Electric. the number and position of sockets, switches, ceiling outlets, network/media connections and kitchen and washing machine connections shall be determined in the implementation plans; Multipoints are to be commissioned as a special request.</w:t>
            </w:r>
          </w:p>
        </w:tc>
      </w:tr>
      <w:tr>
        <w:trPr/>
        <w:tc>
          <w:tcPr>
            <w:tcW w:w="7738" w:type="dxa"/>
            <w:tcBorders/>
            <w:vAlign w:val="center"/>
          </w:tcPr>
          <w:p>
            <w:pPr>
              <w:pStyle w:val="TableContents"/>
              <w:bidi w:val="0"/>
              <w:spacing w:before="0" w:after="283"/>
              <w:rPr/>
            </w:pPr>
            <w:r>
              <w:rPr>
                <w:rStyle w:val="Strong"/>
              </w:rPr>
              <w:t>13.2</w:t>
            </w:r>
            <w:r>
              <w:rPr/>
              <w:t xml:space="preserve"> Die Wohnung erhält einen Multimedia-/Datenanschluss im Wohnbereich sowie die nach Ausführungsplanung vorgesehenen Leitungswege zum Wohnungsverteiler. Eine bestimmte Bandbreite, Glasfaseraktivierung, Routerposition oder ein bestimmter Anbieter wird nicht geschuldet.</w:t>
            </w:r>
          </w:p>
        </w:tc>
        <w:tc>
          <w:tcPr>
            <w:tcW w:w="7796" w:type="dxa"/>
            <w:tcBorders/>
            <w:vAlign w:val="center"/>
          </w:tcPr>
          <w:p>
            <w:pPr>
              <w:pStyle w:val="TableContents"/>
              <w:bidi w:val="0"/>
              <w:spacing w:before="0" w:after="283"/>
              <w:rPr/>
            </w:pPr>
            <w:r>
              <w:rPr>
                <w:rStyle w:val="Strong"/>
              </w:rPr>
              <w:t>13.2</w:t>
            </w:r>
            <w:r>
              <w:rPr/>
              <w:t xml:space="preserve"> The apartment receives a multimedia/data connection in the living area as well as the line routes to the apartment distributor provided after execution planning. A certain bandwidth, fiber optic activation, router position or a certain provider is not owed.</w:t>
            </w:r>
          </w:p>
        </w:tc>
      </w:tr>
      <w:tr>
        <w:trPr/>
        <w:tc>
          <w:tcPr>
            <w:tcW w:w="7738" w:type="dxa"/>
            <w:tcBorders/>
            <w:vAlign w:val="center"/>
          </w:tcPr>
          <w:p>
            <w:pPr>
              <w:pStyle w:val="TableContents"/>
              <w:bidi w:val="0"/>
              <w:spacing w:before="0" w:after="283"/>
              <w:rPr/>
            </w:pPr>
            <w:r>
              <w:rPr>
                <w:rStyle w:val="Strong"/>
              </w:rPr>
              <w:t>13.3</w:t>
            </w:r>
            <w:r>
              <w:rPr/>
              <w:t xml:space="preserve"> Ob die Tiefgarage mit Lade-Infrastruktur und ob das Gebäude mit einer Photovoltaikanlage ausgestattet wird, bestimmt der Verkäufer im Rahmen der Gesamtplanung. Ein Anspruch des einzelnen Erwerbers hierauf besteht nicht.</w:t>
            </w:r>
          </w:p>
        </w:tc>
        <w:tc>
          <w:tcPr>
            <w:tcW w:w="7796" w:type="dxa"/>
            <w:tcBorders/>
            <w:vAlign w:val="center"/>
          </w:tcPr>
          <w:p>
            <w:pPr>
              <w:pStyle w:val="TableContents"/>
              <w:bidi w:val="0"/>
              <w:spacing w:before="0" w:after="283"/>
              <w:rPr/>
            </w:pPr>
            <w:r>
              <w:rPr>
                <w:rStyle w:val="Strong"/>
              </w:rPr>
              <w:t>13.3</w:t>
            </w:r>
            <w:r>
              <w:rPr/>
              <w:t xml:space="preserve"> Whether the underground car park is equipped with charging infrastructure and whether the building is equipped with a photovoltaic system is determined by the Seller as part of the overall planning. The individual acquirer is not entitled to this.</w:t>
            </w:r>
          </w:p>
        </w:tc>
      </w:tr>
      <w:tr>
        <w:trPr/>
        <w:tc>
          <w:tcPr>
            <w:tcW w:w="7738" w:type="dxa"/>
            <w:tcBorders/>
            <w:vAlign w:val="center"/>
          </w:tcPr>
          <w:p>
            <w:pPr>
              <w:pStyle w:val="Heading1"/>
              <w:bidi w:val="0"/>
              <w:spacing w:before="240" w:after="283"/>
              <w:ind w:hanging="0" w:start="0" w:end="0"/>
              <w:rPr/>
            </w:pPr>
            <w:bookmarkStart w:id="76" w:name="aufzug"/>
            <w:bookmarkEnd w:id="76"/>
            <w:r>
              <w:rPr/>
              <w:t>14 Aufzug</w:t>
            </w:r>
          </w:p>
        </w:tc>
        <w:tc>
          <w:tcPr>
            <w:tcW w:w="7796" w:type="dxa"/>
            <w:tcBorders/>
            <w:vAlign w:val="center"/>
          </w:tcPr>
          <w:p>
            <w:pPr>
              <w:pStyle w:val="Heading1"/>
              <w:bidi w:val="0"/>
              <w:spacing w:before="240" w:after="283"/>
              <w:ind w:hanging="0" w:start="0" w:end="0"/>
              <w:rPr/>
            </w:pPr>
            <w:bookmarkStart w:id="77" w:name="elevator"/>
            <w:bookmarkEnd w:id="77"/>
            <w:r>
              <w:rPr/>
              <w:t>14 Elevator</w:t>
            </w:r>
          </w:p>
        </w:tc>
      </w:tr>
      <w:tr>
        <w:trPr/>
        <w:tc>
          <w:tcPr>
            <w:tcW w:w="7738" w:type="dxa"/>
            <w:tcBorders/>
            <w:vAlign w:val="center"/>
          </w:tcPr>
          <w:p>
            <w:pPr>
              <w:pStyle w:val="TableContents"/>
              <w:bidi w:val="0"/>
              <w:spacing w:before="0" w:after="283"/>
              <w:rPr/>
            </w:pPr>
            <w:r>
              <w:rPr>
                <w:rStyle w:val="Strong"/>
              </w:rPr>
              <w:t>14.1</w:t>
            </w:r>
            <w:r>
              <w:rPr/>
              <w:t xml:space="preserve"> Haus 4 erhält einen Personenaufzug, der die Wohngeschosse, das Staffelgeschoss und die Tiefgarage erschließt. Fabrikat, Förderhöhe, Traglast, Türbreite, Kabinenoberflächen und Steuerung wählt der Verkäufer unter Berücksichtigung des Gebäudekonzepts und der Wartungsverträge der Erstbetriebsphase.</w:t>
            </w:r>
          </w:p>
        </w:tc>
        <w:tc>
          <w:tcPr>
            <w:tcW w:w="7796" w:type="dxa"/>
            <w:tcBorders/>
            <w:vAlign w:val="center"/>
          </w:tcPr>
          <w:p>
            <w:pPr>
              <w:pStyle w:val="TableContents"/>
              <w:bidi w:val="0"/>
              <w:spacing w:before="0" w:after="283"/>
              <w:rPr/>
            </w:pPr>
            <w:r>
              <w:rPr>
                <w:rStyle w:val="Strong"/>
              </w:rPr>
              <w:t>14.1</w:t>
            </w:r>
            <w:r>
              <w:rPr/>
              <w:t xml:space="preserve"> House 4 receives a passenger elevator which opens up the residential floors, the relay floor and the underground garage. Manufacture, conveyance height, load capacity, door width, cabin surfaces and control, the Seller selects, taking into account the building concept and the maintenance contracts of the initial operating phase.</w:t>
            </w:r>
          </w:p>
        </w:tc>
      </w:tr>
      <w:tr>
        <w:trPr/>
        <w:tc>
          <w:tcPr>
            <w:tcW w:w="7738" w:type="dxa"/>
            <w:tcBorders/>
            <w:vAlign w:val="center"/>
          </w:tcPr>
          <w:p>
            <w:pPr>
              <w:pStyle w:val="Heading1"/>
              <w:bidi w:val="0"/>
              <w:spacing w:before="240" w:after="283"/>
              <w:ind w:hanging="0" w:start="0" w:end="0"/>
              <w:rPr/>
            </w:pPr>
            <w:bookmarkStart w:id="78" w:name="tiefgarage"/>
            <w:bookmarkEnd w:id="78"/>
            <w:r>
              <w:rPr/>
              <w:t>15 Tiefgarage</w:t>
            </w:r>
          </w:p>
        </w:tc>
        <w:tc>
          <w:tcPr>
            <w:tcW w:w="7796" w:type="dxa"/>
            <w:tcBorders/>
            <w:vAlign w:val="center"/>
          </w:tcPr>
          <w:p>
            <w:pPr>
              <w:pStyle w:val="Heading1"/>
              <w:bidi w:val="0"/>
              <w:spacing w:before="240" w:after="283"/>
              <w:ind w:hanging="0" w:start="0" w:end="0"/>
              <w:rPr/>
            </w:pPr>
            <w:bookmarkStart w:id="79" w:name="underground-car-park"/>
            <w:bookmarkEnd w:id="79"/>
            <w:r>
              <w:rPr/>
              <w:t>15 underground car park</w:t>
            </w:r>
          </w:p>
        </w:tc>
      </w:tr>
      <w:tr>
        <w:trPr/>
        <w:tc>
          <w:tcPr>
            <w:tcW w:w="7738" w:type="dxa"/>
            <w:tcBorders/>
            <w:vAlign w:val="center"/>
          </w:tcPr>
          <w:p>
            <w:pPr>
              <w:pStyle w:val="TableContents"/>
              <w:bidi w:val="0"/>
              <w:spacing w:before="0" w:after="283"/>
              <w:rPr/>
            </w:pPr>
            <w:r>
              <w:rPr>
                <w:rStyle w:val="Strong"/>
              </w:rPr>
              <w:t>15.1</w:t>
            </w:r>
            <w:r>
              <w:rPr/>
              <w:t xml:space="preserve"> Die zweigeschossige Tiefgarage wird in Stahlbeton ausgeführt und maschinell be- und entlüftet. Bodenbeschichtung, Entwässerungsrinnen, Markierung, Beschilderung, CO-Warnanlage, Brandschutztore und technische Ausstattung richten sich nach dem Garagen- und Brandschutzkonzept.</w:t>
            </w:r>
          </w:p>
        </w:tc>
        <w:tc>
          <w:tcPr>
            <w:tcW w:w="7796" w:type="dxa"/>
            <w:tcBorders/>
            <w:vAlign w:val="center"/>
          </w:tcPr>
          <w:p>
            <w:pPr>
              <w:pStyle w:val="TableContents"/>
              <w:bidi w:val="0"/>
              <w:spacing w:before="0" w:after="283"/>
              <w:rPr/>
            </w:pPr>
            <w:r>
              <w:rPr>
                <w:rStyle w:val="Strong"/>
              </w:rPr>
              <w:t>15.1</w:t>
            </w:r>
            <w:r>
              <w:rPr/>
              <w:t xml:space="preserve"> The two-storey underground garage is made in reinforced concrete and is mechanically ventilated and ventilated. Floor coating, drainage channels, marking, signage, CO warning system, fire gates and technical equipment are based on the garage and fire protection concept.</w:t>
            </w:r>
          </w:p>
        </w:tc>
      </w:tr>
      <w:tr>
        <w:trPr/>
        <w:tc>
          <w:tcPr>
            <w:tcW w:w="7738" w:type="dxa"/>
            <w:tcBorders/>
            <w:vAlign w:val="center"/>
          </w:tcPr>
          <w:p>
            <w:pPr>
              <w:pStyle w:val="TableContents"/>
              <w:bidi w:val="0"/>
              <w:spacing w:before="0" w:after="283"/>
              <w:rPr/>
            </w:pPr>
            <w:r>
              <w:rPr>
                <w:rStyle w:val="Strong"/>
              </w:rPr>
              <w:t>15.2</w:t>
            </w:r>
            <w:r>
              <w:rPr/>
              <w:t xml:space="preserve"> Der dem Käufer zugeordnete Stellplatz TG-127 wird als Stellplatz in der Tiefgaragenspange Nord hergestellt. Stützen, Wandscheiben, Leitungsführungen, Lüftungskanäle, Gefälle und Entwässerungsrinnen können seine Benutzung beeinflussen. Eine bestimmte Mindestbreite oder Mindesthöhe über das bauordnungsrechtlich Erforderliche hinaus wird nicht geschuldet.</w:t>
            </w:r>
          </w:p>
        </w:tc>
        <w:tc>
          <w:tcPr>
            <w:tcW w:w="7796" w:type="dxa"/>
            <w:tcBorders/>
            <w:vAlign w:val="center"/>
          </w:tcPr>
          <w:p>
            <w:pPr>
              <w:pStyle w:val="TableContents"/>
              <w:bidi w:val="0"/>
              <w:spacing w:before="0" w:after="283"/>
              <w:rPr/>
            </w:pPr>
            <w:r>
              <w:rPr>
                <w:rStyle w:val="Strong"/>
              </w:rPr>
              <w:t>15.2</w:t>
            </w:r>
            <w:r>
              <w:rPr/>
              <w:t xml:space="preserve"> The parking space TG-127 assigned to the Buyer is produced as a parking space in the underground garage span Nord. Supports, wall discs, conduits, ventilation ducts, gradients and drainage channels can influence its use. A certain minimum width or minimum height beyond what is necessary under building code law is not due.</w:t>
            </w:r>
          </w:p>
        </w:tc>
      </w:tr>
      <w:tr>
        <w:trPr/>
        <w:tc>
          <w:tcPr>
            <w:tcW w:w="7738" w:type="dxa"/>
            <w:tcBorders/>
            <w:vAlign w:val="center"/>
          </w:tcPr>
          <w:p>
            <w:pPr>
              <w:pStyle w:val="Heading1"/>
              <w:bidi w:val="0"/>
              <w:spacing w:before="240" w:after="283"/>
              <w:ind w:hanging="0" w:start="0" w:end="0"/>
              <w:rPr/>
            </w:pPr>
            <w:bookmarkStart w:id="80" w:name="schall--wärme--feuchte--und-brandschutz"/>
            <w:bookmarkEnd w:id="80"/>
            <w:r>
              <w:rPr/>
              <w:t>16 Schall-, Wärme-, Feuchte- und Brandschutz</w:t>
            </w:r>
          </w:p>
        </w:tc>
        <w:tc>
          <w:tcPr>
            <w:tcW w:w="7796" w:type="dxa"/>
            <w:tcBorders/>
            <w:vAlign w:val="center"/>
          </w:tcPr>
          <w:p>
            <w:pPr>
              <w:pStyle w:val="Heading1"/>
              <w:bidi w:val="0"/>
              <w:spacing w:before="240" w:after="283"/>
              <w:ind w:hanging="0" w:start="0" w:end="0"/>
              <w:rPr/>
            </w:pPr>
            <w:bookmarkStart w:id="81" w:name="sound-heat-humidity-and-fire-protection"/>
            <w:bookmarkEnd w:id="81"/>
            <w:r>
              <w:rPr/>
              <w:t>16 Sound, heat, humidity and fire protection</w:t>
            </w:r>
          </w:p>
        </w:tc>
      </w:tr>
      <w:tr>
        <w:trPr/>
        <w:tc>
          <w:tcPr>
            <w:tcW w:w="7738" w:type="dxa"/>
            <w:tcBorders/>
            <w:vAlign w:val="center"/>
          </w:tcPr>
          <w:p>
            <w:pPr>
              <w:pStyle w:val="TableContents"/>
              <w:bidi w:val="0"/>
              <w:spacing w:before="0" w:after="283"/>
              <w:rPr/>
            </w:pPr>
            <w:r>
              <w:rPr>
                <w:rStyle w:val="Strong"/>
              </w:rPr>
              <w:t>16.1</w:t>
            </w:r>
            <w:r>
              <w:rPr/>
              <w:t xml:space="preserve"> Schall-, Wärme-, Feuchte- und Brandschutz für Haus 4, Wohnung 4.27, Kellerzone und Tiefgarage werden in dem öffentlich-rechtlich erforderlichen Umfang nachgewiesen und ausgeführt. Ein über die Mindestanforderungen hinausgehender, erhöhter Schallschutz zwischen Wohnung, Treppenhaus, Aufzug, Tiefgarage und technischen Anlagen wird nur geschuldet, soweit er nachstehend mit Zahlenwerten ausdrücklich vereinbart ist.</w:t>
            </w:r>
          </w:p>
        </w:tc>
        <w:tc>
          <w:tcPr>
            <w:tcW w:w="7796" w:type="dxa"/>
            <w:tcBorders/>
            <w:vAlign w:val="center"/>
          </w:tcPr>
          <w:p>
            <w:pPr>
              <w:pStyle w:val="TableContents"/>
              <w:bidi w:val="0"/>
              <w:spacing w:before="0" w:after="283"/>
              <w:rPr/>
            </w:pPr>
            <w:r>
              <w:rPr>
                <w:rStyle w:val="Strong"/>
              </w:rPr>
              <w:t>16.1</w:t>
            </w:r>
            <w:r>
              <w:rPr/>
              <w:t xml:space="preserve"> Sound, heat, humidity and fire protection for house 4, apartment 4.27, basement zone and underground garage are proven and executed to the extent required by public law. An increased sound insulation between the dwelling, stairwell, elevator, underground garage and technical installations, which goes beyond the minimum requirements, is only owed if it is expressly agreed with numerical values below.</w:t>
            </w:r>
          </w:p>
        </w:tc>
      </w:tr>
      <w:tr>
        <w:trPr/>
        <w:tc>
          <w:tcPr>
            <w:tcW w:w="7738" w:type="dxa"/>
            <w:tcBorders/>
            <w:vAlign w:val="center"/>
          </w:tcPr>
          <w:p>
            <w:pPr>
              <w:pStyle w:val="TableContents"/>
              <w:bidi w:val="0"/>
              <w:spacing w:before="0" w:after="283"/>
              <w:rPr/>
            </w:pPr>
            <w:r>
              <w:rPr>
                <w:rStyle w:val="Strong"/>
              </w:rPr>
              <w:t>16.2</w:t>
            </w:r>
            <w:r>
              <w:rPr/>
              <w:t xml:space="preserve"> Die schallschutztechnische Auslegung richtet sich nach dem projektbezogenen Nachweiskonzept und den öffentlich-rechtlich erforderlichen Mindestanforderungen. Ein erhöhter Schallschutz bedarf einer ausdrücklichen, zahlenmäßig bezeichneten Vereinbarung.</w:t>
            </w:r>
          </w:p>
        </w:tc>
        <w:tc>
          <w:tcPr>
            <w:tcW w:w="7796" w:type="dxa"/>
            <w:tcBorders/>
            <w:vAlign w:val="center"/>
          </w:tcPr>
          <w:p>
            <w:pPr>
              <w:pStyle w:val="TableContents"/>
              <w:bidi w:val="0"/>
              <w:spacing w:before="0" w:after="283"/>
              <w:rPr/>
            </w:pPr>
            <w:r>
              <w:rPr>
                <w:rStyle w:val="Strong"/>
              </w:rPr>
              <w:t>16.2</w:t>
            </w:r>
            <w:r>
              <w:rPr/>
              <w:t xml:space="preserve"> The acoustic protection design is based on the project-related demonstration concept and the minimum requirements required by public law. Increased noise protection requires an explicit, numerically specified agreement.</w:t>
            </w:r>
          </w:p>
        </w:tc>
      </w:tr>
      <w:tr>
        <w:trPr/>
        <w:tc>
          <w:tcPr>
            <w:tcW w:w="7738" w:type="dxa"/>
            <w:tcBorders/>
            <w:vAlign w:val="center"/>
          </w:tcPr>
          <w:p>
            <w:pPr>
              <w:pStyle w:val="Heading1"/>
              <w:bidi w:val="0"/>
              <w:spacing w:before="240" w:after="283"/>
              <w:ind w:hanging="0" w:start="0" w:end="0"/>
              <w:rPr/>
            </w:pPr>
            <w:bookmarkStart w:id="82" w:name="energetischer-standard"/>
            <w:bookmarkEnd w:id="82"/>
            <w:r>
              <w:rPr/>
              <w:t>17 Energetischer Standard</w:t>
            </w:r>
          </w:p>
        </w:tc>
        <w:tc>
          <w:tcPr>
            <w:tcW w:w="7796" w:type="dxa"/>
            <w:tcBorders/>
            <w:vAlign w:val="center"/>
          </w:tcPr>
          <w:p>
            <w:pPr>
              <w:pStyle w:val="Heading1"/>
              <w:bidi w:val="0"/>
              <w:spacing w:before="240" w:after="283"/>
              <w:ind w:hanging="0" w:start="0" w:end="0"/>
              <w:rPr/>
            </w:pPr>
            <w:bookmarkStart w:id="83" w:name="energy-standard"/>
            <w:bookmarkEnd w:id="83"/>
            <w:r>
              <w:rPr/>
              <w:t>17 Energy Standard</w:t>
            </w:r>
          </w:p>
        </w:tc>
      </w:tr>
      <w:tr>
        <w:trPr/>
        <w:tc>
          <w:tcPr>
            <w:tcW w:w="7738" w:type="dxa"/>
            <w:tcBorders/>
            <w:vAlign w:val="center"/>
          </w:tcPr>
          <w:p>
            <w:pPr>
              <w:pStyle w:val="TableContents"/>
              <w:bidi w:val="0"/>
              <w:spacing w:before="0" w:after="283"/>
              <w:rPr/>
            </w:pPr>
            <w:r>
              <w:rPr>
                <w:rStyle w:val="Strong"/>
              </w:rPr>
              <w:t>17.1</w:t>
            </w:r>
            <w:r>
              <w:rPr/>
              <w:t xml:space="preserve"> Haus 4 wird nach den zum Tag der Erteilung der Baugenehmigung geltenden energetischen Anforderungen errichtet. Energieausweis, Nachweise und etwaige Förderunterlagen werden nach Maßgabe der öffentlich-rechtlichen und finanzierungsbezogenen Erfordernisse erstellt. Eine bestimmte KfW-Effizienzhausklasse, ein bestimmter Primärenergiebedarf, eine bestimmte GEG-Stufe oder eine bestimmte Förderfähigkeit der Wohnung 4.27 wird nicht geschuldet, soweit nicht ausdrücklich mit Zahlenwert vereinbart.</w:t>
            </w:r>
          </w:p>
        </w:tc>
        <w:tc>
          <w:tcPr>
            <w:tcW w:w="7796" w:type="dxa"/>
            <w:tcBorders/>
            <w:vAlign w:val="center"/>
          </w:tcPr>
          <w:p>
            <w:pPr>
              <w:pStyle w:val="TableContents"/>
              <w:bidi w:val="0"/>
              <w:spacing w:before="0" w:after="283"/>
              <w:rPr/>
            </w:pPr>
            <w:r>
              <w:rPr>
                <w:rStyle w:val="Strong"/>
              </w:rPr>
              <w:t>17.1</w:t>
            </w:r>
            <w:r>
              <w:rPr/>
              <w:t xml:space="preserve"> House 4 will be built according to the energy requirements applicable on the day the building permit is issued. Energy certificates, supporting documents and any supporting documents shall be drawn up in accordance with public and financial requirements. A certain KfW efficiency house class, a certain primary energy requirement, a certain GEG level or a certain eligibility of the apartment 4.27 is not owed, unless expressly agreed with a numerical value.</w:t>
            </w:r>
          </w:p>
        </w:tc>
      </w:tr>
      <w:tr>
        <w:trPr/>
        <w:tc>
          <w:tcPr>
            <w:tcW w:w="7738" w:type="dxa"/>
            <w:tcBorders/>
            <w:vAlign w:val="center"/>
          </w:tcPr>
          <w:p>
            <w:pPr>
              <w:pStyle w:val="Heading1"/>
              <w:bidi w:val="0"/>
              <w:spacing w:before="240" w:after="283"/>
              <w:ind w:hanging="0" w:start="0" w:end="0"/>
              <w:rPr/>
            </w:pPr>
            <w:bookmarkStart w:id="84" w:name="außenanlagen-gemeinschaftsflächen"/>
            <w:bookmarkEnd w:id="84"/>
            <w:r>
              <w:rPr/>
              <w:t>18 Außenanlagen, Gemeinschaftsflächen</w:t>
            </w:r>
          </w:p>
        </w:tc>
        <w:tc>
          <w:tcPr>
            <w:tcW w:w="7796" w:type="dxa"/>
            <w:tcBorders/>
            <w:vAlign w:val="center"/>
          </w:tcPr>
          <w:p>
            <w:pPr>
              <w:pStyle w:val="Heading1"/>
              <w:bidi w:val="0"/>
              <w:spacing w:before="240" w:after="283"/>
              <w:ind w:hanging="0" w:start="0" w:end="0"/>
              <w:rPr/>
            </w:pPr>
            <w:bookmarkStart w:id="85" w:name="outdoor-installations-common-areas"/>
            <w:bookmarkEnd w:id="85"/>
            <w:r>
              <w:rPr/>
              <w:t>18 outdoor installations, common areas</w:t>
            </w:r>
          </w:p>
        </w:tc>
      </w:tr>
      <w:tr>
        <w:trPr/>
        <w:tc>
          <w:tcPr>
            <w:tcW w:w="7738" w:type="dxa"/>
            <w:tcBorders/>
            <w:vAlign w:val="center"/>
          </w:tcPr>
          <w:p>
            <w:pPr>
              <w:pStyle w:val="TableContents"/>
              <w:bidi w:val="0"/>
              <w:spacing w:before="0" w:after="283"/>
              <w:rPr/>
            </w:pPr>
            <w:r>
              <w:rPr>
                <w:rStyle w:val="Strong"/>
              </w:rPr>
              <w:t>18.1</w:t>
            </w:r>
            <w:r>
              <w:rPr/>
              <w:t xml:space="preserve"> Die Außenanlagen im Bereich Haus 4 (Zuwegung vom Quartiersplatz, Feuerwehr- und Lieferflächen, Pflanzflächen, Fahrradabstellbereiche, Müllstandorte, Beleuchtung und die Terrasse T-4.27) werden nach dem Freiflächenkonzept hergestellt. Art, Umfang und Zeitpunkt der Fertigstellung richten sich nach dem Bauablauf des Gesamtquartiers, insbesondere der angrenzenden Baufelder Q2 und Q3, und können nach dem Übergabetag der Wohnung liegen.</w:t>
            </w:r>
          </w:p>
        </w:tc>
        <w:tc>
          <w:tcPr>
            <w:tcW w:w="7796" w:type="dxa"/>
            <w:tcBorders/>
            <w:vAlign w:val="center"/>
          </w:tcPr>
          <w:p>
            <w:pPr>
              <w:pStyle w:val="TableContents"/>
              <w:bidi w:val="0"/>
              <w:spacing w:before="0" w:after="283"/>
              <w:rPr/>
            </w:pPr>
            <w:r>
              <w:rPr>
                <w:rStyle w:val="Strong"/>
              </w:rPr>
              <w:t>18.1</w:t>
            </w:r>
            <w:r>
              <w:rPr/>
              <w:t xml:space="preserve"> The outdoor facilities in the area house 4 (access from the quarter square, firefighting and delivery areas, planting areas, bicycle parking areas, waste locations, lighting and the terrace T-4.27) are produced according to the open space concept. The type, scope and time of completion depend on the construction process of the entire quarter, in particular the adjacent building plots Q2 and Q3, and can be after the transfer day of the apartment.</w:t>
            </w:r>
          </w:p>
        </w:tc>
      </w:tr>
      <w:tr>
        <w:trPr/>
        <w:tc>
          <w:tcPr>
            <w:tcW w:w="7738" w:type="dxa"/>
            <w:tcBorders/>
            <w:vAlign w:val="center"/>
          </w:tcPr>
          <w:p>
            <w:pPr>
              <w:pStyle w:val="TableContents"/>
              <w:bidi w:val="0"/>
              <w:spacing w:before="0" w:after="283"/>
              <w:rPr/>
            </w:pPr>
            <w:r>
              <w:rPr>
                <w:rStyle w:val="Strong"/>
              </w:rPr>
              <w:t>18.2</w:t>
            </w:r>
            <w:r>
              <w:rPr/>
              <w:t xml:space="preserve"> Die Terrasse T-4.27 wird mit Betonplatten, keramischen Terrassenplatten oder einem vergleichbaren Belag aus der Außenanlagenserie Q1 auf Gefälle bzw. Unterkonstruktion hergestellt; Format, Farbe, Fuge und Entwässerungsdetail richten sich nach dem Freiflächenkonzept.</w:t>
            </w:r>
          </w:p>
        </w:tc>
        <w:tc>
          <w:tcPr>
            <w:tcW w:w="7796" w:type="dxa"/>
            <w:tcBorders/>
            <w:vAlign w:val="center"/>
          </w:tcPr>
          <w:p>
            <w:pPr>
              <w:pStyle w:val="TableContents"/>
              <w:bidi w:val="0"/>
              <w:spacing w:before="0" w:after="283"/>
              <w:rPr/>
            </w:pPr>
            <w:r>
              <w:rPr>
                <w:rStyle w:val="Strong"/>
              </w:rPr>
              <w:t>18.2</w:t>
            </w:r>
            <w:r>
              <w:rPr/>
              <w:t xml:space="preserve"> The terrace T-4.27 is produced with concrete slabs, ceramic terrace slabs or a comparable covering from the outdoor plant series Q1 on slope or substructure; The format, color, joint and drainage detail depend on the open surface concept.</w:t>
            </w:r>
          </w:p>
        </w:tc>
      </w:tr>
      <w:tr>
        <w:trPr/>
        <w:tc>
          <w:tcPr>
            <w:tcW w:w="7738" w:type="dxa"/>
            <w:tcBorders/>
            <w:vAlign w:val="center"/>
          </w:tcPr>
          <w:p>
            <w:pPr>
              <w:pStyle w:val="Heading1"/>
              <w:bidi w:val="0"/>
              <w:spacing w:before="240" w:after="283"/>
              <w:ind w:hanging="0" w:start="0" w:end="0"/>
              <w:rPr/>
            </w:pPr>
            <w:bookmarkStart w:id="86" w:name="wohnflächen"/>
            <w:bookmarkEnd w:id="86"/>
            <w:r>
              <w:rPr/>
              <w:t>19 Wohnflächen</w:t>
            </w:r>
          </w:p>
        </w:tc>
        <w:tc>
          <w:tcPr>
            <w:tcW w:w="7796" w:type="dxa"/>
            <w:tcBorders/>
            <w:vAlign w:val="center"/>
          </w:tcPr>
          <w:p>
            <w:pPr>
              <w:pStyle w:val="Heading1"/>
              <w:bidi w:val="0"/>
              <w:spacing w:before="240" w:after="283"/>
              <w:ind w:hanging="0" w:start="0" w:end="0"/>
              <w:rPr/>
            </w:pPr>
            <w:bookmarkStart w:id="87" w:name="living-spaces"/>
            <w:bookmarkEnd w:id="87"/>
            <w:r>
              <w:rPr/>
              <w:t>19 Living spaces</w:t>
            </w:r>
          </w:p>
        </w:tc>
      </w:tr>
      <w:tr>
        <w:trPr/>
        <w:tc>
          <w:tcPr>
            <w:tcW w:w="7738" w:type="dxa"/>
            <w:tcBorders/>
            <w:vAlign w:val="center"/>
          </w:tcPr>
          <w:p>
            <w:pPr>
              <w:pStyle w:val="TableContents"/>
              <w:bidi w:val="0"/>
              <w:spacing w:before="0" w:after="283"/>
              <w:rPr/>
            </w:pPr>
            <w:r>
              <w:rPr>
                <w:rStyle w:val="Strong"/>
              </w:rPr>
              <w:t>19.1</w:t>
            </w:r>
            <w:r>
              <w:rPr/>
              <w:t xml:space="preserve"> Die Wohnfläche der Wohnung 4.27 beträgt ca. 118,4 m² einschließlich der nach Planungsstand angesetzten Flächenanteile der Terrasse T-4.27. Die Ermittlung erfolgt nach DIN 277 anhand der Planungsstände. Maßgeblich ist die nach Fertigstellung tatsächlich erbrachte Ausführung; die ca.-Angabe dient der Objektbeschreibung und ist keine selbständige Garantie.</w:t>
            </w:r>
          </w:p>
        </w:tc>
        <w:tc>
          <w:tcPr>
            <w:tcW w:w="7796" w:type="dxa"/>
            <w:tcBorders/>
            <w:vAlign w:val="center"/>
          </w:tcPr>
          <w:p>
            <w:pPr>
              <w:pStyle w:val="TableContents"/>
              <w:bidi w:val="0"/>
              <w:spacing w:before="0" w:after="283"/>
              <w:rPr/>
            </w:pPr>
            <w:r>
              <w:rPr>
                <w:rStyle w:val="Strong"/>
              </w:rPr>
              <w:t>19.1</w:t>
            </w:r>
            <w:r>
              <w:rPr/>
              <w:t xml:space="preserve"> The living area of the apartment 4.27 amounts to approximately 118.4 m2 including the areas of the terrace T-4.27, which are planned according to the planning status. The determination is made according to DIN 277 on the basis of the planning statuses. The decisive factor is the execution actually performed after completion; the approximate indication serves the object description and is not an independent guarantee.</w:t>
            </w:r>
          </w:p>
        </w:tc>
      </w:tr>
      <w:tr>
        <w:trPr/>
        <w:tc>
          <w:tcPr>
            <w:tcW w:w="7738" w:type="dxa"/>
            <w:tcBorders/>
            <w:vAlign w:val="center"/>
          </w:tcPr>
          <w:p>
            <w:pPr>
              <w:pStyle w:val="Heading1"/>
              <w:bidi w:val="0"/>
              <w:spacing w:before="240" w:after="283"/>
              <w:ind w:hanging="0" w:start="0" w:end="0"/>
              <w:rPr/>
            </w:pPr>
            <w:bookmarkStart w:id="88" w:name="bemusterung-sonderwünsche"/>
            <w:bookmarkEnd w:id="88"/>
            <w:r>
              <w:rPr/>
              <w:t>20 Bemusterung, Sonderwünsche</w:t>
            </w:r>
          </w:p>
        </w:tc>
        <w:tc>
          <w:tcPr>
            <w:tcW w:w="7796" w:type="dxa"/>
            <w:tcBorders/>
            <w:vAlign w:val="center"/>
          </w:tcPr>
          <w:p>
            <w:pPr>
              <w:pStyle w:val="Heading1"/>
              <w:bidi w:val="0"/>
              <w:spacing w:before="240" w:after="283"/>
              <w:ind w:hanging="0" w:start="0" w:end="0"/>
              <w:rPr/>
            </w:pPr>
            <w:bookmarkStart w:id="89" w:name="samples-special-requests"/>
            <w:bookmarkEnd w:id="89"/>
            <w:r>
              <w:rPr/>
              <w:t>20 Samples, special requests</w:t>
            </w:r>
          </w:p>
        </w:tc>
      </w:tr>
      <w:tr>
        <w:trPr/>
        <w:tc>
          <w:tcPr>
            <w:tcW w:w="7738" w:type="dxa"/>
            <w:tcBorders/>
            <w:vAlign w:val="center"/>
          </w:tcPr>
          <w:p>
            <w:pPr>
              <w:pStyle w:val="TableContents"/>
              <w:bidi w:val="0"/>
              <w:spacing w:before="0" w:after="283"/>
              <w:rPr/>
            </w:pPr>
            <w:r>
              <w:rPr>
                <w:rStyle w:val="Strong"/>
              </w:rPr>
              <w:t>20.1</w:t>
            </w:r>
            <w:r>
              <w:rPr/>
              <w:t xml:space="preserve"> Der Käufer wählt im Rahmen der Bemusterung im Bemusterungszentrum „Birkenpfuhl Auswahlwelt” aus dem jeweils gültigen Sortiment der Linie B4 für Boden, Fliesen, Sanitärobjekte, Armaturen, Innentüren, Beschläge, Schalterprogramm und Elektro-Mehrpunkte. Drei Beratungsstunden sind im Kaufpreis enthalten; darüber hinausgehender Aufwand wird mit 180,00 EUR netto je angefangener Stunde vergütet.</w:t>
            </w:r>
          </w:p>
        </w:tc>
        <w:tc>
          <w:tcPr>
            <w:tcW w:w="7796" w:type="dxa"/>
            <w:tcBorders/>
            <w:vAlign w:val="center"/>
          </w:tcPr>
          <w:p>
            <w:pPr>
              <w:pStyle w:val="TableContents"/>
              <w:bidi w:val="0"/>
              <w:spacing w:before="0" w:after="283"/>
              <w:rPr/>
            </w:pPr>
            <w:r>
              <w:rPr>
                <w:rStyle w:val="Strong"/>
              </w:rPr>
              <w:t>20.1</w:t>
            </w:r>
            <w:r>
              <w:rPr/>
              <w:t xml:space="preserve"> As part of the sampling in the “Birkenpfuhl Selection World” sampling center, the Buyer chooses from the respective valid range of the B4 line for floor, tiles, sanitary objects, fittings, interior doors, fittings, switch range and electric multipoints. Three consultation hours are included in the Purchase Price; Expenditure in excess of this amount will be reimbursed with 180.00 EUR net per started hour.</w:t>
            </w:r>
          </w:p>
        </w:tc>
      </w:tr>
      <w:tr>
        <w:trPr/>
        <w:tc>
          <w:tcPr>
            <w:tcW w:w="7738" w:type="dxa"/>
            <w:tcBorders/>
            <w:vAlign w:val="center"/>
          </w:tcPr>
          <w:p>
            <w:pPr>
              <w:pStyle w:val="TableContents"/>
              <w:bidi w:val="0"/>
              <w:spacing w:before="0" w:after="283"/>
              <w:rPr/>
            </w:pPr>
            <w:r>
              <w:rPr>
                <w:rStyle w:val="Strong"/>
              </w:rPr>
              <w:t>20.2</w:t>
            </w:r>
            <w:r>
              <w:rPr/>
              <w:t xml:space="preserve"> Die Bemusterung hat innerhalb von vier Wochen nach Aufforderung stattzufinden. Reagiert der Käufer nicht rechtzeitig, wählt der Verkäufer für Wohnung 4.27 aus den Serien B4-01 bis B4-06, B4-Bad und B4-Tür. Spätere Änderungen sind nur möglich, soweit Bestellung, Lieferung und Einbau im Bauablauf Haus 4 noch ohne Umplanung möglich sind, und gesondert zu vergüten.</w:t>
            </w:r>
          </w:p>
        </w:tc>
        <w:tc>
          <w:tcPr>
            <w:tcW w:w="7796" w:type="dxa"/>
            <w:tcBorders/>
            <w:vAlign w:val="center"/>
          </w:tcPr>
          <w:p>
            <w:pPr>
              <w:pStyle w:val="TableContents"/>
              <w:bidi w:val="0"/>
              <w:spacing w:before="0" w:after="283"/>
              <w:rPr/>
            </w:pPr>
            <w:r>
              <w:rPr>
                <w:rStyle w:val="Strong"/>
              </w:rPr>
              <w:t>20.2</w:t>
            </w:r>
            <w:r>
              <w:rPr/>
              <w:t xml:space="preserve"> Samples shall be taken within four weeks of the request. If the Buyer does not respond in time, the Seller chooses for apartment 4.27 from the series B4-01 to B4-06, B4-Bad and B4-Door. Subsequent changes are only possible as far as ordering, delivery and installation in the construction process House 4 are still possible without redesign, and to be remunerated separately.</w:t>
            </w:r>
          </w:p>
        </w:tc>
      </w:tr>
      <w:tr>
        <w:trPr/>
        <w:tc>
          <w:tcPr>
            <w:tcW w:w="7738" w:type="dxa"/>
            <w:tcBorders/>
            <w:vAlign w:val="center"/>
          </w:tcPr>
          <w:p>
            <w:pPr>
              <w:pStyle w:val="TableContents"/>
              <w:bidi w:val="0"/>
              <w:spacing w:before="0" w:after="283"/>
              <w:rPr/>
            </w:pPr>
            <w:r>
              <w:rPr>
                <w:rStyle w:val="Strong"/>
              </w:rPr>
              <w:t>20.3</w:t>
            </w:r>
            <w:r>
              <w:rPr/>
              <w:t xml:space="preserve"> Sonderwünsche außerhalb der Serien B4-01 bis B4-06, B4-Bad, B4-Tür und B4-Elektro sind vor Beginn der betroffenen Bauleistung vollständig und im Voraus zu zahlen.</w:t>
            </w:r>
          </w:p>
        </w:tc>
        <w:tc>
          <w:tcPr>
            <w:tcW w:w="7796" w:type="dxa"/>
            <w:tcBorders/>
            <w:vAlign w:val="center"/>
          </w:tcPr>
          <w:p>
            <w:pPr>
              <w:pStyle w:val="TableContents"/>
              <w:bidi w:val="0"/>
              <w:spacing w:before="0" w:after="283"/>
              <w:rPr/>
            </w:pPr>
            <w:r>
              <w:rPr>
                <w:rStyle w:val="Strong"/>
              </w:rPr>
              <w:t>20.3</w:t>
            </w:r>
            <w:r>
              <w:rPr/>
              <w:t xml:space="preserve"> Special requests outside series B4-01 to B4-06, B4-Bad, B4-Door and B4-Electric must be paid in full and in advance before the start of the affected construction work.</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90" w:name="schlussbestimmungen-der-baubeschreibung"/>
            <w:bookmarkEnd w:id="90"/>
            <w:r>
              <w:rPr/>
              <w:t>Schlussbestimmungen der Baubeschreibung</w:t>
            </w:r>
          </w:p>
        </w:tc>
        <w:tc>
          <w:tcPr>
            <w:tcW w:w="7796" w:type="dxa"/>
            <w:tcBorders/>
            <w:vAlign w:val="center"/>
          </w:tcPr>
          <w:p>
            <w:pPr>
              <w:pStyle w:val="Heading1"/>
              <w:bidi w:val="0"/>
              <w:spacing w:before="240" w:after="283"/>
              <w:ind w:hanging="0" w:start="0" w:end="0"/>
              <w:rPr/>
            </w:pPr>
            <w:bookmarkStart w:id="91" w:name="final-provisions-of-the-building-specifi"/>
            <w:bookmarkEnd w:id="91"/>
            <w:r>
              <w:rPr/>
              <w:t>Final Provisions of the Building Specification</w:t>
            </w:r>
          </w:p>
        </w:tc>
      </w:tr>
      <w:tr>
        <w:trPr/>
        <w:tc>
          <w:tcPr>
            <w:tcW w:w="7738" w:type="dxa"/>
            <w:tcBorders/>
            <w:vAlign w:val="center"/>
          </w:tcPr>
          <w:p>
            <w:pPr>
              <w:pStyle w:val="TableContents"/>
              <w:bidi w:val="0"/>
              <w:spacing w:before="0" w:after="283"/>
              <w:rPr/>
            </w:pPr>
            <w:r>
              <w:rPr>
                <w:rStyle w:val="Strong"/>
              </w:rPr>
              <w:t>S.1</w:t>
            </w:r>
            <w:r>
              <w:rPr/>
              <w:t xml:space="preserve"> Bei Widersprüchen zwischen dieser Baubeschreibung, den Plänen B4-A-100 bis B4-A-612, Bemusterungsunterlagen und dem Kaufvertrag ist zunächst eine technisch und wirtschaftlich sachgerechte Auslegung im Sinne einer einheitlichen Projektausführung für Haus 4 und die Tiefgaragenspange Nord vorzunehmen. Der Verkäufer trifft hierzu die erforderlichen Koordinierungsentscheidungen für Schachtlagen, Fassadenanschlüsse, TGA-Schnittstellen, Bemusterungsserien und Außenanlagenanschlüsse.</w:t>
            </w:r>
          </w:p>
        </w:tc>
        <w:tc>
          <w:tcPr>
            <w:tcW w:w="7796" w:type="dxa"/>
            <w:tcBorders/>
            <w:vAlign w:val="center"/>
          </w:tcPr>
          <w:p>
            <w:pPr>
              <w:pStyle w:val="TableContents"/>
              <w:bidi w:val="0"/>
              <w:spacing w:before="0" w:after="283"/>
              <w:rPr/>
            </w:pPr>
            <w:r>
              <w:rPr>
                <w:rStyle w:val="Strong"/>
              </w:rPr>
              <w:t>S.1</w:t>
            </w:r>
            <w:r>
              <w:rPr/>
              <w:t xml:space="preserve"> In the event of contradictions between this specification, plans B4-A-100 to B4-A-612, selection documentation and the purchase contract, a technically and economically appropriate interpretation must first be made in the sense of a uniform project execution for House 4 and the underground car park span Nord. For this purpose, the Seller makes the necessary coordination decisions for shaft locations, facade connections, TGA interfaces, selection series and outdoor plant connections.</w:t>
            </w:r>
          </w:p>
        </w:tc>
      </w:tr>
      <w:tr>
        <w:trPr/>
        <w:tc>
          <w:tcPr>
            <w:tcW w:w="7738" w:type="dxa"/>
            <w:tcBorders/>
            <w:vAlign w:val="center"/>
          </w:tcPr>
          <w:p>
            <w:pPr>
              <w:pStyle w:val="TableContents"/>
              <w:bidi w:val="0"/>
              <w:spacing w:before="0" w:after="283"/>
              <w:rPr/>
            </w:pPr>
            <w:r>
              <w:rPr>
                <w:rStyle w:val="Strong"/>
              </w:rPr>
              <w:t>S.2</w:t>
            </w:r>
            <w:r>
              <w:rPr/>
              <w:t xml:space="preserve"> Diese Baubeschreibung gilt in der Fassung Februar 2026, Version 7.2. Frühere Fassungen verlieren ihre Gültigkeit. Der Verkäufer behält sich vor, die Baubeschreibung im Zuge der Ausführungsplanung fortzuschreiben, soweit der Gesamtcharakter des Bauvorhabens gewahrt bleibt.</w:t>
            </w:r>
          </w:p>
        </w:tc>
        <w:tc>
          <w:tcPr>
            <w:tcW w:w="7796" w:type="dxa"/>
            <w:tcBorders/>
            <w:vAlign w:val="center"/>
          </w:tcPr>
          <w:p>
            <w:pPr>
              <w:pStyle w:val="TableContents"/>
              <w:bidi w:val="0"/>
              <w:spacing w:before="0" w:after="283"/>
              <w:rPr/>
            </w:pPr>
            <w:r>
              <w:rPr>
                <w:rStyle w:val="Strong"/>
              </w:rPr>
              <w:t>S.2</w:t>
            </w:r>
            <w:r>
              <w:rPr/>
              <w:t xml:space="preserve"> This Building Specification applies in the version February 2026, version 7.2. Previous versions lose their validity. The Seller reserves the right to update the Building Specification in the course of the execution planning, as long as the overall character of the construction project is maintained.</w:t>
            </w:r>
          </w:p>
        </w:tc>
      </w:tr>
      <w:tr>
        <w:trPr/>
        <w:tc>
          <w:tcPr>
            <w:tcW w:w="7738" w:type="dxa"/>
            <w:tcBorders/>
            <w:vAlign w:val="center"/>
          </w:tcPr>
          <w:p>
            <w:pPr>
              <w:pStyle w:val="TableContents"/>
              <w:bidi w:val="0"/>
              <w:spacing w:before="0" w:after="283"/>
              <w:rPr/>
            </w:pPr>
            <w:r>
              <w:rPr/>
              <w:t>Berlin, im Februar 2026</w:t>
            </w:r>
          </w:p>
        </w:tc>
        <w:tc>
          <w:tcPr>
            <w:tcW w:w="7796" w:type="dxa"/>
            <w:tcBorders/>
            <w:vAlign w:val="center"/>
          </w:tcPr>
          <w:p>
            <w:pPr>
              <w:pStyle w:val="TableContents"/>
              <w:bidi w:val="0"/>
              <w:spacing w:before="0" w:after="283"/>
              <w:rPr/>
            </w:pPr>
            <w:r>
              <w:rPr/>
              <w:t>Berlin, February 2026</w:t>
            </w:r>
          </w:p>
        </w:tc>
      </w:tr>
      <w:tr>
        <w:trPr/>
        <w:tc>
          <w:tcPr>
            <w:tcW w:w="7738" w:type="dxa"/>
            <w:tcBorders/>
            <w:vAlign w:val="center"/>
          </w:tcPr>
          <w:p>
            <w:pPr>
              <w:pStyle w:val="TableContents"/>
              <w:bidi w:val="0"/>
              <w:spacing w:before="0" w:after="283"/>
              <w:rPr/>
            </w:pPr>
            <w:r>
              <w:rPr/>
              <w:t>Hohenwartshofen Quartiersentwicklung GmbH &amp; Co. KG</w:t>
            </w:r>
          </w:p>
        </w:tc>
        <w:tc>
          <w:tcPr>
            <w:tcW w:w="7796" w:type="dxa"/>
            <w:tcBorders/>
            <w:vAlign w:val="center"/>
          </w:tcPr>
          <w:p>
            <w:pPr>
              <w:pStyle w:val="TableContents"/>
              <w:bidi w:val="0"/>
              <w:spacing w:before="0" w:after="283"/>
              <w:rPr/>
            </w:pPr>
            <w:r>
              <w:rPr/>
              <w:t>Hohenwartshofen Quartiersentwicklung GmbH &amp; Co. KG</w:t>
            </w:r>
          </w:p>
        </w:tc>
      </w:tr>
      <w:tr>
        <w:trPr/>
        <w:tc>
          <w:tcPr>
            <w:tcW w:w="15534" w:type="dxa"/>
            <w:gridSpan w:val="2"/>
            <w:tcBorders/>
            <w:vAlign w:val="center"/>
          </w:tcPr>
          <w:p>
            <w:pPr>
              <w:pStyle w:val="TableContents"/>
              <w:bidi w:val="0"/>
              <w:spacing w:before="0" w:after="283"/>
              <w:rPr>
                <w:sz w:val="4"/>
                <w:szCs w:val="4"/>
              </w:rPr>
            </w:pPr>
            <w:r>
              <w:rPr>
                <w:sz w:val="4"/>
                <w:szCs w:val="4"/>
              </w:rPr>
            </w:r>
          </w:p>
        </w:tc>
      </w:tr>
      <w:tr>
        <w:trPr/>
        <w:tc>
          <w:tcPr>
            <w:tcW w:w="7738" w:type="dxa"/>
            <w:tcBorders/>
            <w:vAlign w:val="center"/>
          </w:tcPr>
          <w:p>
            <w:pPr>
              <w:pStyle w:val="Heading1"/>
              <w:bidi w:val="0"/>
              <w:spacing w:before="240" w:after="283"/>
              <w:ind w:hanging="0" w:start="0" w:end="0"/>
              <w:rPr/>
            </w:pPr>
            <w:bookmarkStart w:id="92" w:name="sprachvorrang"/>
            <w:bookmarkEnd w:id="92"/>
            <w:r>
              <w:rPr/>
              <w:t>Sprachvorrang</w:t>
            </w:r>
          </w:p>
        </w:tc>
        <w:tc>
          <w:tcPr>
            <w:tcW w:w="7796" w:type="dxa"/>
            <w:tcBorders/>
            <w:vAlign w:val="center"/>
          </w:tcPr>
          <w:p>
            <w:pPr>
              <w:pStyle w:val="Heading1"/>
              <w:bidi w:val="0"/>
              <w:spacing w:before="240" w:after="283"/>
              <w:ind w:hanging="0" w:start="0" w:end="0"/>
              <w:rPr/>
            </w:pPr>
            <w:bookmarkStart w:id="93" w:name="language-precedence"/>
            <w:bookmarkEnd w:id="93"/>
            <w:r>
              <w:rPr/>
              <w:t>Language Precedence</w:t>
            </w:r>
          </w:p>
        </w:tc>
      </w:tr>
      <w:tr>
        <w:trPr/>
        <w:tc>
          <w:tcPr>
            <w:tcW w:w="7738" w:type="dxa"/>
            <w:tcBorders/>
            <w:vAlign w:val="center"/>
          </w:tcPr>
          <w:p>
            <w:pPr>
              <w:pStyle w:val="TableContents"/>
              <w:bidi w:val="0"/>
              <w:spacing w:before="0" w:after="283"/>
              <w:rPr/>
            </w:pPr>
            <w:r>
              <w:rPr>
                <w:rStyle w:val="Strong"/>
              </w:rPr>
              <w:t>SV.1</w:t>
            </w:r>
            <w:r>
              <w:rPr/>
              <w:t xml:space="preserve"> Bei Konflikten, Auslegungszweifeln, Abweichungen, Übersetzungsungenauigkeiten oder sonstigen Widersprüchen zwischen der deutschen und der englischen Sprachfassung ist ausschließlich die deutsche Sprachfassung maßgeblich. Die englische Sprachfassung tritt in jedem Fall hinter die deutsche Sprachfassung zurück und dient allein als Verständnishilfe.</w:t>
            </w:r>
          </w:p>
        </w:tc>
        <w:tc>
          <w:tcPr>
            <w:tcW w:w="7796" w:type="dxa"/>
            <w:tcBorders/>
            <w:vAlign w:val="center"/>
          </w:tcPr>
          <w:p>
            <w:pPr>
              <w:pStyle w:val="TableContents"/>
              <w:bidi w:val="0"/>
              <w:spacing w:before="0" w:after="283"/>
              <w:rPr/>
            </w:pPr>
            <w:r>
              <w:rPr>
                <w:rStyle w:val="Strong"/>
              </w:rPr>
              <w:t>SV.1</w:t>
            </w:r>
            <w:r>
              <w:rPr/>
              <w:t xml:space="preserve"> In the event of conflicts, doubts of interpretation, deviations, translation inaccuracies or any other inconsistencies between the German and English language versions, only the German language version shall be authoritative. The English language version shall in all cases be subordinate to the German language version and serves solely as a comprehension aid.</w:t>
            </w:r>
          </w:p>
        </w:tc>
      </w:tr>
    </w:tbl>
    <w:p>
      <w:pPr>
        <w:pStyle w:val="BodyText"/>
        <w:bidi w:val="0"/>
        <w:spacing w:before="0" w:after="283"/>
        <w:rPr/>
      </w:pPr>
      <w:r>
        <w:rPr/>
      </w:r>
    </w:p>
    <w:sectPr>
      <w:type w:val="nextPage"/>
      <w:pgSz w:orient="landscape" w:w="16838" w:h="11906"/>
      <w:pgMar w:left="652" w:right="652" w:gutter="0" w:header="0" w:top="765" w:footer="0" w:bottom="709"/>
      <w:pgNumType w:fmt="decimal"/>
      <w:formProt w:val="false"/>
      <w:textDirection w:val="lrTb"/>
      <w:docGrid w:type="default" w:linePitch="600" w:charSpace="4751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altName w:val="Georgia"/>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3">
    <w:lvl w:ilvl="0">
      <w:start w:val="1"/>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4">
    <w:lvl w:ilvl="0">
      <w:start w:val="2"/>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5">
    <w:lvl w:ilvl="0">
      <w:start w:val="2"/>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6">
    <w:lvl w:ilvl="0">
      <w:start w:val="3"/>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7">
    <w:lvl w:ilvl="0">
      <w:start w:val="3"/>
      <w:numFmt w:val="lowerLetter"/>
      <w:lvlText w:val="%1."/>
      <w:lvlJc w:val="start"/>
      <w:pPr>
        <w:tabs>
          <w:tab w:val="num" w:pos="709"/>
        </w:tabs>
        <w:ind w:start="709" w:hanging="283"/>
      </w:pPr>
      <w:rPr/>
    </w:lvl>
    <w:lvl w:ilvl="1">
      <w:start w:val="1"/>
      <w:numFmt w:val="lowerLetter"/>
      <w:lvlText w:val="%2."/>
      <w:lvlJc w:val="start"/>
      <w:pPr>
        <w:tabs>
          <w:tab w:val="num" w:pos="1418"/>
        </w:tabs>
        <w:ind w:start="1418" w:hanging="283"/>
      </w:pPr>
      <w:rPr/>
    </w:lvl>
    <w:lvl w:ilvl="2">
      <w:start w:val="1"/>
      <w:numFmt w:val="lowerLetter"/>
      <w:lvlText w:val="%3."/>
      <w:lvlJc w:val="start"/>
      <w:pPr>
        <w:tabs>
          <w:tab w:val="num" w:pos="2127"/>
        </w:tabs>
        <w:ind w:start="2127" w:hanging="283"/>
      </w:pPr>
      <w:rPr/>
    </w:lvl>
    <w:lvl w:ilvl="3">
      <w:start w:val="1"/>
      <w:numFmt w:val="lowerLetter"/>
      <w:lvlText w:val="%4."/>
      <w:lvlJc w:val="start"/>
      <w:pPr>
        <w:tabs>
          <w:tab w:val="num" w:pos="2836"/>
        </w:tabs>
        <w:ind w:start="2836" w:hanging="283"/>
      </w:pPr>
      <w:rPr/>
    </w:lvl>
    <w:lvl w:ilvl="4">
      <w:start w:val="1"/>
      <w:numFmt w:val="lowerLetter"/>
      <w:lvlText w:val="%5."/>
      <w:lvlJc w:val="start"/>
      <w:pPr>
        <w:tabs>
          <w:tab w:val="num" w:pos="3545"/>
        </w:tabs>
        <w:ind w:start="3545" w:hanging="283"/>
      </w:pPr>
      <w:rPr/>
    </w:lvl>
    <w:lvl w:ilvl="5">
      <w:start w:val="1"/>
      <w:numFmt w:val="lowerLetter"/>
      <w:lvlText w:val="%6."/>
      <w:lvlJc w:val="start"/>
      <w:pPr>
        <w:tabs>
          <w:tab w:val="num" w:pos="4254"/>
        </w:tabs>
        <w:ind w:start="4254" w:hanging="283"/>
      </w:pPr>
      <w:rPr/>
    </w:lvl>
    <w:lvl w:ilvl="6">
      <w:start w:val="1"/>
      <w:numFmt w:val="lowerLetter"/>
      <w:lvlText w:val="%7."/>
      <w:lvlJc w:val="start"/>
      <w:pPr>
        <w:tabs>
          <w:tab w:val="num" w:pos="4963"/>
        </w:tabs>
        <w:ind w:start="4963" w:hanging="283"/>
      </w:pPr>
      <w:rPr/>
    </w:lvl>
    <w:lvl w:ilvl="7">
      <w:start w:val="1"/>
      <w:numFmt w:val="lowerLetter"/>
      <w:lvlText w:val="%8."/>
      <w:lvlJc w:val="start"/>
      <w:pPr>
        <w:tabs>
          <w:tab w:val="num" w:pos="5672"/>
        </w:tabs>
        <w:ind w:start="5672" w:hanging="283"/>
      </w:pPr>
      <w:rPr/>
    </w:lvl>
    <w:lvl w:ilvl="8">
      <w:start w:val="1"/>
      <w:numFmt w:val="lowerLetter"/>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2"/>
    </w:pPr>
    <w:rPr>
      <w:rFonts w:ascii="DejaVu Serif;Georgia;serif" w:hAnsi="DejaVu Serif;Georgia;serif" w:eastAsia="DejaVu Serif;Georgia;serif" w:cs="DejaVu Serif;Georgia;serif"/>
      <w:color w:val="111111"/>
      <w:sz w:val="17"/>
      <w:szCs w:val="17"/>
      <w:lang w:val="en-US" w:eastAsia="zh-CN" w:bidi="hi-IN"/>
    </w:rPr>
  </w:style>
  <w:style w:type="paragraph" w:styleId="Heading1">
    <w:name w:val="heading 1"/>
    <w:basedOn w:val="Heading"/>
    <w:next w:val="BodyText"/>
    <w:qFormat/>
    <w:pPr>
      <w:keepNext w:val="true"/>
      <w:pBdr>
        <w:bottom w:val="single" w:sz="2" w:space="1" w:color="333333"/>
      </w:pBdr>
    </w:pPr>
    <w:rPr>
      <w:b/>
      <w:bCs/>
      <w:sz w:val="23"/>
      <w:szCs w:val="23"/>
    </w:rPr>
  </w:style>
  <w:style w:type="paragraph" w:styleId="Heading2">
    <w:name w:val="heading 2"/>
    <w:basedOn w:val="Heading"/>
    <w:next w:val="BodyText"/>
    <w:qFormat/>
    <w:pPr>
      <w:keepNext w:val="true"/>
      <w:numPr>
        <w:ilvl w:val="0"/>
        <w:numId w:val="0"/>
      </w:numPr>
      <w:spacing w:before="200" w:after="120"/>
      <w:outlineLvl w:val="1"/>
    </w:pPr>
    <w:rPr>
      <w:rFonts w:ascii="Liberation Serif" w:hAnsi="Liberation Serif" w:eastAsia="Linux Libertine G" w:cs="Noto Sans"/>
      <w:b/>
      <w:bCs/>
      <w:sz w:val="20"/>
      <w:szCs w:val="20"/>
    </w:rPr>
  </w:style>
  <w:style w:type="paragraph" w:styleId="Heading3">
    <w:name w:val="heading 3"/>
    <w:basedOn w:val="Heading"/>
    <w:next w:val="BodyText"/>
    <w:qFormat/>
    <w:pPr>
      <w:keepNext w:val="true"/>
      <w:numPr>
        <w:ilvl w:val="0"/>
        <w:numId w:val="0"/>
      </w:numPr>
      <w:spacing w:before="140" w:after="120"/>
      <w:outlineLvl w:val="2"/>
    </w:pPr>
    <w:rPr>
      <w:rFonts w:ascii="Liberation Serif" w:hAnsi="Liberation Serif" w:eastAsia="Linux Libertine G" w:cs="Noto Sans"/>
      <w:b/>
      <w:bCs/>
      <w:sz w:val="18"/>
      <w:szCs w:val="1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lockQuotation">
    <w:name w:val="Block Quotation"/>
    <w:basedOn w:val="Normal"/>
    <w:qFormat/>
    <w:pPr>
      <w:pBdr>
        <w:left w:val="single" w:sz="6" w:space="1" w:color="AAAAAA"/>
      </w:pBdr>
      <w:spacing w:before="0" w:after="283"/>
      <w:ind w:hanging="0" w:start="567" w:end="567"/>
    </w:pPr>
    <w:rPr/>
  </w:style>
  <w:style w:type="paragraph" w:styleId="Heading1doc-title">
    <w:name w:val="Heading 1.doc-title"/>
    <w:basedOn w:val="Heading1"/>
    <w:qFormat/>
    <w:pPr/>
    <w:rPr>
      <w:spacing w:val="0"/>
      <w:sz w:val="32"/>
      <w:szCs w:val="32"/>
    </w:rPr>
  </w:style>
  <w:style w:type="paragraph" w:styleId="BodyTextdoc-note">
    <w:name w:val="Body Text.doc-note"/>
    <w:basedOn w:val="BodyText"/>
    <w:qFormat/>
    <w:pPr/>
    <w:rPr>
      <w:color w:val="333333"/>
      <w:sz w:val="17"/>
      <w:szCs w:val="17"/>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ages>1</Pages>
  <Words>16010</Words>
  <Characters>100175</Characters>
  <CharactersWithSpaces>115656</CharactersWithSpaces>
  <Paragraphs>548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btv-source-sha256:afdc2a3525297db0ef72e7d837ee24e4bdf1d9241c4762f33c99adf6809c7d6b</dc:description>
  <cp:keywords>btv-source-sha256:afdc2a3525297db0ef72e7d837ee24e4bdf1d9241c4762f33c99adf6809c7d6b</cp:keywords>
  <dc:language>en-US</dc:language>
  <cp:lastModifiedBy/>
  <cp:revision>0</cp:revision>
  <dc:subject/>
  <dc:title>Wohnungsbauträgervertrag mit Auflassung — Deutsch/English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btv-source-sha256">
    <vt:lpwstr>afdc2a3525297db0ef72e7d837ee24e4bdf1d9241c4762f33c99adf6809c7d6b</vt:lpwstr>
  </property>
</Properties>
</file>