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entwurf"/>
    <w:p>
      <w:pPr>
        <w:pStyle w:val="Heading1"/>
      </w:pPr>
      <w:r>
        <w:t xml:space="preserve">ENTWURF</w:t>
      </w:r>
    </w:p>
    <w:bookmarkEnd w:id="9"/>
    <w:bookmarkStart w:id="11" w:name="bauträgervertrag"/>
    <w:p>
      <w:pPr>
        <w:pStyle w:val="Title"/>
      </w:pPr>
      <w:r>
        <w:t xml:space="preserve">Bauträgervertrag</w:t>
      </w:r>
    </w:p>
    <w:p>
      <w:pPr>
        <w:pStyle w:val="FirstParagraph"/>
      </w:pPr>
      <w:r>
        <w:rPr>
          <w:b/>
          <w:bCs/>
        </w:rPr>
        <w:t xml:space="preserve">UR-Nr. ____________________</w:t>
      </w:r>
    </w:p>
    <w:bookmarkStart w:id="10" w:name="vorgesehener-beurkundungstermin"/>
    <w:p>
      <w:pPr>
        <w:pStyle w:val="Heading2"/>
      </w:pPr>
      <w:r>
        <w:t xml:space="preserve">Vorgesehener Beurkundungstermin</w:t>
      </w:r>
    </w:p>
    <w:p>
      <w:pPr>
        <w:pStyle w:val="FirstParagraph"/>
      </w:pPr>
      <w:r>
        <w:t xml:space="preserve">Köln, vorgesehen für den 18. September 2026</w:t>
      </w:r>
    </w:p>
    <w:p>
      <w:pPr>
        <w:pStyle w:val="BodyText"/>
      </w:pPr>
      <w:r>
        <w:t xml:space="preserve">Vorgesehene Notarin im Bezirk des Oberlandesgerichts Köln</w:t>
      </w:r>
    </w:p>
    <w:p>
      <w:pPr>
        <w:pStyle w:val="BodyText"/>
      </w:pPr>
      <w:r>
        <w:rPr>
          <w:b/>
          <w:bCs/>
        </w:rPr>
        <w:t xml:space="preserve">Dr. Miriam Falkenried</w:t>
      </w:r>
    </w:p>
    <w:p>
      <w:pPr>
        <w:pStyle w:val="BodyText"/>
      </w:pPr>
      <w:r>
        <w:t xml:space="preserve">Hohenzollernring 42, 50672 Köln</w:t>
      </w:r>
    </w:p>
    <w:p>
      <w:pPr>
        <w:pStyle w:val="BodyText"/>
      </w:pPr>
      <w:r>
        <w:t xml:space="preserve">Vorgesehene Beteiligte:</w:t>
      </w:r>
    </w:p>
    <w:p>
      <w:pPr>
        <w:pStyle w:val="BodyText"/>
      </w:pPr>
      <w:r>
        <w:rPr>
          <w:b/>
          <w:bCs/>
        </w:rPr>
        <w:t xml:space="preserve">Herr Jonas Reuter</w:t>
      </w:r>
      <w:r>
        <w:t xml:space="preserve">, geboren am 03.04.1979,</w:t>
      </w:r>
    </w:p>
    <w:p>
      <w:pPr>
        <w:pStyle w:val="BodyText"/>
      </w:pPr>
      <w:r>
        <w:t xml:space="preserve">geschäftsansässig: Lindenhain Wohnwerte GmbH &amp; Co. KG, Gereonstraße 18, 50670 Köln,</w:t>
      </w:r>
    </w:p>
    <w:p>
      <w:pPr>
        <w:pStyle w:val="BodyText"/>
      </w:pPr>
      <w:r>
        <w:t xml:space="preserve">Identität im Beurkundungstermin festzustellen,</w:t>
      </w:r>
    </w:p>
    <w:p>
      <w:pPr>
        <w:pStyle w:val="BodyText"/>
      </w:pPr>
      <w:r>
        <w:t xml:space="preserve">handelnd nicht im eigenen Namen, sondern als einzelvertretungsberechtigter, von den Beschränkungen des § 181 BGB befreiter Geschäftsführer der</w:t>
      </w:r>
    </w:p>
    <w:p>
      <w:pPr>
        <w:pStyle w:val="BodyText"/>
      </w:pPr>
      <w:r>
        <w:rPr>
          <w:b/>
          <w:bCs/>
        </w:rPr>
        <w:t xml:space="preserve">Lindenhain Wohnwerte Verwaltungs GmbH</w:t>
      </w:r>
    </w:p>
    <w:p>
      <w:pPr>
        <w:pStyle w:val="BodyText"/>
      </w:pPr>
      <w:r>
        <w:t xml:space="preserve">eingetragen im Handelsregister des Amtsgerichts Köln unter HRB 118402,</w:t>
      </w:r>
    </w:p>
    <w:p>
      <w:pPr>
        <w:pStyle w:val="BodyText"/>
      </w:pPr>
      <w:r>
        <w:t xml:space="preserve">diese handelnd als persönlich haftende Gesellschafterin für die</w:t>
      </w:r>
    </w:p>
    <w:p>
      <w:pPr>
        <w:pStyle w:val="BodyText"/>
      </w:pPr>
      <w:r>
        <w:rPr>
          <w:b/>
          <w:bCs/>
        </w:rPr>
        <w:t xml:space="preserve">Lindenhain Wohnwerte GmbH &amp; Co. KG</w:t>
      </w:r>
    </w:p>
    <w:p>
      <w:pPr>
        <w:pStyle w:val="BodyText"/>
      </w:pPr>
      <w:r>
        <w:t xml:space="preserve">Gereonstraße 18, 50670 Köln,</w:t>
      </w:r>
    </w:p>
    <w:p>
      <w:pPr>
        <w:pStyle w:val="BodyText"/>
      </w:pPr>
      <w:r>
        <w:t xml:space="preserve">eingetragen im Handelsregister des Amtsgerichts Köln unter HRA 42191,</w:t>
      </w:r>
    </w:p>
    <w:p>
      <w:pPr>
        <w:pStyle w:val="BodyText"/>
      </w:pPr>
      <w:r>
        <w:t xml:space="preserve">nachfolgend</w:t>
      </w:r>
      <w:r>
        <w:t xml:space="preserve"> </w:t>
      </w:r>
      <w:r>
        <w:rPr>
          <w:b/>
          <w:bCs/>
        </w:rPr>
        <w:t xml:space="preserve">Verkäuferin</w:t>
      </w:r>
      <w:r>
        <w:t xml:space="preserve">,</w:t>
      </w:r>
    </w:p>
    <w:p>
      <w:pPr>
        <w:pStyle w:val="BodyText"/>
      </w:pPr>
      <w:r>
        <w:t xml:space="preserve">und</w:t>
      </w:r>
    </w:p>
    <w:p>
      <w:pPr>
        <w:pStyle w:val="BodyText"/>
      </w:pPr>
      <w:r>
        <w:rPr>
          <w:b/>
          <w:bCs/>
        </w:rPr>
        <w:t xml:space="preserve">Frau Dr. Amelie Brandt</w:t>
      </w:r>
      <w:r>
        <w:t xml:space="preserve">, geboren am 16.06.1984,</w:t>
      </w:r>
    </w:p>
    <w:p>
      <w:pPr>
        <w:pStyle w:val="BodyText"/>
      </w:pPr>
      <w:r>
        <w:t xml:space="preserve">wohnhaft: Aachener Straße 117, 50674 Köln,</w:t>
      </w:r>
    </w:p>
    <w:p>
      <w:pPr>
        <w:pStyle w:val="BodyText"/>
      </w:pPr>
      <w:r>
        <w:t xml:space="preserve">Identität im Beurkundungstermin durch gültigen Personalausweis festzustellen,</w:t>
      </w:r>
    </w:p>
    <w:p>
      <w:pPr>
        <w:pStyle w:val="BodyText"/>
      </w:pPr>
      <w:r>
        <w:t xml:space="preserve">handelnd im eigenen Namen,</w:t>
      </w:r>
    </w:p>
    <w:p>
      <w:pPr>
        <w:pStyle w:val="BodyText"/>
      </w:pPr>
      <w:r>
        <w:t xml:space="preserve">nachfolgend</w:t>
      </w:r>
      <w:r>
        <w:t xml:space="preserve"> </w:t>
      </w:r>
      <w:r>
        <w:rPr>
          <w:b/>
          <w:bCs/>
        </w:rPr>
        <w:t xml:space="preserve">Käuferin</w:t>
      </w:r>
      <w:r>
        <w:t xml:space="preserve">.</w:t>
      </w:r>
    </w:p>
    <w:p>
      <w:pPr>
        <w:pStyle w:val="BodyText"/>
      </w:pPr>
      <w:r>
        <w:t xml:space="preserve">Nach Angabe der Käuferin wurde ihr der beabsichtigte Text einschließlich Baubeschreibung, Teilungserklärung, Gemeinschaftsordnung, Freistellungserklärungsmuster, Energie- und Schallschutznachweis sowie Baugrundkurzbericht am 28. August 2026 elektronisch und in Papierform zur Verfügung gestellt. Für den vorgesehenen Termin am 18. September 2026 ergibt dies mehr als zwei Wochen. Die tatsächliche Bereitstellung und Vollständigkeit sind im Hinblick auf § 17 Abs. 2a Satz 2 Nr. 2 BeurkG festzustellen. Die Belehrung über Ratenfälligkeit, Sicherheiten, Abnahme, Mängelrechte, Eigentumsumschreibung und Kosten ist im Beurkundungstermin vorgesehen.</w:t>
      </w:r>
    </w:p>
    <w:p>
      <w:pPr>
        <w:pStyle w:val="BodyText"/>
      </w:pPr>
      <w:r>
        <w:t xml:space="preserve">Zur Beurkundung vorgesehener Vertragstext</w:t>
      </w:r>
    </w:p>
    <w:bookmarkEnd w:id="10"/>
    <w:bookmarkEnd w:id="11"/>
    <w:bookmarkStart w:id="28" w:name="wohnungsbauträgervertrag-mit-auflassung"/>
    <w:p>
      <w:pPr>
        <w:pStyle w:val="Heading1"/>
      </w:pPr>
      <w:r>
        <w:t xml:space="preserve">Wohnungsbauträgervertrag mit Auflassung</w:t>
      </w:r>
    </w:p>
    <w:bookmarkStart w:id="12" w:name="präambel-projekt-und-vertragsunterlagen"/>
    <w:p>
      <w:pPr>
        <w:pStyle w:val="Heading2"/>
      </w:pPr>
      <w:r>
        <w:t xml:space="preserve">0 Präambel, Projekt und Vertragsunterlagen</w:t>
      </w:r>
    </w:p>
    <w:p>
      <w:pPr>
        <w:pStyle w:val="FirstParagraph"/>
      </w:pPr>
      <w:r>
        <w:t xml:space="preserve">0.1 Die Verkäuferin errichtet auf dem in § 1 bezeichneten Grundstück das Wohngebäude</w:t>
      </w:r>
      <w:r>
        <w:t xml:space="preserve"> </w:t>
      </w:r>
      <w:r>
        <w:rPr>
          <w:b/>
          <w:bCs/>
        </w:rPr>
        <w:t xml:space="preserve">Lindenhain 12</w:t>
      </w:r>
      <w:r>
        <w:t xml:space="preserve"> </w:t>
      </w:r>
      <w:r>
        <w:t xml:space="preserve">mit zwölf Eigentumswohnungen, Tiefgarage, Fahrradraum, gemeinschaftlichem Innenhof, Retentionsgründach und Photovoltaikanlage. Gegenstand dieses Vertrags ist die Wohnung</w:t>
      </w:r>
      <w:r>
        <w:t xml:space="preserve"> </w:t>
      </w:r>
      <w:r>
        <w:rPr>
          <w:b/>
          <w:bCs/>
        </w:rPr>
        <w:t xml:space="preserve">B-05</w:t>
      </w:r>
      <w:r>
        <w:t xml:space="preserve"> </w:t>
      </w:r>
      <w:r>
        <w:t xml:space="preserve">im zweiten Obergeschoss nebst Kellerraum</w:t>
      </w:r>
      <w:r>
        <w:t xml:space="preserve"> </w:t>
      </w:r>
      <w:r>
        <w:rPr>
          <w:b/>
          <w:bCs/>
        </w:rPr>
        <w:t xml:space="preserve">K-B05</w:t>
      </w:r>
      <w:r>
        <w:t xml:space="preserve"> </w:t>
      </w:r>
      <w:r>
        <w:t xml:space="preserve">und Tiefgaragenstellplatz</w:t>
      </w:r>
      <w:r>
        <w:t xml:space="preserve"> </w:t>
      </w:r>
      <w:r>
        <w:rPr>
          <w:b/>
          <w:bCs/>
        </w:rPr>
        <w:t xml:space="preserve">TG-08</w:t>
      </w:r>
      <w:r>
        <w:t xml:space="preserve">.</w:t>
      </w:r>
    </w:p>
    <w:p>
      <w:pPr>
        <w:pStyle w:val="BodyText"/>
      </w:pPr>
      <w:r>
        <w:t xml:space="preserve">0.2 Die Verkäuferin handelt gewerblich. Die Käuferin erwirbt die Wohnung zu privaten Wohnzwecken und ist Verbraucherin. Die Parteien gehen übereinstimmend davon aus, dass dieser Vertrag ein Bauträgervertrag im Sinne des § 650u BGB ist und dass Abschlagszahlungen nur nach Maßgabe des § 650v BGB in Verbindung mit § 3 MaBV verlangt werden.</w:t>
      </w:r>
    </w:p>
    <w:p>
      <w:pPr>
        <w:pStyle w:val="BodyText"/>
      </w:pPr>
      <w:r>
        <w:t xml:space="preserve">0.3 Vertragsbestandteile sind diese Urkunde, die mitbeurkundete Baubeschreibung in der Anlage, die am 10. Juli 2026 beurkundete Teilungserklärung mit Gemeinschaftsordnung, UR-Nr. 611/2026 LF, die Pläne Grundriss B-05, Schnitt A-A, Ansicht Süd und Tiefgarage in der Fassung vom 20. August 2026 sowie die in § 5.2 genannten Nachweise. Bei Widersprüchen geht die individuellere, käufergünstigere und das Bausoll konkreter beschreibende Regelung vor, sofern zwingendes Recht nichts anderes verlangt.</w:t>
      </w:r>
    </w:p>
    <w:p>
      <w:pPr>
        <w:pStyle w:val="BodyText"/>
      </w:pPr>
      <w:r>
        <w:t xml:space="preserve">0.4 Die Verkäuferin bestätigt, dass die Baugenehmigung der Stadt Köln vom 14. Juni 2026, Az. 63-2026-1842, bestandskräftig ist, soweit dies für die Durchführung des Vorhabens und den Kaufgegenstand erforderlich ist. Abweichungen von der Genehmigung, die Lage, Größe, Nutzbarkeit, Sicherheit, Energiequalität, Schallschutz oder den Wert des Kaufgegenstands nachteilig berühren können, bedürfen vor Ausführung der schriftlichen Zustimmung der Käuferin, soweit sie deren Sondereigentum betreffen, und der gesetzlich erforderlichen Zustimmung der Gemeinschaft, soweit Gemeinschaftseigentum betroffen ist.</w:t>
      </w:r>
    </w:p>
    <w:p>
      <w:pPr>
        <w:pStyle w:val="BodyText"/>
      </w:pPr>
      <w:r>
        <w:t xml:space="preserve">0.5 Werbeaussagen, Exposés, Visualisierungen und Beratungsgespräche begründen kein selbständiges Bausoll, soweit sie nicht in dieser Urkunde, der Baubeschreibung oder den Plänen konkret übernommen sind. Sie bleiben jedoch bei der Auslegung unklarer oder lückenhafter Beschreibungen als vertragsbegleitende Umstände zu berücksichtigen.</w:t>
      </w:r>
    </w:p>
    <w:bookmarkEnd w:id="12"/>
    <w:bookmarkStart w:id="13" w:name="grundbuch-kaufgegenstand"/>
    <w:p>
      <w:pPr>
        <w:pStyle w:val="Heading2"/>
      </w:pPr>
      <w:br w:type="page"/>
      <w:r>
        <w:t xml:space="preserve">1 Grundbuch, Kaufgegenstand</w:t>
      </w:r>
    </w:p>
    <w:p>
      <w:pPr>
        <w:pStyle w:val="FirstParagraph"/>
      </w:pPr>
      <w:r>
        <w:t xml:space="preserve">1.1 Die Verkäuferin ist als Eigentümerin des Grundstücks Gemarkung Ehrenfeld, Flur 77, Flurstück 3124, Gebäude- und Freifläche Lindenhainstraße 12, 50825 Köln, eingetragen im Grundbuch von Ehrenfeld des Amtsgerichts Köln, Blatt 18422.</w:t>
      </w:r>
    </w:p>
    <w:p>
      <w:pPr>
        <w:pStyle w:val="BodyText"/>
      </w:pPr>
      <w:r>
        <w:t xml:space="preserve">1.2 Das Grundstück ist in Abteilung II lastenfrei mit Ausnahme von Dienstbarkeiten für Leitungen, Wege und Energieversorgung, die in der Teilungserklärung bezeichnet sind und den gewöhnlichen Wohngebrauch nicht beeinträchtigen. In Abteilung III ist eine Globalgrundschuld zugunsten der Rheinischen Bau- und Wohnbank AG eingetragen. Die Verkäuferin verpflichtet sich, die Lastenfreistellung des Kaufgegenstands nach Maßgabe des § 10 herbeizuführen.</w:t>
      </w:r>
    </w:p>
    <w:p>
      <w:pPr>
        <w:pStyle w:val="BodyText"/>
      </w:pPr>
      <w:r>
        <w:t xml:space="preserve">1.3 Verkauft wird das noch zu bildende Wohnungseigentum an der Wohnung B-05 mit einem Miteigentumsanteil von 81/1.000, verbunden mit dem Sondereigentum an den in den Plänen blau umrandeten Räumen, dem Kellerraum K-B05 und dem Sondernutzungsrecht an dem Tiefgaragenstellplatz TG-08. Mitverkauft werden die dem Kaufgegenstand nach Teilungserklärung zugeordneten Mitbenutzungsrechte an Fahrradraum, Kinderwagenraum, Müllraum, Innenhof, Paketstation und Dachterrasse der Gemeinschaft.</w:t>
      </w:r>
    </w:p>
    <w:p>
      <w:pPr>
        <w:pStyle w:val="BodyText"/>
      </w:pPr>
      <w:r>
        <w:t xml:space="preserve">1.4 Die Verkäuferin schuldet die Herstellung des Kaufgegenstands und des für die Nutzung erforderlichen Gemeinschaftseigentums nach dieser Urkunde, der Baubeschreibung, den Plänen, der Baugenehmigung und den anerkannten Regeln der Technik zum Zeitpunkt der Abnahme. DIN-Normen sind technische Orientierung, ersetzen aber nicht den geschuldeten Mindeststandard der anerkannten Regeln der Technik.</w:t>
      </w:r>
    </w:p>
    <w:bookmarkEnd w:id="13"/>
    <w:bookmarkStart w:id="14" w:name="kaufpreis-festpreis-kosten"/>
    <w:p>
      <w:pPr>
        <w:pStyle w:val="Heading2"/>
      </w:pPr>
      <w:r>
        <w:t xml:space="preserve">2 Kaufpreis, Festpreis, Kosten</w:t>
      </w:r>
    </w:p>
    <w:p>
      <w:pPr>
        <w:pStyle w:val="FirstParagraph"/>
      </w:pPr>
      <w:r>
        <w:t xml:space="preserve">2.1 Der Kaufpreis beträgt insgesamt</w:t>
      </w:r>
    </w:p>
    <w:p>
      <w:pPr>
        <w:pStyle w:val="BodyText"/>
      </w:pPr>
      <w:r>
        <w:rPr>
          <w:b/>
          <w:bCs/>
        </w:rPr>
        <w:t xml:space="preserve">742.000,00 EUR</w:t>
      </w:r>
    </w:p>
    <w:p>
      <w:pPr>
        <w:pStyle w:val="BodyText"/>
      </w:pPr>
      <w:r>
        <w:t xml:space="preserve">in Worten: siebenhundertzweiundvierzigtausend Euro.</w:t>
      </w:r>
    </w:p>
    <w:p>
      <w:pPr>
        <w:pStyle w:val="BodyText"/>
      </w:pPr>
      <w:r>
        <w:t xml:space="preserve">Er entfällt einheitlich auf Grundstücksanteil, Wohnung, Kellerraum, Tiefgaragenstellplatz, mitverkaufte Rechte, Bauleistung, Planungsleistung, Koordinierung, Erschließung, Außenanlagen, Unterlagen nach § 5.2 und die in der Baubeschreibung enthaltene Ausstattung.</w:t>
      </w:r>
    </w:p>
    <w:p>
      <w:pPr>
        <w:pStyle w:val="BodyText"/>
      </w:pPr>
      <w:r>
        <w:t xml:space="preserve">2.2 Der Kaufpreis ist ein Festpreis. Er umfasst sämtliche Leistungen, die zur schlüsselfertigen, mangelfreien und genehmigungskonformen Herstellung des Kaufgegenstands und des funktional erforderlichen Gemeinschaftseigentums notwendig sind, einschließlich Erschließung, Hausanschlüsse, Prüf- und Nachweisunterlagen, Außenanlagen, Fahrradabstellplätze, Müllstandort, Beleuchtung der Zugänge, gemeinschaftlicher Brief- und Paketstation sowie betriebsbereiter technischer Anlagen.</w:t>
      </w:r>
    </w:p>
    <w:p>
      <w:pPr>
        <w:pStyle w:val="BodyText"/>
      </w:pPr>
      <w:r>
        <w:t xml:space="preserve">2.3 Nicht enthalten sind Grunderwerbsteuer, Notar- und Grundbuchkosten dieses Vertrags, Kosten der Finanzierung der Käuferin sowie Sonderwünsche, die nach Beurkundung auf ausdrücklichen Wunsch der Käuferin beauftragt werden. Kosten, die durch Mängelbeseitigung, Nacherfüllung, fehlende Unterlagen, verspätete Lastenfreistellung oder unrichtige Bautenstandsmitteilungen entstehen, trägt die Verkäuferin.</w:t>
      </w:r>
    </w:p>
    <w:p>
      <w:pPr>
        <w:pStyle w:val="BodyText"/>
      </w:pPr>
      <w:r>
        <w:t xml:space="preserve">2.4 Eine Preisanpassung wegen allgemeiner Baukostensteigerung, Materialpreisänderung, Lieferantenwechsel, Personalknappheit, Kalkulationsfehler oder Änderung interner Projektorganisation ist ausgeschlossen. Mehrkosten können nur verlangt werden, wenn die Käuferin nach Beurkundung einen Sonderwunsch beauftragt oder einer konkret beschriebenen, rechtlich zulässigen Leistungsänderung ausdrücklich zustimmt.</w:t>
      </w:r>
    </w:p>
    <w:bookmarkEnd w:id="14"/>
    <w:bookmarkStart w:id="15" w:name="fälligkeit-ratenplan-sicherheit"/>
    <w:p>
      <w:pPr>
        <w:pStyle w:val="Heading2"/>
      </w:pPr>
      <w:r>
        <w:t xml:space="preserve">3 Fälligkeit, Ratenplan, Sicherheit</w:t>
      </w:r>
    </w:p>
    <w:p>
      <w:pPr>
        <w:pStyle w:val="FirstParagraph"/>
      </w:pPr>
      <w:r>
        <w:t xml:space="preserve">3.1 Kaufpreisraten werden erst fällig, wenn sämtliche allgemeinen Fälligkeitsvoraussetzungen des § 3 Abs. 1 MaBV vorliegen und die Notarin dies der Käuferin schriftlich bestätigt hat:</w:t>
      </w:r>
    </w:p>
    <w:p>
      <w:pPr>
        <w:pStyle w:val="Compact"/>
        <w:numPr>
          <w:ilvl w:val="0"/>
          <w:numId w:val="1001"/>
        </w:numPr>
      </w:pPr>
      <w:r>
        <w:t xml:space="preserve">wirksamer Vertrag, Vorliegen der für seinen Vollzug erforderlichen Genehmigungen und keine vertraglichen Rücktrittsrechte der Verkäuferin;</w:t>
      </w:r>
    </w:p>
    <w:p>
      <w:pPr>
        <w:pStyle w:val="Compact"/>
        <w:numPr>
          <w:ilvl w:val="0"/>
          <w:numId w:val="1001"/>
        </w:numPr>
      </w:pPr>
      <w:r>
        <w:t xml:space="preserve">Eintragung einer Auflassungsvormerkung zugunsten der Käuferin an vereinbarter Rangstelle sowie Vollzug der Begründung des Wohnungseigentums;</w:t>
      </w:r>
    </w:p>
    <w:p>
      <w:pPr>
        <w:pStyle w:val="Compact"/>
        <w:numPr>
          <w:ilvl w:val="0"/>
          <w:numId w:val="1001"/>
        </w:numPr>
      </w:pPr>
      <w:r>
        <w:t xml:space="preserve">gesicherte Freistellung von nicht zu übernehmenden vorrangigen oder gleichrangigen Grundpfandrechten auch bei nicht vollendetem Bauvorhaben und Aushändigung der hierfür erforderlichen Erklärungen an die Käuferin;</w:t>
      </w:r>
    </w:p>
    <w:p>
      <w:pPr>
        <w:pStyle w:val="Compact"/>
        <w:numPr>
          <w:ilvl w:val="0"/>
          <w:numId w:val="1001"/>
        </w:numPr>
      </w:pPr>
      <w:r>
        <w:t xml:space="preserve">erteilte Baugenehmigung oder ein anderer Nachweis nach § 3 Abs. 1 Satz 1 Nr. 4 MaBV einschließlich der dort gegebenenfalls vorgeschriebenen Monatsfrist.</w:t>
      </w:r>
    </w:p>
    <w:p>
      <w:pPr>
        <w:pStyle w:val="FirstParagraph"/>
      </w:pPr>
      <w:r>
        <w:t xml:space="preserve">3.2 Die Verkäuferin stellt der Käuferin spätestens mit der ersten Rate eine Sicherheit in Höhe von 5 % des Kaufpreises nach § 650m Abs. 2 BGB. Die Käuferin darf diesen Betrag von der ersten fälligen Rate einbehalten, bis die Verkäuferin eine unbefristete, selbstschuldnerische Bürgschaft eines im Inland zugelassenen Kreditinstituts oder Kreditversicherers übergeben hat. Das Einbehaltsrecht besteht automatisch; es bedarf keiner gesonderten Ausübungserklärung.</w:t>
      </w:r>
    </w:p>
    <w:p>
      <w:pPr>
        <w:pStyle w:val="BodyText"/>
      </w:pPr>
      <w:r>
        <w:t xml:space="preserve">3.3 Der Kaufpreis ist in höchstens sieben Teilbeträgen nach tatsächlichem Baufortschritt zu zahlen:</w:t>
      </w:r>
    </w:p>
    <w:tbl>
      <w:tblPr>
        <w:tblStyle w:val="Table"/>
        <w:tblW w:type="pct" w:w="5000"/>
        <w:tblLayout w:type="fixed"/>
        <w:tblLook w:firstRow="1" w:lastRow="0" w:firstColumn="0" w:lastColumn="0" w:noHBand="0" w:noVBand="0" w:val="0020"/>
        <w:tblBorders>
          <w:top w:val="single" w:sz="4" w:color="D9D9D9"/>
          <w:left w:val="single" w:sz="4" w:color="D9D9D9"/>
          <w:bottom w:val="single" w:sz="4" w:color="D9D9D9"/>
          <w:right w:val="single" w:sz="4" w:color="D9D9D9"/>
          <w:insideH w:val="single" w:sz="4" w:color="D9D9D9"/>
          <w:insideV w:val="single" w:sz="4" w:color="D9D9D9"/>
        </w:tblBorders>
      </w:tblPr>
      <w:tblGrid>
        <w:gridCol w:w="737"/>
        <w:gridCol w:w="7030"/>
        <w:gridCol w:w="1474"/>
      </w:tblGrid>
      <w:tr>
        <w:trPr>
          <w:tblHeader w:val="on"/>
        </w:trPr>
        <w:tc>
          <w:tcPr>
            <w:tcW w:type="dxa" w:w="737"/>
          </w:tcPr>
          <w:p>
            <w:pPr>
              <w:pStyle w:val="Compact"/>
            </w:pPr>
            <w:r>
              <w:t xml:space="preserve">Rate</w:t>
            </w:r>
          </w:p>
        </w:tc>
        <w:tc>
          <w:tcPr>
            <w:tcW w:type="dxa" w:w="7030"/>
          </w:tcPr>
          <w:p>
            <w:pPr>
              <w:pStyle w:val="Compact"/>
            </w:pPr>
            <w:r>
              <w:t xml:space="preserve">Fälligkeit frühestens nach tatsächlichem Baufortschritt</w:t>
            </w:r>
          </w:p>
        </w:tc>
        <w:tc>
          <w:tcPr>
            <w:tcW w:type="dxa" w:w="1474"/>
          </w:tcPr>
          <w:p>
            <w:pPr>
              <w:pStyle w:val="Compact"/>
              <w:jc w:val="right"/>
            </w:pPr>
            <w:r>
              <w:t xml:space="preserve">Betrag</w:t>
            </w:r>
          </w:p>
        </w:tc>
      </w:tr>
      <w:tr>
        <w:tc>
          <w:tcPr>
            <w:tcW w:type="dxa" w:w="737"/>
          </w:tcPr>
          <w:p>
            <w:pPr>
              <w:pStyle w:val="Compact"/>
            </w:pPr>
            <w:r>
              <w:t xml:space="preserve">1</w:t>
            </w:r>
          </w:p>
        </w:tc>
        <w:tc>
          <w:tcPr>
            <w:tcW w:type="dxa" w:w="7030"/>
          </w:tcPr>
          <w:p>
            <w:pPr>
              <w:pStyle w:val="Compact"/>
            </w:pPr>
            <w:r>
              <w:t xml:space="preserve">Beginn der Erdarbeiten, nach Vorliegen der Voraussetzungen aus § 3.1</w:t>
            </w:r>
          </w:p>
        </w:tc>
        <w:tc>
          <w:tcPr>
            <w:tcW w:type="dxa" w:w="1474"/>
          </w:tcPr>
          <w:p>
            <w:pPr>
              <w:pStyle w:val="Compact"/>
              <w:jc w:val="right"/>
            </w:pPr>
            <w:r>
              <w:t xml:space="preserve">30,0 %</w:t>
            </w:r>
          </w:p>
        </w:tc>
      </w:tr>
      <w:tr>
        <w:tc>
          <w:tcPr>
            <w:tcW w:type="dxa" w:w="737"/>
          </w:tcPr>
          <w:p>
            <w:pPr>
              <w:pStyle w:val="Compact"/>
            </w:pPr>
            <w:r>
              <w:t xml:space="preserve">2</w:t>
            </w:r>
          </w:p>
        </w:tc>
        <w:tc>
          <w:tcPr>
            <w:tcW w:type="dxa" w:w="7030"/>
          </w:tcPr>
          <w:p>
            <w:pPr>
              <w:pStyle w:val="Compact"/>
            </w:pPr>
            <w:r>
              <w:t xml:space="preserve">Rohbaufertigstellung einschließlich Zimmererarbeiten</w:t>
            </w:r>
          </w:p>
        </w:tc>
        <w:tc>
          <w:tcPr>
            <w:tcW w:type="dxa" w:w="1474"/>
          </w:tcPr>
          <w:p>
            <w:pPr>
              <w:pStyle w:val="Compact"/>
              <w:jc w:val="right"/>
            </w:pPr>
            <w:r>
              <w:t xml:space="preserve">28,0 %</w:t>
            </w:r>
          </w:p>
        </w:tc>
      </w:tr>
      <w:tr>
        <w:tc>
          <w:tcPr>
            <w:tcW w:type="dxa" w:w="737"/>
          </w:tcPr>
          <w:p>
            <w:pPr>
              <w:pStyle w:val="Compact"/>
            </w:pPr>
            <w:r>
              <w:t xml:space="preserve">3</w:t>
            </w:r>
          </w:p>
        </w:tc>
        <w:tc>
          <w:tcPr>
            <w:tcW w:type="dxa" w:w="7030"/>
          </w:tcPr>
          <w:p>
            <w:pPr>
              <w:pStyle w:val="Compact"/>
            </w:pPr>
            <w:r>
              <w:t xml:space="preserve">Herstellung der Dachflächen und Dachrinnen, Rohinstallation Heizung/Sanitär/Elektro, Fenstereinbau einschließlich Verglasung</w:t>
            </w:r>
          </w:p>
        </w:tc>
        <w:tc>
          <w:tcPr>
            <w:tcW w:type="dxa" w:w="1474"/>
          </w:tcPr>
          <w:p>
            <w:pPr>
              <w:pStyle w:val="Compact"/>
              <w:jc w:val="right"/>
            </w:pPr>
            <w:r>
              <w:t xml:space="preserve">18,9 %</w:t>
            </w:r>
          </w:p>
        </w:tc>
      </w:tr>
      <w:tr>
        <w:tc>
          <w:tcPr>
            <w:tcW w:type="dxa" w:w="737"/>
          </w:tcPr>
          <w:p>
            <w:pPr>
              <w:pStyle w:val="Compact"/>
            </w:pPr>
            <w:r>
              <w:t xml:space="preserve">4</w:t>
            </w:r>
          </w:p>
        </w:tc>
        <w:tc>
          <w:tcPr>
            <w:tcW w:type="dxa" w:w="7030"/>
          </w:tcPr>
          <w:p>
            <w:pPr>
              <w:pStyle w:val="Compact"/>
            </w:pPr>
            <w:r>
              <w:t xml:space="preserve">Innenputz, Estrich und Fassadenarbeiten</w:t>
            </w:r>
          </w:p>
        </w:tc>
        <w:tc>
          <w:tcPr>
            <w:tcW w:type="dxa" w:w="1474"/>
          </w:tcPr>
          <w:p>
            <w:pPr>
              <w:pStyle w:val="Compact"/>
              <w:jc w:val="right"/>
            </w:pPr>
            <w:r>
              <w:t xml:space="preserve">8,4 %</w:t>
            </w:r>
          </w:p>
        </w:tc>
      </w:tr>
      <w:tr>
        <w:tc>
          <w:tcPr>
            <w:tcW w:type="dxa" w:w="737"/>
          </w:tcPr>
          <w:p>
            <w:pPr>
              <w:pStyle w:val="Compact"/>
            </w:pPr>
            <w:r>
              <w:t xml:space="preserve">5</w:t>
            </w:r>
          </w:p>
        </w:tc>
        <w:tc>
          <w:tcPr>
            <w:tcW w:type="dxa" w:w="7030"/>
          </w:tcPr>
          <w:p>
            <w:pPr>
              <w:pStyle w:val="Compact"/>
            </w:pPr>
            <w:r>
              <w:t xml:space="preserve">Fliesenarbeiten im Sanitärbereich</w:t>
            </w:r>
          </w:p>
        </w:tc>
        <w:tc>
          <w:tcPr>
            <w:tcW w:type="dxa" w:w="1474"/>
          </w:tcPr>
          <w:p>
            <w:pPr>
              <w:pStyle w:val="Compact"/>
              <w:jc w:val="right"/>
            </w:pPr>
            <w:r>
              <w:t xml:space="preserve">2,8 %</w:t>
            </w:r>
          </w:p>
        </w:tc>
      </w:tr>
      <w:tr>
        <w:tc>
          <w:tcPr>
            <w:tcW w:type="dxa" w:w="737"/>
          </w:tcPr>
          <w:p>
            <w:pPr>
              <w:pStyle w:val="Compact"/>
            </w:pPr>
            <w:r>
              <w:t xml:space="preserve">6</w:t>
            </w:r>
          </w:p>
        </w:tc>
        <w:tc>
          <w:tcPr>
            <w:tcW w:type="dxa" w:w="7030"/>
          </w:tcPr>
          <w:p>
            <w:pPr>
              <w:pStyle w:val="Compact"/>
            </w:pPr>
            <w:r>
              <w:t xml:space="preserve">Bezugsfertigkeit und Zug um Zug gegen Besitzübergabe</w:t>
            </w:r>
          </w:p>
        </w:tc>
        <w:tc>
          <w:tcPr>
            <w:tcW w:type="dxa" w:w="1474"/>
          </w:tcPr>
          <w:p>
            <w:pPr>
              <w:pStyle w:val="Compact"/>
              <w:jc w:val="right"/>
            </w:pPr>
            <w:r>
              <w:t xml:space="preserve">8,4 %</w:t>
            </w:r>
          </w:p>
        </w:tc>
      </w:tr>
      <w:tr>
        <w:tc>
          <w:tcPr>
            <w:tcW w:type="dxa" w:w="737"/>
          </w:tcPr>
          <w:p>
            <w:pPr>
              <w:pStyle w:val="Compact"/>
            </w:pPr>
            <w:r>
              <w:t xml:space="preserve">7</w:t>
            </w:r>
          </w:p>
        </w:tc>
        <w:tc>
          <w:tcPr>
            <w:tcW w:type="dxa" w:w="7030"/>
          </w:tcPr>
          <w:p>
            <w:pPr>
              <w:pStyle w:val="Compact"/>
            </w:pPr>
            <w:r>
              <w:t xml:space="preserve">vollständige Fertigstellung einschließlich Außenanlagen, Zuwegungen, Keller, Tiefgarage und Gemeinschaftseinrichtungen</w:t>
            </w:r>
          </w:p>
        </w:tc>
        <w:tc>
          <w:tcPr>
            <w:tcW w:type="dxa" w:w="1474"/>
          </w:tcPr>
          <w:p>
            <w:pPr>
              <w:pStyle w:val="Compact"/>
              <w:jc w:val="right"/>
            </w:pPr>
            <w:r>
              <w:t xml:space="preserve">3,5 %</w:t>
            </w:r>
          </w:p>
        </w:tc>
      </w:tr>
    </w:tbl>
    <w:p>
      <w:pPr>
        <w:pStyle w:val="BodyText"/>
      </w:pPr>
      <w:r>
        <w:t xml:space="preserve">3.4 Eine Rate wird nur fällig, wenn der bezeichnete Bautenstand tatsächlich erreicht ist und die Verkäuferin der Käuferin eine nachvollziehbare Bautenstandsmitteilung mit Lichtbildern, Datum und verantwortlicher Bauleitung übermittelt. Die Käuferin darf den Bautenstand vor Zahlung selbst, durch eine bevollmächtigte Person oder durch eine sachverständige Person prüfen lassen. Die Prüfung darf aus Sicherheitsgründen begleitet werden, darf aber nicht grundlos verhindert oder auf bloße Akteneinsicht beschränkt werden.</w:t>
      </w:r>
    </w:p>
    <w:p>
      <w:pPr>
        <w:pStyle w:val="BodyText"/>
      </w:pPr>
      <w:r>
        <w:t xml:space="preserve">3.5 Bei Mängeln, fehlenden Unterlagen oder unvollständiger Leistung bleiben gesetzliche Zurückbehaltungsrechte, insbesondere § 641 Abs. 3 BGB, unberührt. Die Zahlung einer Rate gilt nicht als Abnahme, Anerkenntnis des Bautenstands oder Verzicht auf Einwendungen.</w:t>
      </w:r>
    </w:p>
    <w:p>
      <w:pPr>
        <w:pStyle w:val="BodyText"/>
      </w:pPr>
      <w:r>
        <w:t xml:space="preserve">3.6 Die Schlussrate setzt vollständige Fertigstellung voraus. Vollständige Fertigstellung umfasst auch die Außenanlagen, die dauerhafte Verkehrssicherheit der Zugänge, die Tiefgarage, Fahrradabstellflächen, Beleuchtung, Müllflächen, Entwässerung, Gebäudetechnik, Revisionsunterlagen und alle zur gewöhnlichen Nutzung erforderlichen Gemeinschaftseinrichtungen. Unwesentliche Restmängel hindern die Fälligkeit nur insoweit nicht, als der Käuferin die gesetzlichen Zurückbehaltungsrechte vollständig verbleiben.</w:t>
      </w:r>
    </w:p>
    <w:p>
      <w:pPr>
        <w:pStyle w:val="BodyText"/>
      </w:pPr>
      <w:r>
        <w:t xml:space="preserve">3.7 Sonderwünsche werden nicht außerhalb des MaBV-Ratenplans als Vorauszahlung abgerechnet. Werden sie vor Ausführung vereinbart, werden sie entweder in den Kaufpreis und die verbleibenden Raten einbezogen oder erst nach Ausführung und Abnahme des Sonderwunsches fällig.</w:t>
      </w:r>
    </w:p>
    <w:bookmarkEnd w:id="15"/>
    <w:bookmarkStart w:id="16" w:name="finanzierungsvollmacht"/>
    <w:p>
      <w:pPr>
        <w:pStyle w:val="Heading2"/>
      </w:pPr>
      <w:r>
        <w:t xml:space="preserve">4 Finanzierungsvollmacht</w:t>
      </w:r>
    </w:p>
    <w:p>
      <w:pPr>
        <w:pStyle w:val="FirstParagraph"/>
      </w:pPr>
      <w:r>
        <w:t xml:space="preserve">4.1 Die Verkäuferin bevollmächtigt die Käuferin, zur Finanzierung des Kaufpreises Grundpfandrechte am Kaufgegenstand bis zu einem Nominalbetrag von 742.000,00 EUR nebst marktüblichen Zinsen und Nebenleistungen zu bestellen. Die Vollmacht darf nur verwendet werden, wenn der Grundpfandrechtsgläubiger sich verpflichtet, Zahlungen ausschließlich nach Maßgabe dieser Urkunde, des Ratenplans und der MaBV an die Verkäuferin zu leisten.</w:t>
      </w:r>
    </w:p>
    <w:p>
      <w:pPr>
        <w:pStyle w:val="BodyText"/>
      </w:pPr>
      <w:r>
        <w:t xml:space="preserve">4.2 Die Käuferin übernimmt die persönliche Haftung nur gegenüber ihrer finanzierenden Bank. Eine persönliche Haftung der Verkäuferin wird nicht begründet. Die Verkäuferin wirkt an Rangrücktritten und Löschungen mit, soweit dies zur Finanzierung und lastenfreien Eigentumsumschreibung erforderlich ist.</w:t>
      </w:r>
    </w:p>
    <w:p>
      <w:pPr>
        <w:pStyle w:val="BodyText"/>
      </w:pPr>
      <w:r>
        <w:t xml:space="preserve">4.3 Die Kosten der Finanzierungsgrundpfandrechte trägt die Käuferin. Kosten der Lastenfreistellung der Globalgrundschuld der Verkäuferin trägt die Verkäuferin.</w:t>
      </w:r>
    </w:p>
    <w:bookmarkEnd w:id="16"/>
    <w:bookmarkStart w:id="17" w:name="baupflicht-bausoll-unterlagen"/>
    <w:p>
      <w:pPr>
        <w:pStyle w:val="Heading2"/>
      </w:pPr>
      <w:r>
        <w:t xml:space="preserve">5 Baupflicht, Bausoll, Unterlagen</w:t>
      </w:r>
    </w:p>
    <w:p>
      <w:pPr>
        <w:pStyle w:val="FirstParagraph"/>
      </w:pPr>
      <w:r>
        <w:t xml:space="preserve">5.1 Die Verkäuferin verpflichtet sich, den Kaufgegenstand und das Gemeinschaftseigentum nach dieser Urkunde, der Baubeschreibung, den Plänen, der Baugenehmigung und den anerkannten Regeln der Technik zum Zeitpunkt der Abnahme herzustellen. Unvollständige oder unklare Leistungsangaben werden unter Berücksichtigung sämtlicher vertragsbegleitender Umstände, insbesondere des in den übrigen Unterlagen angelegten Komfort- und Qualitätsstandards, ausgelegt; Zweifel gehen zulasten der Verkäuferin.</w:t>
      </w:r>
    </w:p>
    <w:p>
      <w:pPr>
        <w:pStyle w:val="BodyText"/>
      </w:pPr>
      <w:r>
        <w:t xml:space="preserve">5.2 Die Verkäuferin übergibt der Käuferin rechtzeitig vor Beginn der jeweils betroffenen Ausführung die Planungsunterlagen, die sie zum öffentlich-rechtlichen Nachweis benötigt. Die entsprechenden Fertigstellungsnachweise erhält sie spätestens mit Fertigstellung; Entsprechendes gilt für Nachweise eines Darlehensgebers, soweit die Voraussetzungen des § 650n Abs. 3 BGB vorliegen. Die nachfolgend vertraglich geschuldeten Unterlagen werden, soweit sie nicht schon vor Ausführung benötigt werden, spätestens zur Abnahme des betroffenen Bereichs digital und auf Wunsch in Papierform übergeben:</w:t>
      </w:r>
    </w:p>
    <w:p>
      <w:pPr>
        <w:pStyle w:val="Compact"/>
        <w:numPr>
          <w:ilvl w:val="0"/>
          <w:numId w:val="1002"/>
        </w:numPr>
      </w:pPr>
      <w:r>
        <w:t xml:space="preserve">Baugenehmigung und genehmigte Pläne;</w:t>
      </w:r>
    </w:p>
    <w:p>
      <w:pPr>
        <w:pStyle w:val="Compact"/>
        <w:numPr>
          <w:ilvl w:val="0"/>
          <w:numId w:val="1002"/>
        </w:numPr>
      </w:pPr>
      <w:r>
        <w:t xml:space="preserve">Energiebedarfsausweis und GEG-Nachweise;</w:t>
      </w:r>
    </w:p>
    <w:p>
      <w:pPr>
        <w:pStyle w:val="Compact"/>
        <w:numPr>
          <w:ilvl w:val="0"/>
          <w:numId w:val="1002"/>
        </w:numPr>
      </w:pPr>
      <w:r>
        <w:t xml:space="preserve">Schallschutznachweis;</w:t>
      </w:r>
    </w:p>
    <w:p>
      <w:pPr>
        <w:pStyle w:val="Compact"/>
        <w:numPr>
          <w:ilvl w:val="0"/>
          <w:numId w:val="1002"/>
        </w:numPr>
      </w:pPr>
      <w:r>
        <w:t xml:space="preserve">Brandschutzkonzept und brandschutzrelevante Abnahmeunterlagen;</w:t>
      </w:r>
    </w:p>
    <w:p>
      <w:pPr>
        <w:pStyle w:val="Compact"/>
        <w:numPr>
          <w:ilvl w:val="0"/>
          <w:numId w:val="1002"/>
        </w:numPr>
      </w:pPr>
      <w:r>
        <w:t xml:space="preserve">geotechnischer Bericht und Abdichtungskonzept;</w:t>
      </w:r>
    </w:p>
    <w:p>
      <w:pPr>
        <w:pStyle w:val="Compact"/>
        <w:numPr>
          <w:ilvl w:val="0"/>
          <w:numId w:val="1002"/>
        </w:numPr>
      </w:pPr>
      <w:r>
        <w:t xml:space="preserve">Revisionsunterlagen für Heizung, Lüftung, Elektro, Photovoltaik und Entwässerung;</w:t>
      </w:r>
    </w:p>
    <w:p>
      <w:pPr>
        <w:pStyle w:val="Compact"/>
        <w:numPr>
          <w:ilvl w:val="0"/>
          <w:numId w:val="1002"/>
        </w:numPr>
      </w:pPr>
      <w:r>
        <w:t xml:space="preserve">Bedienungs- und Wartungsanleitungen;</w:t>
      </w:r>
    </w:p>
    <w:p>
      <w:pPr>
        <w:pStyle w:val="Compact"/>
        <w:numPr>
          <w:ilvl w:val="0"/>
          <w:numId w:val="1002"/>
        </w:numPr>
      </w:pPr>
      <w:r>
        <w:t xml:space="preserve">Fachunternehmererklärungen, Prüfprotokolle und Gewährleistungsübersicht;</w:t>
      </w:r>
    </w:p>
    <w:p>
      <w:pPr>
        <w:pStyle w:val="Compact"/>
        <w:numPr>
          <w:ilvl w:val="0"/>
          <w:numId w:val="1002"/>
        </w:numPr>
      </w:pPr>
      <w:r>
        <w:t xml:space="preserve">Bestandspläne der Einheit und der für die Nutzung wesentlichen Gemeinschaftseinrichtungen.</w:t>
      </w:r>
    </w:p>
    <w:p>
      <w:pPr>
        <w:pStyle w:val="FirstParagraph"/>
      </w:pPr>
      <w:r>
        <w:t xml:space="preserve">5.3 Die Verkäuferin organisiert Planung, Fachplanung, Bauleitung, Objektüberwachung, Sicherheitskoordination und Mängelverfolgung in eigener Verantwortung. Die Käuferin erhält keine eigenen Ansprüche gegen die Fachplaner allein aufgrund dieses Vertrags, jedoch bleibt eine gesetzliche oder deliktische Haftung Dritter unberührt.</w:t>
      </w:r>
    </w:p>
    <w:p>
      <w:pPr>
        <w:pStyle w:val="BodyText"/>
      </w:pPr>
      <w:r>
        <w:t xml:space="preserve">5.4 Die Käuferin darf während der Bauzeit eine eigene sachverständige Person hinzuziehen. Baustellenbegehungen erfolgen nach vorheriger Abstimmung, mindestens zu folgenden Zeitpunkten: nach Rohbau, nach Fenstereinbau und Rohinstallation, vor Estrich, vor Verkleidung wesentlicher Installationsschächte, bei Bezugsfertigkeit und vor Abnahme. Die Verkäuferin darf die Begehung aus Sicherheitsgründen organisieren, aber nicht ohne sachlichen Grund verweigern.</w:t>
      </w:r>
    </w:p>
    <w:p>
      <w:pPr>
        <w:pStyle w:val="BodyText"/>
      </w:pPr>
      <w:r>
        <w:t xml:space="preserve">5.5 Leistungsänderungen durch die Verkäuferin sind nur zulässig, wenn sie technisch oder öffentlich-rechtlich erforderlich sind, den Wert, die Gebrauchstauglichkeit, die Wohnfläche, den Schallschutz, die Energiequalität, die Barrierearmut, die Belichtung und den Zuschnitt nicht nachteilig berühren und der Käuferin rechtzeitig in Textform erläutert werden. Bei nachteiliger oder nicht nur unwesentlicher Änderung ist die vorherige Zustimmung der Käuferin erforderlich, soweit ihr Sondereigentum betroffen ist.</w:t>
      </w:r>
    </w:p>
    <w:p>
      <w:pPr>
        <w:pStyle w:val="BodyText"/>
      </w:pPr>
      <w:r>
        <w:t xml:space="preserve">5.6 Ändern sich zwischen Vertragsschluss und Abnahme die anerkannten Regeln der Technik, informiert die Verkäuferin die Käuferin unverzüglich über Inhalt, Auswirkung, Mehrkosten und Alternativen. Eine Unterschreitung des zum Abnahmezeitpunkt geschuldeten Standards ist nur aufgrund ausdrücklicher, gesonderter und über die Folgen aufklärender Vereinbarung zulässig.</w:t>
      </w:r>
    </w:p>
    <w:p>
      <w:pPr>
        <w:pStyle w:val="BodyText"/>
      </w:pPr>
      <w:r>
        <w:t xml:space="preserve">5.7 Sonderwünsche werden in einer gesonderten Nachtragsvereinbarung mit Leistungsbeschreibung, Preis, Auswirkung auf Termine, Gewährleistung und Schnittstellen festgelegt. Die Verkäuferin darf einen Sonderwunsch ablehnen, wenn er Bauablauf, Genehmigung, Statik, Schall, Brand, Energie, Gewährleistung oder Rechte anderer Erwerber beeinträchtigt.</w:t>
      </w:r>
    </w:p>
    <w:bookmarkEnd w:id="17"/>
    <w:bookmarkStart w:id="18" w:name="fertigstellung-verzug-vertragsstrafe"/>
    <w:p>
      <w:pPr>
        <w:pStyle w:val="Heading2"/>
      </w:pPr>
      <w:r>
        <w:t xml:space="preserve">6 Fertigstellung, Verzug, Vertragsstrafe</w:t>
      </w:r>
    </w:p>
    <w:p>
      <w:pPr>
        <w:pStyle w:val="FirstParagraph"/>
      </w:pPr>
      <w:r>
        <w:t xml:space="preserve">6.1 Die Verkäuferin verpflichtet sich, die Wohnung B-05 spätestens am 30. April 2028 bezugsfertig herzustellen und Zug um Zug gegen Zahlung der bis dahin fälligen Raten zu übergeben. Vollständige Fertigstellung einschließlich Außenanlagen, Tiefgarage und Gemeinschaftseinrichtungen ist spätestens am 31. Juli 2028 geschuldet.</w:t>
      </w:r>
    </w:p>
    <w:p>
      <w:pPr>
        <w:pStyle w:val="BodyText"/>
      </w:pPr>
      <w:r>
        <w:t xml:space="preserve">6.2 Gerät die Verkäuferin mit der Bezugsfertigkeit in Verzug, bedarf es wegen des kalendermäßig bestimmten Termins keiner Mahnung. Die Verkäuferin haftet nach den gesetzlichen Vorschriften. Sie kann sich nur entlasten, wenn sie konkrete bauablaufbezogene Umstände darlegt, die sie nicht zu vertreten hat, einschließlich betroffenem Gewerk, Zeitraum, Auswirkungen auf Folgevorgänge und Wiederanlauf.</w:t>
      </w:r>
    </w:p>
    <w:p>
      <w:pPr>
        <w:pStyle w:val="BodyText"/>
      </w:pPr>
      <w:r>
        <w:t xml:space="preserve">6.3 Für jeden begonnenen Monat des Verzugs mit der Bezugsfertigkeit schuldet die Verkäuferin eine Vertragsstrafe von 0,25 % des Kaufpreises, höchstens insgesamt 5 % des Kaufpreises. Weitergehender Verzugsschaden bleibt ersatzfähig; die Vertragsstrafe wird auf einen gleichgerichteten Schaden angerechnet.</w:t>
      </w:r>
    </w:p>
    <w:p>
      <w:pPr>
        <w:pStyle w:val="BodyText"/>
      </w:pPr>
      <w:r>
        <w:t xml:space="preserve">6.4 Ersatzfähig können insbesondere nachgewiesene Mehrmiete, Hotelkosten, Lagerkosten, zusätzliche Umzugskosten, Bereitstellungszinsen für noch nicht abgerufene Darlehensmittel und sonstige adäquat verursachte Mehrkosten sein. Zinsen auf bereits ausgezahlte Darlehensvaluta sind hiervon zu unterscheiden.</w:t>
      </w:r>
    </w:p>
    <w:p>
      <w:pPr>
        <w:pStyle w:val="BodyText"/>
      </w:pPr>
      <w:r>
        <w:t xml:space="preserve">6.5 Termine verschieben sich nicht durch pauschale Hinweise auf Lieferketten, Wetter, Krankheit oder Marktlage. Eine Terminverschiebung kommt nur in Betracht, wenn die Verkäuferin unverzüglich informiert, die konkrete Bauablaufstörung darlegt und zumutbare Beschleunigungs- und Ersatzmaßnahmen ergreift.</w:t>
      </w:r>
    </w:p>
    <w:bookmarkEnd w:id="18"/>
    <w:bookmarkStart w:id="19" w:name="besitzübergabe-abnahme"/>
    <w:p>
      <w:pPr>
        <w:pStyle w:val="Heading2"/>
      </w:pPr>
      <w:r>
        <w:t xml:space="preserve">7 Besitzübergabe, Abnahme</w:t>
      </w:r>
    </w:p>
    <w:p>
      <w:pPr>
        <w:pStyle w:val="FirstParagraph"/>
      </w:pPr>
      <w:r>
        <w:t xml:space="preserve">7.1 Die Besitzübergabe erfolgt nach Bezugsfertigkeit, Verkehrssicherheit der Zugänge und Zahlung oder berechtigtem Angebot der bis dahin fälligen Raten. Die Verkäuferin darf die Schlüssel nicht wegen streitiger, nicht fälliger oder berechtigt zurückbehaltener Beträge verweigern.</w:t>
      </w:r>
    </w:p>
    <w:p>
      <w:pPr>
        <w:pStyle w:val="BodyText"/>
      </w:pPr>
      <w:r>
        <w:t xml:space="preserve">7.2 Bezugsfertigkeit setzt voraus, dass die Wohnung sicher erreichbar, abschließbar, beheizbar, mit Wasser, Abwasser, Strom, Lüftung, Sanitäreinrichtungen und funktionsfähiger Zugangssicherung nutzbar ist und keine wesentlichen Gefahrenquellen bestehen. Restarbeiten am Gemeinschaftseigentum dürfen die Nutzung nicht unzumutbar beeinträchtigen.</w:t>
      </w:r>
    </w:p>
    <w:p>
      <w:pPr>
        <w:pStyle w:val="BodyText"/>
      </w:pPr>
      <w:r>
        <w:t xml:space="preserve">7.3 Die Abnahme des Sondereigentums erfolgt durch die Käuferin persönlich oder durch eine von ihr frei gewählte bevollmächtigte Person. Die Verkäuferin lädt mindestens 14 Kalendertage vorher unter Beifügung der wesentlichen Unterlagen nach § 5.2 ein. Die Käuferin darf eine sachverständige Person hinzuziehen.</w:t>
      </w:r>
    </w:p>
    <w:p>
      <w:pPr>
        <w:pStyle w:val="BodyText"/>
      </w:pPr>
      <w:r>
        <w:t xml:space="preserve">7.4 Die Abnahme des Gemeinschaftseigentums erfolgt ebenfalls durch die einzelnen Erwerber persönlich oder durch jeweils frei gewählte Vertreter. Eine Abnahme durch die Verkäuferin, eine mit ihr verbundene Person, die Erstverwalterin oder einen von der Verkäuferin einseitig benannten Sachverständigen mit bindender Wirkung für die Käuferin ist ausgeschlossen.</w:t>
      </w:r>
    </w:p>
    <w:p>
      <w:pPr>
        <w:pStyle w:val="BodyText"/>
      </w:pPr>
      <w:r>
        <w:t xml:space="preserve">7.5 Über jede Abnahme wird ein Protokoll erstellt. Mängel, Restarbeiten, fehlende Unterlagen, Fristen zur Beseitigung und Vorbehalte werden aufgenommen. Die Unterschrift unter das Protokoll bedeutet nur Abnahme, soweit die Käuferin dies ausdrücklich erklärt. Vorbehalte wegen Vertragsstrafe, Mängeln und fehlenden Unterlagen können im Protokoll erklärt werden.</w:t>
      </w:r>
    </w:p>
    <w:p>
      <w:pPr>
        <w:pStyle w:val="BodyText"/>
      </w:pPr>
      <w:r>
        <w:t xml:space="preserve">7.6 Verweigert die Käuferin die Abnahme unter Angabe mindestens eines Mangels, findet keine Abnahmefiktion statt. Bei Verbrauchern weist die Verkäuferin in einer etwaigen Aufforderung zur Abnahme in Textform klar auf die Rechtsfolgen einer nicht erklärten oder ohne Mangelangabe verweigerten Abnahme hin.</w:t>
      </w:r>
    </w:p>
    <w:bookmarkEnd w:id="19"/>
    <w:bookmarkStart w:id="20" w:name="mängelrechte-verjährung-selbstvornahme"/>
    <w:p>
      <w:pPr>
        <w:pStyle w:val="Heading2"/>
      </w:pPr>
      <w:r>
        <w:t xml:space="preserve">8 Mängelrechte, Verjährung, Selbstvornahme</w:t>
      </w:r>
    </w:p>
    <w:p>
      <w:pPr>
        <w:pStyle w:val="FirstParagraph"/>
      </w:pPr>
      <w:r>
        <w:t xml:space="preserve">8.1 Für Mängel gelten die gesetzlichen Vorschriften des Werkvertragsrechts. Die Verjährungsfrist für Mängelansprüche wegen Bauwerksmängeln beträgt fünf Jahre ab wirksamer Abnahme des jeweiligen Leistungsbereichs, soweit gesetzlich keine längere Frist gilt.</w:t>
      </w:r>
    </w:p>
    <w:p>
      <w:pPr>
        <w:pStyle w:val="BodyText"/>
      </w:pPr>
      <w:r>
        <w:t xml:space="preserve">8.2 Mängel sollen der Verkäuferin in Textform angezeigt werden. Die Anzeige ist keine Voraussetzung für das Bestehen der gesetzlichen Mängelrechte. Die Käuferin setzt der Verkäuferin grundsätzlich eine angemessene Frist zur Nacherfüllung; bei Gefahr, ernsthafter und endgültiger Verweigerung, besonderer Dringlichkeit oder Fehlschlagen der Nacherfüllung gelten die gesetzlichen Ausnahmen.</w:t>
      </w:r>
    </w:p>
    <w:p>
      <w:pPr>
        <w:pStyle w:val="BodyText"/>
      </w:pPr>
      <w:r>
        <w:t xml:space="preserve">8.3 Die Käuferin kann nach fruchtlosem Ablauf einer angemessenen Frist die gesetzlichen Rechte geltend machen, insbesondere Nacherfüllung, Selbstvornahme mit Aufwendungsersatz, Minderung, Rücktritt, Schadensersatz und Vorschuss, soweit die jeweiligen gesetzlichen Voraussetzungen vorliegen.</w:t>
      </w:r>
    </w:p>
    <w:p>
      <w:pPr>
        <w:pStyle w:val="BodyText"/>
      </w:pPr>
      <w:r>
        <w:t xml:space="preserve">8.4 Rechte wegen arglistig verschwiegener Mängel, Organisationsverschulden, Beschaffenheitsgarantie, Vorsatz, grober Fahrlässigkeit sowie Verletzung von Leben, Körper oder Gesundheit bleiben unberührt.</w:t>
      </w:r>
    </w:p>
    <w:p>
      <w:pPr>
        <w:pStyle w:val="BodyText"/>
      </w:pPr>
      <w:r>
        <w:t xml:space="preserve">8.5 Die Gemeinschaft der Wohnungseigentümer übt nach § 9a Abs. 2 WEG die sich aus dem gemeinschaftlichen Eigentum ergebenden Rechte sowie solche Rechte der Wohnungseigentümer aus, die eine einheitliche Rechtsverfolgung erfordern. Die individuellen Abnahme- und Vorbehaltsrechte der Käuferin werden dadurch nicht ausgeschlossen.</w:t>
      </w:r>
    </w:p>
    <w:bookmarkEnd w:id="20"/>
    <w:bookmarkStart w:id="21" w:name="X4e7b9c7bc4ba1eaccb7ae4b385f6db8461125a6"/>
    <w:p>
      <w:pPr>
        <w:pStyle w:val="Heading2"/>
      </w:pPr>
      <w:r>
        <w:t xml:space="preserve">9 Teilungserklärung, Gemeinschaft, Verwaltung</w:t>
      </w:r>
    </w:p>
    <w:p>
      <w:pPr>
        <w:pStyle w:val="FirstParagraph"/>
      </w:pPr>
      <w:r>
        <w:t xml:space="preserve">9.1 Die Käuferin tritt mit Eigentumsumschreibung in die Gemeinschaftsordnung ein. Die Verkäuferin versichert, dass die Gemeinschaftsordnung keine von der Käuferin nicht erkennbare Kostenlast für fremde Sondernutzungsbereiche begründet und keine Instandhaltungspflichten am tragenden oder sicherheitsrelevanten Gemeinschaftseigentum auf einzelne Eigentümer verlagert.</w:t>
      </w:r>
    </w:p>
    <w:p>
      <w:pPr>
        <w:pStyle w:val="BodyText"/>
      </w:pPr>
      <w:r>
        <w:t xml:space="preserve">9.2 Änderungen der Teilungserklärung nach Beurkundung sind nur zulässig, soweit sie zur Durchführung des Vollzugs, zur Beseitigung von Vollzugshindernissen oder zur Anpassung an öffentlich-rechtliche Anforderungen erforderlich sind und Lage, Zuschnitt, Größe, Wert, Gebrauchstauglichkeit, Kostenlast und Stimmrechte der Käuferin nicht nachteilig berühren. Änderungen mit nachteiliger Wirkung bedürfen der Zustimmung der Käuferin.</w:t>
      </w:r>
    </w:p>
    <w:p>
      <w:pPr>
        <w:pStyle w:val="BodyText"/>
      </w:pPr>
      <w:r>
        <w:t xml:space="preserve">9.3 Die Erstverwaltung wird für höchstens zwei Jahre bestellt. Der Verwaltervertrag darf marktübliche Vergütung und Laufzeit nicht überschreiten und muss eine ordentliche Kündigungsmöglichkeit der Gemeinschaft nach Ablauf des ersten Verwaltungsjahres vorsehen.</w:t>
      </w:r>
    </w:p>
    <w:p>
      <w:pPr>
        <w:pStyle w:val="BodyText"/>
      </w:pPr>
      <w:r>
        <w:t xml:space="preserve">9.4 Die Verkäuferin übergibt der Gemeinschaft die für Betrieb, Wartung und Verwaltung erforderliche geordnete Projektdokumentation spätestens mit Fertigstellung des jeweiligen gemeinschaftlichen Anlagenteils, keinesfalls später als bei dessen Besitzübergabe. Sie umfasst Wartungsverträge, Gewährleistungsübersicht, Prüfprotokolle, Revisionsunterlagen und Kontaktdaten der ausführenden Unternehmen; frühere Herausgabezeitpunkte nach § 5.2 bleiben unberührt.</w:t>
      </w:r>
    </w:p>
    <w:bookmarkEnd w:id="21"/>
    <w:bookmarkStart w:id="22" w:name="X0ce4c3bf0f91ec43ae492607ab14ef0476b64ee"/>
    <w:p>
      <w:pPr>
        <w:pStyle w:val="Heading2"/>
      </w:pPr>
      <w:r>
        <w:t xml:space="preserve">10 Eigentumssicherung, Vormerkung, Lastenfreistellung, Auflassung</w:t>
      </w:r>
    </w:p>
    <w:p>
      <w:pPr>
        <w:pStyle w:val="FirstParagraph"/>
      </w:pPr>
      <w:r>
        <w:t xml:space="preserve">10.1 Zur Sicherung des Anspruchs der Käuferin auf Eigentumsverschaffung bewilligt und beantragt die Verkäuferin die Eintragung einer Auflassungsvormerkung im Grundbuch zugunsten der Käuferin.</w:t>
      </w:r>
    </w:p>
    <w:p>
      <w:pPr>
        <w:pStyle w:val="BodyText"/>
      </w:pPr>
      <w:r>
        <w:t xml:space="preserve">10.2 Die Vormerkung darf nur gelöscht werden, wenn entweder die Eigentumsumschreibung auf die Käuferin vollzogen ist oder die Käuferin in öffentlich beglaubigter Form zustimmt oder eine rechtskräftige Entscheidung die Löschung erlaubt. Eine Löschung allein aufgrund einseitiger Mitteilung der Verkäuferin ist ausgeschlossen.</w:t>
      </w:r>
    </w:p>
    <w:p>
      <w:pPr>
        <w:pStyle w:val="BodyText"/>
      </w:pPr>
      <w:r>
        <w:t xml:space="preserve">10.3 Die Verkäuferin verpflichtet sich, die Lastenfreistellung des Kaufgegenstands von der Globalgrundschuld zu bewirken, soweit diese nicht der Finanzierung der Käuferin dient. Die der Käuferin vor der ersten Rate auszuhändigende Freistellungserklärung muss gewährleisten, dass bei Vollendung des Bauvorhabens die nicht zu übernehmenden Grundpfandrechte unverzüglich nach Zahlung der geschuldeten Vertragssumme gelöscht werden. Für den Fall der Nichtvollendung muss sie die Löschung nach Zahlung des dem erreichten Bautenstand entsprechenden Vertragsteils oder die nach § 3 Abs. 1 Sätze 2 und 3 MaBV zulässige Rückzahlungslösung sichern.</w:t>
      </w:r>
    </w:p>
    <w:p>
      <w:pPr>
        <w:pStyle w:val="BodyText"/>
      </w:pPr>
      <w:r>
        <w:t xml:space="preserve">10.4 Die Parteien sind über den Eigentumsübergang einig. Sie bewilligen und beantragen die Eigentumsumschreibung auf die Käuferin. Die Notarin wird angewiesen, die Eigentumsumschreibung erst zu beantragen, wenn der Kaufpreis fällig und gezahlt oder hinsichtlich streitiger Restbeträge berechtigt hinterlegt oder gesichert ist, die steuerliche Unbedenklichkeitsbescheinigung vorliegt und die Lastenfreistellung gesichert ist.</w:t>
      </w:r>
    </w:p>
    <w:bookmarkEnd w:id="22"/>
    <w:bookmarkStart w:id="23" w:name="rücktritt-rückabwicklung-insolvenzrisiko"/>
    <w:p>
      <w:pPr>
        <w:pStyle w:val="Heading2"/>
      </w:pPr>
      <w:r>
        <w:t xml:space="preserve">11 Rücktritt, Rückabwicklung, Insolvenzrisiko</w:t>
      </w:r>
    </w:p>
    <w:p>
      <w:pPr>
        <w:pStyle w:val="FirstParagraph"/>
      </w:pPr>
      <w:r>
        <w:t xml:space="preserve">11.1 Rücktrittsrechte richten sich nach dem Gesetz. Die Verkäuferin darf wegen Zahlungsverzugs erst zurücktreten, wenn eine fällige, unstreitige und nicht berechtigt zurückbehaltene Rate trotz schriftlicher Mahnung und angemessener Nachfrist nicht gezahlt wird.</w:t>
      </w:r>
    </w:p>
    <w:p>
      <w:pPr>
        <w:pStyle w:val="BodyText"/>
      </w:pPr>
      <w:r>
        <w:t xml:space="preserve">11.2 Im Fall der Rückabwicklung sind empfangene Leistungen Zug um Zug zurückzugewähren. Eine Löschung der Vormerkung erfolgt erst nach Rückzahlung der von der Käuferin geleisteten Beträge oder nach gesicherter Hinterlegung, soweit nicht eine rechtskräftige Entscheidung etwas anderes bestimmt.</w:t>
      </w:r>
    </w:p>
    <w:p>
      <w:pPr>
        <w:pStyle w:val="BodyText"/>
      </w:pPr>
      <w:r>
        <w:t xml:space="preserve">11.3 Wird nach Vertragsschluss erkennbar, dass der Anspruch der vorleistungspflichtigen Käuferin auf die Gegenleistung durch mangelnde Leistungsfähigkeit der Verkäuferin gefährdet wird, kann die Käuferin ihre Leistung nach § 321 BGB verweigern, bis die Gegenleistung bewirkt oder hierfür Sicherheit geleistet wird. Bloße Gerüchte oder allgemeine Marktlagen genügen nicht. Gesetzliche Rechte im Insolvenzfall bleiben unberührt.</w:t>
      </w:r>
    </w:p>
    <w:bookmarkEnd w:id="23"/>
    <w:bookmarkStart w:id="24" w:name="datenschutz-kommunikation-zustellungen"/>
    <w:p>
      <w:pPr>
        <w:pStyle w:val="Heading2"/>
      </w:pPr>
      <w:r>
        <w:t xml:space="preserve">12 Datenschutz, Kommunikation, Zustellungen</w:t>
      </w:r>
    </w:p>
    <w:p>
      <w:pPr>
        <w:pStyle w:val="FirstParagraph"/>
      </w:pPr>
      <w:r>
        <w:t xml:space="preserve">12.1 Die Parteien kommunizieren während der Bauzeit ergänzend in Textform über die in dieser Urkunde angegebenen Adressen und E-Mail-Adressen. Rechtlich formbedürftige Erklärungen bleiben der gesetzlich vorgeschriebenen Form vorbehalten.</w:t>
      </w:r>
    </w:p>
    <w:p>
      <w:pPr>
        <w:pStyle w:val="BodyText"/>
      </w:pPr>
      <w:r>
        <w:t xml:space="preserve">12.2 Die Verkäuferin verarbeitet personenbezogene Daten der Käuferin nur zur Vorbereitung, Durchführung und Abwicklung dieses Vertrags, zur Erfüllung gesetzlicher Pflichten und zur ordnungsgemäßen Verwaltung der Gemeinschaft. Eine Weitergabe an Planer, Bauleitung, Verwaltung, Bank, Notariat und Behörden erfolgt nur, soweit dies hierfür erforderlich ist.</w:t>
      </w:r>
    </w:p>
    <w:bookmarkEnd w:id="24"/>
    <w:bookmarkStart w:id="25" w:name="schlussbestimmungen-belehrungen-kosten"/>
    <w:p>
      <w:pPr>
        <w:pStyle w:val="Heading2"/>
      </w:pPr>
      <w:r>
        <w:t xml:space="preserve">13 Schlussbestimmungen, Belehrungen, Kosten</w:t>
      </w:r>
    </w:p>
    <w:p>
      <w:pPr>
        <w:pStyle w:val="FirstParagraph"/>
      </w:pPr>
      <w:r>
        <w:t xml:space="preserve">13.1 Änderungen und Ergänzungen dieses Vertrags bedürfen der notariellen Beurkundung, soweit sie nach § 311b BGB oder aus anderem Grund formbedürftig sind. Für jeden nachträglichen Sonderwunsch ist gesondert zu prüfen, ob er mit dem Grundstücksgeschäft eine rechtliche Einheit bildet oder Umfang des Sondereigentums, Kaufpreis, Bausoll oder sonstige formbedürftige Rechte ändert; eine Textformabrede ersetzt die gesetzlich erforderliche Beurkundung nicht.</w:t>
      </w:r>
    </w:p>
    <w:p>
      <w:pPr>
        <w:pStyle w:val="BodyText"/>
      </w:pPr>
      <w:r>
        <w:t xml:space="preserve">13.2 Sollten einzelne Bestimmungen unwirksam sein, bleibt der Vertrag im Übrigen wirksam. An die Stelle der unwirksamen Bestimmung tritt das Gesetz. Eine geltungserhaltende Reduktion zulasten der Käuferin findet nicht statt.</w:t>
      </w:r>
    </w:p>
    <w:p>
      <w:pPr>
        <w:pStyle w:val="BodyText"/>
      </w:pPr>
      <w:r>
        <w:t xml:space="preserve">13.3 Im Beurkundungstermin soll die Notarin insbesondere über die Wirkungen der Auflassungsvormerkung, die MaBV-Fälligkeitsvoraussetzungen, den 5-%-Sicherheitseinbehalt, die Bedeutung der Abnahme, die Mängelverjährung, die Lastenfreistellung, die Grunderwerbsteuer, die Eigentumsumschreibung und die Bedeutung der zur Mitbeurkundung vorgesehenen Baubeschreibung belehren.</w:t>
      </w:r>
    </w:p>
    <w:p>
      <w:pPr>
        <w:pStyle w:val="BodyText"/>
      </w:pPr>
      <w:r>
        <w:t xml:space="preserve">13.4 Die Kosten dieser Urkunde, ihres Vollzugs und der Eigentumsumschreibung trägt die Käuferin, soweit sie nicht durch eine Pflichtverletzung der Verkäuferin verursacht sind. Die Kosten der Lastenfreistellung, der Löschung nicht übernommener Belastungen und der vertragsgerechten Herstellung trägt die Verkäuferin.</w:t>
      </w:r>
    </w:p>
    <w:p>
      <w:pPr>
        <w:pStyle w:val="BodyText"/>
      </w:pPr>
      <w:r>
        <w:t xml:space="preserve">13.5 Der Geschäftswert dieser Urkunde beträgt 742.000,00 EUR.</w:t>
      </w:r>
    </w:p>
    <w:bookmarkEnd w:id="25"/>
    <w:bookmarkStart w:id="26" w:name="auflassung"/>
    <w:p>
      <w:pPr>
        <w:pStyle w:val="Heading2"/>
      </w:pPr>
      <w:r>
        <w:t xml:space="preserve">14 Auflassung</w:t>
      </w:r>
    </w:p>
    <w:p>
      <w:pPr>
        <w:pStyle w:val="FirstParagraph"/>
      </w:pPr>
      <w:r>
        <w:t xml:space="preserve">Die Verkäuferin und die Käuferin sind darüber einig, dass das Eigentum an dem in § 1 bezeichneten Wohnungseigentum auf die Käuferin übergeht. Die Eintragung des Eigentumswechsels im Grundbuch wird bewilligt und beantragt. Die Notarin wird angewiesen, den Antrag nach Maßgabe des § 10.4 einzureichen.</w:t>
      </w:r>
    </w:p>
    <w:bookmarkEnd w:id="26"/>
    <w:bookmarkStart w:id="27" w:name="vorlesen-genehmigung-ausfertigungen"/>
    <w:p>
      <w:pPr>
        <w:pStyle w:val="Heading2"/>
      </w:pPr>
      <w:r>
        <w:t xml:space="preserve">15 Vorlesen, Genehmigung, Ausfertigungen</w:t>
      </w:r>
    </w:p>
    <w:p>
      <w:pPr>
        <w:pStyle w:val="FirstParagraph"/>
      </w:pPr>
      <w:r>
        <w:t xml:space="preserve">Verlesung, Genehmigung und Unterzeichnung dieser Niederschrift einschließlich der Anlage Baubeschreibung stehen noch aus. Die nachstehenden Unterschriftsfelder bleiben im Entwurf frei.</w:t>
      </w:r>
    </w:p>
    <w:p>
      <w:pPr>
        <w:pStyle w:val="BodyText"/>
      </w:pPr>
      <w:r>
        <w:t xml:space="preserve">Ort und Datum: ____________________</w:t>
      </w:r>
    </w:p>
    <w:p>
      <w:pPr>
        <w:pStyle w:val="BodyText"/>
      </w:pPr>
      <w:r>
        <w:rPr>
          <w:b/>
          <w:bCs/>
        </w:rPr>
        <w:t xml:space="preserve">Lindenhain Wohnwerte GmbH &amp; Co. KG</w:t>
      </w:r>
    </w:p>
    <w:p>
      <w:pPr>
        <w:pStyle w:val="BodyText"/>
      </w:pPr>
      <w:r>
        <w:t xml:space="preserve">vertreten durch Herrn Jonas Reuter</w:t>
      </w:r>
    </w:p>
    <w:p>
      <w:pPr>
        <w:pStyle w:val="BodyText"/>
      </w:pPr>
      <w:r>
        <w:rPr>
          <w:b/>
          <w:bCs/>
        </w:rPr>
        <w:t xml:space="preserve">Dr. Amelie Brandt</w:t>
      </w:r>
    </w:p>
    <w:p>
      <w:pPr>
        <w:pStyle w:val="BodyText"/>
      </w:pPr>
      <w:r>
        <w:rPr>
          <w:b/>
          <w:bCs/>
        </w:rPr>
        <w:t xml:space="preserve">Dr. Miriam Falkenried, Notarin</w:t>
      </w:r>
    </w:p>
    <w:bookmarkEnd w:id="27"/>
    <w:bookmarkEnd w:id="28"/>
    <w:bookmarkStart w:id="41" w:name="anlage-baubeschreibung"/>
    <w:p>
      <w:pPr>
        <w:pStyle w:val="Heading1"/>
      </w:pPr>
      <w:br w:type="page"/>
      <w:r>
        <w:t xml:space="preserve">Anlage: Baubeschreibung</w:t>
      </w:r>
    </w:p>
    <w:p>
      <w:pPr>
        <w:pStyle w:val="FirstParagraph"/>
      </w:pPr>
      <w:r>
        <w:rPr>
          <w:b/>
          <w:bCs/>
        </w:rPr>
        <w:t xml:space="preserve">ENTWURF</w:t>
      </w:r>
    </w:p>
    <w:bookmarkStart w:id="29" w:name="bauvorhaben-und-planstand"/>
    <w:p>
      <w:pPr>
        <w:pStyle w:val="Heading2"/>
      </w:pPr>
      <w:r>
        <w:t xml:space="preserve">Bauvorhaben und Planstand</w:t>
      </w:r>
    </w:p>
    <w:p>
      <w:pPr>
        <w:pStyle w:val="FirstParagraph"/>
      </w:pPr>
      <w:r>
        <w:t xml:space="preserve">Projekt: Wohngebäude</w:t>
      </w:r>
      <w:r>
        <w:t xml:space="preserve"> </w:t>
      </w:r>
      <w:r>
        <w:rPr>
          <w:b/>
          <w:bCs/>
        </w:rPr>
        <w:t xml:space="preserve">Lindenhain 12</w:t>
      </w:r>
      <w:r>
        <w:t xml:space="preserve">, Lindenhainstraße 12, 50825 Köln-Ehrenfeld</w:t>
      </w:r>
    </w:p>
    <w:p>
      <w:pPr>
        <w:pStyle w:val="BodyText"/>
      </w:pPr>
      <w:r>
        <w:t xml:space="preserve">Bauträgerin: Lindenhain Wohnwerte GmbH &amp; Co. KG, Gereonstraße 18, 50670 Köln</w:t>
      </w:r>
    </w:p>
    <w:p>
      <w:pPr>
        <w:pStyle w:val="BodyText"/>
      </w:pPr>
      <w:r>
        <w:t xml:space="preserve">Einheit: Wohnung B-05, zweites Obergeschoss, Kellerraum K-B05, Tiefgaragenstellplatz TG-08</w:t>
      </w:r>
    </w:p>
    <w:p>
      <w:pPr>
        <w:pStyle w:val="BodyText"/>
      </w:pPr>
      <w:r>
        <w:t xml:space="preserve">Planstand: 20. August 2026, Baubeschreibung Fassung 1.0</w:t>
      </w:r>
    </w:p>
    <w:p>
      <w:pPr>
        <w:pStyle w:val="BodyText"/>
      </w:pPr>
      <w:r>
        <w:t xml:space="preserve">Diese Baubeschreibung ist zur Mitbeurkundung mit dem Bauträgervertrag vorgesehen und bestimmt das Bausoll für die Einheit B-05 sowie das für ihre Nutzung erforderliche Gemeinschaftseigentum.</w:t>
      </w:r>
    </w:p>
    <w:bookmarkEnd w:id="29"/>
    <w:bookmarkStart w:id="30" w:name="grundstück-erschließung-außenanlagen"/>
    <w:p>
      <w:pPr>
        <w:pStyle w:val="Heading2"/>
      </w:pPr>
      <w:r>
        <w:t xml:space="preserve">1 Grundstück, Erschließung, Außenanlagen</w:t>
      </w:r>
    </w:p>
    <w:p>
      <w:pPr>
        <w:pStyle w:val="FirstParagraph"/>
      </w:pPr>
      <w:r>
        <w:t xml:space="preserve">1.1 Das Gebäude wird auf dem Grundstück Lindenhainstraße 12 in Köln-Ehrenfeld errichtet. Die Erschließung erfolgt über die Lindenhainstraße. Hauszugang, Tiefgaragenzufahrt, Feuerwehrflächen, Müllstandort, Fahrradzugang und barrierearmer Innenhofzugang werden dauerhaft hergestellt und beleuchtet.</w:t>
      </w:r>
    </w:p>
    <w:p>
      <w:pPr>
        <w:pStyle w:val="BodyText"/>
      </w:pPr>
      <w:r>
        <w:t xml:space="preserve">1.2 Die Außenanlagen umfassen gepflasterte Zugänge, begrünte Innenhofflächen, Sitzbank, Spielpunkt für Kleinkinder, Fahrradabstellflächen, Müll- und Wertstoffstandort mit Sichtschutz, Brief- und Paketstation, Außenbeleuchtung mit Bewegungsmeldern sowie Entwässerungseinrichtungen.</w:t>
      </w:r>
    </w:p>
    <w:p>
      <w:pPr>
        <w:pStyle w:val="BodyText"/>
      </w:pPr>
      <w:r>
        <w:t xml:space="preserve">1.3 Das Dach erhält ein Retentionsgründach mit Photovoltaikanlage zur Versorgung gemeinschaftlicher Verbraucher und nach Maßgabe des Messkonzepts anteilig der Wohnungen. Einzelheiten der Abrechnung werden in der Gemeinschaftsordnung und im späteren Betreiberkonzept beschrieben.</w:t>
      </w:r>
    </w:p>
    <w:bookmarkEnd w:id="30"/>
    <w:bookmarkStart w:id="31" w:name="baugrund-gründung-abdichtung"/>
    <w:p>
      <w:pPr>
        <w:pStyle w:val="Heading2"/>
      </w:pPr>
      <w:r>
        <w:t xml:space="preserve">2 Baugrund, Gründung, Abdichtung</w:t>
      </w:r>
    </w:p>
    <w:p>
      <w:pPr>
        <w:pStyle w:val="FirstParagraph"/>
      </w:pPr>
      <w:r>
        <w:t xml:space="preserve">2.1 Grundlage ist der geotechnische Bericht RheinGeo 26-118 vom 12. Mai 2026. Die Verkäuferin schuldet eine Gründung und Abdichtung, die den dort beschriebenen Boden- und Wasserverhältnissen sowie den anerkannten Regeln der Technik zum Zeitpunkt der Abnahme entspricht.</w:t>
      </w:r>
    </w:p>
    <w:p>
      <w:pPr>
        <w:pStyle w:val="BodyText"/>
      </w:pPr>
      <w:r>
        <w:t xml:space="preserve">2.2 Keller, Tiefgarage und erdberührte Bauteile werden gegen die maßgebliche Wassereinwirkung abgedichtet. Durchdringungen, Lichtschächte, Rampenanschlüsse, Fugen und Hauseinführungen werden in das Abdichtungskonzept einbezogen.</w:t>
      </w:r>
    </w:p>
    <w:p>
      <w:pPr>
        <w:pStyle w:val="BodyText"/>
      </w:pPr>
      <w:r>
        <w:t xml:space="preserve">2.3 Die Verkäuferin dokumentiert Abdichtungsarbeiten durch Ausführungsunterlagen, Fotodokumentation wesentlicher Arbeitsschritte und Fachunternehmererklärung.</w:t>
      </w:r>
    </w:p>
    <w:bookmarkEnd w:id="31"/>
    <w:bookmarkStart w:id="32" w:name="konstruktion-gebäudehülle"/>
    <w:p>
      <w:pPr>
        <w:pStyle w:val="Heading2"/>
      </w:pPr>
      <w:r>
        <w:t xml:space="preserve">3 Konstruktion, Gebäudehülle</w:t>
      </w:r>
    </w:p>
    <w:p>
      <w:pPr>
        <w:pStyle w:val="FirstParagraph"/>
      </w:pPr>
      <w:r>
        <w:t xml:space="preserve">3.1 Tragwerk: Stahlbeton- und Mauerwerkskonstruktion nach Statik, Geschossdecken aus Stahlbeton, nichttragende Innenwände je nach Lage aus Mauerwerk oder Trockenbau mit geeigneter Schall- und Brandschutzqualität.</w:t>
      </w:r>
    </w:p>
    <w:p>
      <w:pPr>
        <w:pStyle w:val="BodyText"/>
      </w:pPr>
      <w:r>
        <w:t xml:space="preserve">3.2 Fassade: Wärmedämmverbundsystem oder mineralisch gedämmte Putzfassade nach Energie- und Brandschutzkonzept, farblich hell abgestimmt mit akzentuierten Laibungen. Änderungen der Farbgestaltung dürfen den wertigen Gesamteindruck nicht wesentlich mindern.</w:t>
      </w:r>
    </w:p>
    <w:p>
      <w:pPr>
        <w:pStyle w:val="BodyText"/>
      </w:pPr>
      <w:r>
        <w:t xml:space="preserve">3.3 Fenster und Fenstertüren: Kunststoff-Aluminium- oder Holz-Aluminium-Elemente mit Dreifachverglasung, Dreh-Kipp-Funktion nach Planung, außenliegender Sonnenschutz an den süd- und westorientierten Aufenthaltsräumen, soweit nach Planung vorgesehen.</w:t>
      </w:r>
    </w:p>
    <w:p>
      <w:pPr>
        <w:pStyle w:val="BodyText"/>
      </w:pPr>
      <w:r>
        <w:t xml:space="preserve">3.4 Wohnungseingangstür: dichtschließende Tür mit erhöhtem Schallschutz, Mehrfachverriegelung, Spion, Sicherheitsbeschlag und einheitlicher Oberfläche nach Bemusterungslinie Lindenhain Komfort.</w:t>
      </w:r>
    </w:p>
    <w:bookmarkEnd w:id="32"/>
    <w:bookmarkStart w:id="33" w:name="energie-heizung-lüftung-sanitär"/>
    <w:p>
      <w:pPr>
        <w:pStyle w:val="Heading2"/>
      </w:pPr>
      <w:r>
        <w:t xml:space="preserve">4 Energie, Heizung, Lüftung, Sanitär</w:t>
      </w:r>
    </w:p>
    <w:p>
      <w:pPr>
        <w:pStyle w:val="FirstParagraph"/>
      </w:pPr>
      <w:r>
        <w:t xml:space="preserve">4.1 Das Gebäude wird nach dem im Zeitpunkt des Bauantrags geltenden Gebäudeenergiegesetz und zusätzlich mit folgenden vertraglichen Höchstwerten hergestellt: Jahres-Primärenergiebedarf höchstens 40 % und spezifischer Transmissionswärmeverlust höchstens 55 % der Werte des jeweiligen GEG-Referenzgebäudes. Diese Beschaffenheit wird unabhängig von der Verfügbarkeit eines Förderprogramms geschuldet; eine konkrete Förderung oder Förderzusage ist nicht garantiert. Die Verkäuferin übergibt Energiebedarfsausweis, GEG-Nachweise und vertraglich vorausgesetzte Finanzierungsnachweise zu den in § 5.2 bestimmten Zeitpunkten.</w:t>
      </w:r>
    </w:p>
    <w:p>
      <w:pPr>
        <w:pStyle w:val="BodyText"/>
      </w:pPr>
      <w:r>
        <w:t xml:space="preserve">4.2 Wärmeversorgung erfolgt über eine zentrale Wärmepumpe mit ergänzender Spitzenlastabdeckung nach Energiekonzept. Die Wohnung erhält Fußbodenheizung mit Einzelraumregelung in Aufenthaltsräumen, Bad und Küche.</w:t>
      </w:r>
    </w:p>
    <w:p>
      <w:pPr>
        <w:pStyle w:val="BodyText"/>
      </w:pPr>
      <w:r>
        <w:t xml:space="preserve">4.3 Lüftung erfolgt über ein nutzerunabhängiges Lüftungskonzept mit Fensterfalzlüftern oder dezentralen Lüftungselementen nach Fachplanung. Feuchteschutzlüftung muss ohne dauerndes manuelles Fensterlüften gesichert sein.</w:t>
      </w:r>
    </w:p>
    <w:p>
      <w:pPr>
        <w:pStyle w:val="BodyText"/>
      </w:pPr>
      <w:r>
        <w:t xml:space="preserve">4.4 Bad und Gäste-WC erhalten weiße Sanitärobjekte der Bemusterungslinie Lindenhain Komfort, bodengleiche Dusche im Bad, Waschtisch, wandhängendes WC, verchromte Armaturen eines Markenherstellers und Handtuchheizkörper elektrisch oder warmwassergeführt nach Planung.</w:t>
      </w:r>
    </w:p>
    <w:bookmarkEnd w:id="33"/>
    <w:bookmarkStart w:id="34" w:name="elektro-medien-sicherheit"/>
    <w:p>
      <w:pPr>
        <w:pStyle w:val="Heading2"/>
      </w:pPr>
      <w:r>
        <w:t xml:space="preserve">5 Elektro, Medien, Sicherheit</w:t>
      </w:r>
    </w:p>
    <w:p>
      <w:pPr>
        <w:pStyle w:val="FirstParagraph"/>
      </w:pPr>
      <w:r>
        <w:t xml:space="preserve">5.1 Die Elektroinstallation entspricht DIN 18015 Mindestausstattung zuzüglich der in den Plänen dargestellten Steckdosen, Lichtauslässe und Datenanschlüsse. Wohn- und Schlafräume erhalten Netzwerkanschlüsse oder Leerrohre zu einem zentralen Medienverteiler.</w:t>
      </w:r>
    </w:p>
    <w:p>
      <w:pPr>
        <w:pStyle w:val="BodyText"/>
      </w:pPr>
      <w:r>
        <w:t xml:space="preserve">5.2 Jede Wohnung erhält eine Video- oder Audio-Gegensprechanlage, Rauchwarnmelder nach Landesrecht, vorbereitete Glasfaser- oder Breitbandanbindung und eigene Zähler nach Messkonzept.</w:t>
      </w:r>
    </w:p>
    <w:p>
      <w:pPr>
        <w:pStyle w:val="BodyText"/>
      </w:pPr>
      <w:r>
        <w:t xml:space="preserve">5.3 Gemeinschaftsbereiche erhalten energiesparende Beleuchtung, Bewegungsmelder in Fluren, Keller und Tiefgarage sowie eine ausreichend beleuchtete Hausnummer und Klingelanlage.</w:t>
      </w:r>
    </w:p>
    <w:bookmarkEnd w:id="34"/>
    <w:bookmarkStart w:id="35" w:name="innenausbau-oberflächen-türen"/>
    <w:p>
      <w:pPr>
        <w:pStyle w:val="Heading2"/>
      </w:pPr>
      <w:r>
        <w:t xml:space="preserve">6 Innenausbau, Oberflächen, Türen</w:t>
      </w:r>
    </w:p>
    <w:p>
      <w:pPr>
        <w:pStyle w:val="FirstParagraph"/>
      </w:pPr>
      <w:r>
        <w:t xml:space="preserve">6.1 Wohn- und Schlafräume erhalten Parkett oder hochwertigen Designboden nach Bemusterungslinie. Küche, Bad, Gäste-WC und Abstellraum erhalten Fliesen oder geeigneten Bodenbelag nach Bemusterung.</w:t>
      </w:r>
    </w:p>
    <w:p>
      <w:pPr>
        <w:pStyle w:val="BodyText"/>
      </w:pPr>
      <w:r>
        <w:t xml:space="preserve">6.2 Wände und Decken der Wohnung werden malerfertig gespachtelt und weiß gestrichen. Bäder werden im Spritzwasserbereich gefliest; übrige Wandflächen werden geeignet beschichtet.</w:t>
      </w:r>
    </w:p>
    <w:p>
      <w:pPr>
        <w:pStyle w:val="BodyText"/>
      </w:pPr>
      <w:r>
        <w:t xml:space="preserve">6.3 Innentüren: Röhrenspantüren oder gleichwertige Türen mit CPL- oder Lackoberfläche, Drückergarnituren in Edelstahloptik. Türhöhen und Anschläge nach Plan.</w:t>
      </w:r>
    </w:p>
    <w:p>
      <w:pPr>
        <w:pStyle w:val="BodyText"/>
      </w:pPr>
      <w:r>
        <w:t xml:space="preserve">6.4 Balkon oder Loggia der Einheit B-05 wird mit frostsicherem Belag, Entwässerung, Außensteckdose und Außenleuchte hergestellt.</w:t>
      </w:r>
    </w:p>
    <w:bookmarkEnd w:id="35"/>
    <w:bookmarkStart w:id="36" w:name="schallschutz-brandschutz-barrierearmut"/>
    <w:p>
      <w:pPr>
        <w:pStyle w:val="Heading2"/>
      </w:pPr>
      <w:r>
        <w:t xml:space="preserve">7 Schallschutz, Brandschutz, Barrierearmut</w:t>
      </w:r>
    </w:p>
    <w:p>
      <w:pPr>
        <w:pStyle w:val="FirstParagraph"/>
      </w:pPr>
      <w:r>
        <w:t xml:space="preserve">7.1 Geschuldet ist der in den Vertragsunterlagen bezeichnete erhöhte Schallschutz für Wohnungstrennwände und Decken, mindestens jedoch der nach anerkannten Regeln der Technik geschuldete Standard. Die Verkäuferin übergibt den Schallschutznachweis.</w:t>
      </w:r>
    </w:p>
    <w:p>
      <w:pPr>
        <w:pStyle w:val="BodyText"/>
      </w:pPr>
      <w:r>
        <w:t xml:space="preserve">7.2 Brandschutz wird nach genehmigtem Brandschutzkonzept ausgeführt. Brandschutztüren, Rettungswege, Tiefgarage, Leitungsabschottungen und Rauchwarnmelder werden dokumentiert.</w:t>
      </w:r>
    </w:p>
    <w:p>
      <w:pPr>
        <w:pStyle w:val="BodyText"/>
      </w:pPr>
      <w:r>
        <w:t xml:space="preserve">7.3 Der Hauszugang, der Aufzug, die Flure und die Wohnung B-05 werden barrierearm nutzbar ausgeführt. Eine vollständige Barrierefreiheit nach DIN 18040 ist nur geschuldet, soweit sie ausdrücklich in den Plänen bezeichnet ist.</w:t>
      </w:r>
    </w:p>
    <w:bookmarkEnd w:id="36"/>
    <w:bookmarkStart w:id="37" w:name="X2886e964c029d0082887e07f9ac0c09187785e3"/>
    <w:p>
      <w:pPr>
        <w:pStyle w:val="Heading2"/>
      </w:pPr>
      <w:r>
        <w:t xml:space="preserve">8 Aufzug, Keller, Tiefgarage, Gemeinschaftsräume</w:t>
      </w:r>
    </w:p>
    <w:p>
      <w:pPr>
        <w:pStyle w:val="FirstParagraph"/>
      </w:pPr>
      <w:r>
        <w:t xml:space="preserve">8.1 Das Gebäude erhält einen Personenaufzug von der Tiefgarage bis in alle Wohngeschosse. Der Aufzug ist spätestens bei Besitzübergabe der Einheit B-05 betriebsbereit, soweit keine kurzzeitige technische Störung vorliegt.</w:t>
      </w:r>
    </w:p>
    <w:p>
      <w:pPr>
        <w:pStyle w:val="BodyText"/>
      </w:pPr>
      <w:r>
        <w:t xml:space="preserve">8.2 Kellerraum K-B05 erhält abschließbare Tür, Beleuchtung in den Verkehrsflächen und trockene, für Lagerzwecke übliche Beschaffenheit. Tiefgaragenstellplatz TG-08 wird markiert, beleuchtet und mit der nach Planung vorgesehenen Ladeinfrastrukturvorbereitung ausgestattet.</w:t>
      </w:r>
    </w:p>
    <w:p>
      <w:pPr>
        <w:pStyle w:val="BodyText"/>
      </w:pPr>
      <w:r>
        <w:t xml:space="preserve">8.3 Fahrradraum, Kinderwagenraum, Müllraum und Paketstation werden spätestens bei Bezugsfertigkeit nutzbar hergestellt.</w:t>
      </w:r>
    </w:p>
    <w:bookmarkEnd w:id="37"/>
    <w:bookmarkStart w:id="38" w:name="bemusterung-auswahlrechte"/>
    <w:p>
      <w:pPr>
        <w:pStyle w:val="Heading2"/>
      </w:pPr>
      <w:r>
        <w:t xml:space="preserve">9 Bemusterung, Auswahlrechte</w:t>
      </w:r>
    </w:p>
    <w:p>
      <w:pPr>
        <w:pStyle w:val="FirstParagraph"/>
      </w:pPr>
      <w:r>
        <w:t xml:space="preserve">9.1 Die Käuferin kann innerhalb der Bemusterungslinie Lindenhain Komfort ohne Mehrpreis aus mindestens drei Bodenvarianten, drei Fliesenserien, zwei Innentür-Oberflächen und zwei Armaturenlinien wählen. Die Verkäuferin lädt rechtzeitig zur Bemusterung ein und dokumentiert die Auswahl.</w:t>
      </w:r>
    </w:p>
    <w:p>
      <w:pPr>
        <w:pStyle w:val="BodyText"/>
      </w:pPr>
      <w:r>
        <w:t xml:space="preserve">9.2 Erfolgt trotz Einladung und angemessener Nachfrist keine Auswahl, bestimmt die Verkäuferin eine neutrale, marktübliche Ausführung aus der Bemusterungslinie. Die Auswahl darf den Wert und die Gebrauchstauglichkeit nicht mindern.</w:t>
      </w:r>
    </w:p>
    <w:p>
      <w:pPr>
        <w:pStyle w:val="BodyText"/>
      </w:pPr>
      <w:r>
        <w:t xml:space="preserve">9.3 Sonderwünsche außerhalb der Bemusterungslinie werden nur nach schriftlicher Beschreibung, Preisangabe, Terminfolge und technischer Prüfung ausgeführt.</w:t>
      </w:r>
    </w:p>
    <w:bookmarkEnd w:id="38"/>
    <w:bookmarkStart w:id="39" w:name="unterlagen-wartung-übergabe"/>
    <w:p>
      <w:pPr>
        <w:pStyle w:val="Heading2"/>
      </w:pPr>
      <w:r>
        <w:t xml:space="preserve">10 Unterlagen, Wartung, Übergabe</w:t>
      </w:r>
    </w:p>
    <w:p>
      <w:pPr>
        <w:pStyle w:val="FirstParagraph"/>
      </w:pPr>
      <w:r>
        <w:t xml:space="preserve">10.1 Zur Übergabe erhält die Käuferin Bedienungsanleitungen für Heizung, Lüftung, Elektro, Sonnenschutz, Gegensprechanlage, Rauchwarnmelder und sonstige wohnungsbezogene Anlagen.</w:t>
      </w:r>
    </w:p>
    <w:p>
      <w:pPr>
        <w:pStyle w:val="BodyText"/>
      </w:pPr>
      <w:r>
        <w:t xml:space="preserve">10.2 Die Gemeinschaft erhält Revisionsunterlagen, Wartungshinweise, Prüfprotokolle, Fachunternehmererklärungen und Gewährleistungsübersicht für gemeinschaftliche Anlagen.</w:t>
      </w:r>
    </w:p>
    <w:p>
      <w:pPr>
        <w:pStyle w:val="BodyText"/>
      </w:pPr>
      <w:r>
        <w:t xml:space="preserve">10.3 Wartungsbedürftige Anlagen werden so beschrieben, dass die Gemeinschaft nach Übergabe eigenständig Wartungsverträge prüfen, übernehmen oder neu vergeben kann.</w:t>
      </w:r>
    </w:p>
    <w:bookmarkEnd w:id="39"/>
    <w:bookmarkStart w:id="40" w:name="fertigstellung-der-baubeschreibung"/>
    <w:p>
      <w:pPr>
        <w:pStyle w:val="Heading2"/>
      </w:pPr>
      <w:r>
        <w:t xml:space="preserve">11 Fertigstellung der Baubeschreibung</w:t>
      </w:r>
    </w:p>
    <w:p>
      <w:pPr>
        <w:pStyle w:val="FirstParagraph"/>
      </w:pPr>
      <w:r>
        <w:t xml:space="preserve">Diese Baubeschreibung ist Bestandteil des Bauträgervertrags. Bei Lücken oder Unklarheiten gilt die für die Käuferin günstigere Auslegung, soweit sich aus Vertrag, Plänen, anerkannten Regeln der Technik oder zwingendem Recht nichts Eindeutiges ergibt.</w:t>
      </w:r>
    </w:p>
    <w:p>
      <w:pPr>
        <w:pStyle w:val="BodyText"/>
      </w:pPr>
      <w:r>
        <w:t xml:space="preserve">Köln, im September 2026</w:t>
      </w:r>
    </w:p>
    <w:p>
      <w:pPr>
        <w:pStyle w:val="BodyText"/>
      </w:pPr>
      <w:r>
        <w:t xml:space="preserve">Lindenhain Wohnwerte GmbH &amp; Co. KG</w:t>
      </w:r>
    </w:p>
    <w:bookmarkEnd w:id="40"/>
    <w:bookmarkEnd w:id="41"/>
    <w:sectPr>
      <w:headerReference w:type="default" r:id="rId9"/>
      <w:footnotePr>
        <w:numRestart w:val="eachSect"/>
      </w:footnotePr>
      <w:pgSz w:w="11906" w:h="16838"/>
      <w:pgMar w:top="1247" w:bottom="1247" w:left="1417" w:right="124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b/>
        <w:sz w:val="18"/>
      </w:rPr>
      <w:t>ENTWURF</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269" w:lineRule="auto"/>
    </w:pPr>
    <w:rPr>
      <w:rFonts w:ascii="Times New Roman" w:hAnsi="Times New Roman"/>
      <w:color w:val="000000"/>
      <w:sz w:val="22"/>
    </w:rPr>
  </w:style>
  <w:style w:styleId="BodyText" w:type="paragraph">
    <w:name w:val="Body Text"/>
    <w:basedOn w:val="Normal"/>
    <w:link w:val="BodyTextChar"/>
    <w:qFormat/>
    <w:pPr>
      <w:spacing w:after="180" w:before="180"/>
    </w:pPr>
    <w:rPr>
      <w:color w:val="000000"/>
    </w:rPr>
  </w:style>
  <w:style w:customStyle="1" w:styleId="FirstParagraph" w:type="paragraph">
    <w:name w:val="First Paragraph"/>
    <w:basedOn w:val="BodyText"/>
    <w:next w:val="BodyText"/>
    <w:qFormat/>
    <w:rPr>
      <w:color w:val="000000"/>
    </w:rPr>
  </w:style>
  <w:style w:customStyle="1" w:styleId="Compact" w:type="paragraph">
    <w:name w:val="Compact"/>
    <w:basedOn w:val="BodyText"/>
    <w:qFormat/>
    <w:pPr>
      <w:spacing w:after="36" w:before="36"/>
    </w:pPr>
    <w:rPr>
      <w:color w:val="000000"/>
    </w:r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color w:val="000000"/>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color w:val="000000"/>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color w:val="000000"/>
      <w:sz w:val="24"/>
      <w:szCs w:val="24"/>
    </w:rPr>
  </w:style>
  <w:style w:styleId="Date" w:type="paragraph">
    <w:name w:val="Date"/>
    <w:basedOn w:val="Title"/>
    <w:next w:val="BodyText"/>
    <w:qFormat/>
    <w:pPr>
      <w:keepNext/>
      <w:keepLines/>
    </w:pPr>
    <w:rPr>
      <w:color w:val="000000"/>
      <w:sz w:val="24"/>
      <w:szCs w:val="24"/>
    </w:rPr>
  </w:style>
  <w:style w:customStyle="1" w:styleId="AbstractTitle" w:type="paragraph">
    <w:name w:val="Abstract Title"/>
    <w:basedOn w:val="Normal"/>
    <w:next w:val="Abstract"/>
    <w:qFormat/>
    <w:pPr>
      <w:keepNext/>
      <w:keepLines/>
      <w:spacing w:after="0" w:before="300"/>
      <w:jc w:val="center"/>
    </w:pPr>
    <w:rPr>
      <w:b/>
      <w:color w:val="000000"/>
      <w:sz w:val="20"/>
      <w:szCs w:val="20"/>
    </w:rPr>
  </w:style>
  <w:style w:customStyle="1" w:styleId="Abstract" w:type="paragraph">
    <w:name w:val="Abstract"/>
    <w:basedOn w:val="Normal"/>
    <w:next w:val="BodyText"/>
    <w:qFormat/>
    <w:pPr>
      <w:keepNext/>
      <w:keepLines/>
      <w:spacing w:after="300" w:before="100"/>
    </w:pPr>
    <w:rPr>
      <w:color w:val="000000"/>
      <w:sz w:val="20"/>
      <w:szCs w:val="20"/>
    </w:rPr>
  </w:style>
  <w:style w:styleId="Bibliography" w:type="paragraph">
    <w:name w:val="Bibliography"/>
    <w:basedOn w:val="Normal"/>
    <w:next w:val="Bibliography"/>
    <w:qFormat/>
    <w:pPr/>
    <w:rPr>
      <w:color w:val="000000"/>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val="000000"/>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val="000000"/>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val="000000"/>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val="000000"/>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val="000000"/>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val="000000"/>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val="000000"/>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val="000000"/>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val="000000"/>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rPr>
      <w:color w:val="000000"/>
    </w:rPr>
  </w:style>
  <w:style w:styleId="FootnoteText" w:type="paragraph">
    <w:name w:val="Footnote Text"/>
    <w:basedOn w:val="Normal"/>
    <w:next w:val="FootnoteText"/>
    <w:uiPriority w:val="9"/>
    <w:unhideWhenUsed/>
    <w:qFormat/>
    <w:rPr>
      <w:color w:val="000000"/>
    </w:rPr>
  </w:style>
  <w:style w:styleId="FootnoteBlockText" w:type="paragraph">
    <w:name w:val="Footnote Block Text"/>
    <w:basedOn w:val="FootnoteText"/>
    <w:next w:val="FootnoteText"/>
    <w:uiPriority w:val="9"/>
    <w:unhideWhenUsed/>
    <w:qFormat/>
    <w:pPr>
      <w:spacing w:after="100" w:before="100"/>
      <w:ind w:firstLine="0" w:left="480" w:right="480"/>
    </w:pPr>
    <w:rPr>
      <w:color w:val="000000"/>
    </w:r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color w:val="000000"/>
    </w:rPr>
  </w:style>
  <w:style w:customStyle="1" w:styleId="Definition" w:type="paragraph">
    <w:name w:val="Definition"/>
    <w:basedOn w:val="Normal"/>
    <w:rPr>
      <w:color w:val="000000"/>
    </w:rPr>
  </w:style>
  <w:style w:styleId="Caption" w:type="paragraph">
    <w:name w:val="Caption"/>
    <w:basedOn w:val="Normal"/>
    <w:link w:val="BodyTextChar"/>
    <w:pPr>
      <w:spacing w:after="120" w:before="0"/>
    </w:pPr>
    <w:rPr>
      <w:i/>
      <w:color w:val="000000"/>
    </w:rPr>
  </w:style>
  <w:style w:customStyle="1" w:styleId="TableCaption" w:type="paragraph">
    <w:name w:val="Table Caption"/>
    <w:basedOn w:val="Caption"/>
    <w:pPr>
      <w:keepNext/>
    </w:pPr>
    <w:rPr>
      <w:color w:val="000000"/>
    </w:rPr>
  </w:style>
  <w:style w:customStyle="1" w:styleId="ImageCaption" w:type="paragraph">
    <w:name w:val="Image Caption"/>
    <w:basedOn w:val="Caption"/>
    <w:rPr>
      <w:color w:val="000000"/>
    </w:rPr>
  </w:style>
  <w:style w:customStyle="1" w:styleId="Figure" w:type="paragraph">
    <w:name w:val="Figure"/>
    <w:basedOn w:val="Normal"/>
    <w:rPr>
      <w:color w:val="000000"/>
    </w:rPr>
  </w:style>
  <w:style w:customStyle="1" w:styleId="CaptionedFigure" w:type="paragraph">
    <w:name w:val="Captioned Figure"/>
    <w:basedOn w:val="Figure"/>
    <w:pPr>
      <w:keepNext/>
    </w:pPr>
    <w:rPr>
      <w:color w:val="000000"/>
    </w:r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val="000000"/>
    </w:rPr>
  </w:style>
  <w:style w:type="paragraph" w:customStyle="1" w:styleId="SourceCode">
    <w:name w:val="Source Code"/>
    <w:basedOn w:val="Normal"/>
    <w:link w:val="VerbatimChar"/>
    <w:pPr>
      <w:wordWrap w:val="off"/>
    </w:pPr>
    <w:rPr>
      <w:color w:val="000000"/>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Bauträgervertrag Entwurf</dc:title>
  <dc:creator/>
  <cp:keywords/>
  <dcterms:created xsi:type="dcterms:W3CDTF">2026-09-04T21:26:31Z</dcterms:created>
  <dcterms:modified xsi:type="dcterms:W3CDTF">2026-09-04T21:26:31Z</dcterms:modified>
</cp:coreProperties>
</file>

<file path=docProps/custom.xml><?xml version="1.0" encoding="utf-8"?>
<Properties xmlns="http://schemas.openxmlformats.org/officeDocument/2006/custom-properties" xmlns:vt="http://schemas.openxmlformats.org/officeDocument/2006/docPropsVTypes"/>
</file>