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p14 w15">
  <w:body>
    <w:p>
      <w:pPr>
        <w:pStyle w:val="BodyTextdoc-note"/>
        <w:bidi w:val="0"/>
        <w:rPr/>
      </w:pPr>
      <w:r>
        <w:rPr>
          <w:rStyle w:val="Strong"/>
        </w:rPr>
        <w:t>ENTWURF / DRAFT</w:t>
      </w:r>
    </w:p>
    <w:p>
      <w:pPr>
        <w:pStyle w:val="Title"/>
        <w:bidi w:val="0"/>
        <w:rPr/>
      </w:pPr>
      <w:r>
        <w:rPr/>
        <w:t>Wohnungsbauträgervertrag mit Auflassung — Deutsch/English</w:t>
      </w:r>
    </w:p>
    <w:p>
      <w:pPr>
        <w:pStyle w:val="BodyTextdoc-note"/>
        <w:bidi w:val="0"/>
        <w:rPr/>
      </w:pPr>
      <w:r>
        <w:rPr/>
        <w:t>Deutsch-englische Lesefassung. Bei Abweichungen ist die deutsche Sprachfassung maßgeblich.</w:t>
      </w:r>
    </w:p>
    <w:tbl>
      <w:tblPr>
        <w:tblW w:w="15534" w:type="dxa"/>
        <w:jc w:val="start"/>
        <w:tblInd w:w="0" w:type="dxa"/>
        <w:tblLayout w:type="fixed"/>
        <w:tblCellMar>
          <w:top w:w="28" w:type="dxa"/>
          <w:start w:w="28" w:type="dxa"/>
          <w:bottom w:w="28" w:type="dxa"/>
          <w:end w:w="2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7914"/>
        <w:gridCol w:w="7620"/>
      </w:tblGrid>
      <w:tr>
        <w:trPr>
          <w:tblHeader w:val="true"/>
          <w:cantSplit/>
        </w:trPr>
        <w:tc>
          <w:tcPr>
            <w:tcW w:w="7914" w:type="dxa"/>
            <w:tcBorders/>
            <w:vAlign w:val="center"/>
          </w:tcPr>
          <w:p>
            <w:pPr>
              <w:pStyle w:val="TableHeading"/>
              <w:widowControl/>
              <w:suppressLineNumbers/>
              <w:bidi w:val="0"/>
              <w:spacing w:before="0" w:after="283"/>
              <w:jc w:val="center"/>
              <w:rPr/>
            </w:pPr>
            <w:r>
              <w:rPr/>
              <w:t>Deutsche Fassung</w:t>
            </w:r>
          </w:p>
        </w:tc>
        <w:tc>
          <w:tcPr>
            <w:tcW w:w="7620" w:type="dxa"/>
            <w:tcBorders/>
            <w:vAlign w:val="center"/>
          </w:tcPr>
          <w:p>
            <w:pPr>
              <w:pStyle w:val="TableHeading"/>
              <w:widowControl/>
              <w:suppressLineNumbers/>
              <w:bidi w:val="0"/>
              <w:spacing w:before="0" w:after="283"/>
              <w:jc w:val="center"/>
              <w:rPr/>
            </w:pPr>
            <w:r>
              <w:rPr/>
              <w:t>English convenience translation</w:t>
            </w:r>
          </w:p>
        </w:tc>
      </w:tr>
      <w:tr>
        <w:trPr>
          <w:cantSplit/>
        </w:trPr>
        <w:tc>
          <w:tcPr>
            <w:tcW w:w="7914" w:type="dxa"/>
            <w:tcBorders/>
            <w:vAlign w:val="center"/>
          </w:tcPr>
          <w:p>
            <w:pPr>
              <w:pStyle w:val="Heading1"/>
              <w:keepNext/>
              <w:widowControl/>
              <w:bidi w:val="0"/>
              <w:spacing w:before="240" w:after="283"/>
              <w:ind w:hanging="0" w:start="0" w:end="0"/>
              <w:rPr/>
            </w:pPr>
            <w:bookmarkStart w:id="0" w:name="entwurf"/>
            <w:bookmarkEnd w:id="0"/>
            <w:r>
              <w:rPr/>
              <w:t>ENTWURF</w:t>
            </w:r>
          </w:p>
          <w:p>
            <w:pPr>
              <w:pStyle w:val="Heading2"/>
              <w:widowControl/>
              <w:bidi w:val="0"/>
              <w:spacing w:before="200" w:after="120"/>
              <w:ind w:hanging="0" w:start="0" w:end="0"/>
              <w:rPr/>
            </w:pPr>
            <w:bookmarkStart w:id="2" w:name="sprachfassung-verlesung-und-verständnish"/>
            <w:bookmarkEnd w:id="2"/>
            <w:r>
              <w:rPr/>
              <w:t>Sprachfassung, Verlesung und Verständnishilfe</w:t>
            </w:r>
          </w:p>
        </w:tc>
        <w:tc>
          <w:tcPr>
            <w:tcW w:w="7620" w:type="dxa"/>
            <w:tcBorders/>
            <w:vAlign w:val="center"/>
          </w:tcPr>
          <w:p>
            <w:pPr>
              <w:pStyle w:val="Heading1"/>
              <w:keepNext/>
              <w:widowControl/>
              <w:bidi w:val="0"/>
              <w:spacing w:before="240" w:after="283"/>
              <w:ind w:hanging="0" w:start="0" w:end="0"/>
              <w:rPr/>
            </w:pPr>
            <w:bookmarkStart w:id="1" w:name="draft"/>
            <w:bookmarkEnd w:id="1"/>
            <w:r>
              <w:rPr/>
              <w:t>DRAFT</w:t>
            </w:r>
          </w:p>
          <w:p>
            <w:pPr>
              <w:pStyle w:val="Heading2"/>
              <w:widowControl/>
              <w:bidi w:val="0"/>
              <w:spacing w:before="200" w:after="120"/>
              <w:ind w:hanging="0" w:start="0" w:end="0"/>
              <w:rPr/>
            </w:pPr>
            <w:bookmarkStart w:id="3" w:name="language-version-reading-aloud-and-compr"/>
            <w:bookmarkEnd w:id="3"/>
            <w:r>
              <w:rPr/>
              <w:t xml:space="preserve">Language Version, Reading Aloud and Comprehension Aid </w:t>
            </w:r>
          </w:p>
        </w:tc>
      </w:tr>
      <w:tr>
        <w:trPr>
          <w:cantSplit/>
        </w:trPr>
        <w:tc>
          <w:tcPr>
            <w:tcW w:w="7914" w:type="dxa"/>
            <w:tcBorders/>
            <w:vAlign w:val="center"/>
          </w:tcPr>
          <w:p>
            <w:pPr>
              <w:pStyle w:val="TableContents"/>
              <w:widowControl/>
              <w:bidi w:val="0"/>
              <w:spacing w:before="0" w:after="283"/>
              <w:rPr/>
            </w:pPr>
            <w:r>
              <w:rPr>
                <w:rStyle w:val="Strong"/>
              </w:rPr>
              <w:t>S.0</w:t>
            </w:r>
            <w:r>
              <w:rPr/>
              <w:t xml:space="preserve"> Diese deutsch-englische Lesefassung ist ein Entwurf. Der amtierende Notar soll im künftigen Beurkundungstermin ausschließlich die deutsche Sprachfassung beurkunden und verlesen. Die englische Sprachfassung ist keine selbständige Vertragssprache, soll nicht verlesen werden und dient allein dem besseren Verständnis des Käufers; sie begründet keine von der deutschen Sprachfassung abweichenden Rechte, Pflichten, Fälligkeiten, Fristen, Beschaffenheiten oder Rechtsfolgen.</w:t>
            </w:r>
          </w:p>
        </w:tc>
        <w:tc>
          <w:tcPr>
            <w:tcW w:w="7620" w:type="dxa"/>
            <w:tcBorders/>
            <w:vAlign w:val="center"/>
          </w:tcPr>
          <w:p>
            <w:pPr>
              <w:pStyle w:val="TableContents"/>
              <w:widowControl/>
              <w:bidi w:val="0"/>
              <w:spacing w:before="0" w:after="283"/>
              <w:rPr/>
            </w:pPr>
            <w:r>
              <w:rPr>
                <w:rStyle w:val="Strong"/>
              </w:rPr>
              <w:t>S.0</w:t>
            </w:r>
            <w:r>
              <w:rPr/>
              <w:t xml:space="preserve"> This German/English reading version is a draft. At the future notarisation appointment, the acting notary is to record and read aloud only the German language version. The English language version is not an independent contractual language, is not intended to be read aloud and serves solely to assist the Buyer in understanding the draft; it does not create any rights, obligations, due dates, time limits, qualities or legal consequences differing from the German language version.</w:t>
            </w:r>
          </w:p>
        </w:tc>
      </w:tr>
      <w:tr>
        <w:trPr>
          <w:cantSplit/>
        </w:trPr>
        <w:tc>
          <w:tcPr>
            <w:tcW w:w="7914" w:type="dxa"/>
            <w:tcBorders/>
            <w:vAlign w:val="center"/>
          </w:tcPr>
          <w:p>
            <w:pPr>
              <w:pStyle w:val="Heading1"/>
              <w:keepNext/>
              <w:widowControl/>
              <w:bidi w:val="0"/>
              <w:spacing w:before="240" w:after="283"/>
              <w:ind w:hanging="0" w:start="0" w:end="0"/>
              <w:rPr/>
            </w:pPr>
            <w:bookmarkStart w:id="4" w:name="bauträgervertrag"/>
            <w:bookmarkEnd w:id="4"/>
            <w:r>
              <w:rPr/>
              <w:t>Bauträgervertrag</w:t>
            </w:r>
          </w:p>
          <w:p>
            <w:pPr>
              <w:pStyle w:val="TableContents"/>
              <w:widowControl/>
              <w:bidi w:val="0"/>
              <w:spacing w:before="0" w:after="283"/>
              <w:rPr/>
            </w:pPr>
            <w:r>
              <w:rPr>
                <w:rStyle w:val="Strong"/>
              </w:rPr>
              <w:t>UR-Nr. ____________________</w:t>
            </w:r>
          </w:p>
        </w:tc>
        <w:tc>
          <w:tcPr>
            <w:tcW w:w="7620" w:type="dxa"/>
            <w:tcBorders/>
            <w:vAlign w:val="center"/>
          </w:tcPr>
          <w:p>
            <w:pPr>
              <w:pStyle w:val="Heading1"/>
              <w:keepNext/>
              <w:widowControl/>
              <w:bidi w:val="0"/>
              <w:spacing w:before="240" w:after="283"/>
              <w:ind w:hanging="0" w:start="0" w:end="0"/>
              <w:rPr/>
            </w:pPr>
            <w:bookmarkStart w:id="5" w:name="property-development-contract"/>
            <w:bookmarkEnd w:id="5"/>
            <w:r>
              <w:rPr/>
              <w:t xml:space="preserve">Property Development Contract </w:t>
            </w:r>
          </w:p>
          <w:p>
            <w:pPr>
              <w:pStyle w:val="TableContents"/>
              <w:widowControl/>
              <w:bidi w:val="0"/>
              <w:spacing w:before="0" w:after="283"/>
              <w:rPr/>
            </w:pPr>
            <w:r>
              <w:rPr>
                <w:rStyle w:val="Strong"/>
              </w:rPr>
              <w:t>Deed no. ____________________</w:t>
            </w:r>
          </w:p>
        </w:tc>
      </w:tr>
      <w:tr>
        <w:trPr>
          <w:cantSplit/>
        </w:trPr>
        <w:tc>
          <w:tcPr>
            <w:tcW w:w="7914" w:type="dxa"/>
            <w:tcBorders/>
            <w:vAlign w:val="center"/>
          </w:tcPr>
          <w:p>
            <w:pPr>
              <w:pStyle w:val="Heading2"/>
              <w:keepNext/>
              <w:widowControl/>
              <w:bidi w:val="0"/>
              <w:spacing w:before="200" w:after="120"/>
              <w:ind w:hanging="0" w:start="0" w:end="0"/>
              <w:rPr/>
            </w:pPr>
            <w:bookmarkStart w:id="6" w:name="vorgesehener-beurkundungstermin"/>
            <w:bookmarkEnd w:id="6"/>
            <w:r>
              <w:rPr/>
              <w:t>Vorgesehener Beurkundungstermin</w:t>
            </w:r>
          </w:p>
          <w:p>
            <w:pPr>
              <w:pStyle w:val="TableContents"/>
              <w:widowControl/>
              <w:bidi w:val="0"/>
              <w:spacing w:before="0" w:after="283"/>
              <w:rPr/>
            </w:pPr>
            <w:r>
              <w:rPr/>
              <w:t>Berlin, vorgesehen für den 14. März 2026</w:t>
            </w:r>
          </w:p>
        </w:tc>
        <w:tc>
          <w:tcPr>
            <w:tcW w:w="7620" w:type="dxa"/>
            <w:tcBorders/>
            <w:vAlign w:val="center"/>
          </w:tcPr>
          <w:p>
            <w:pPr>
              <w:pStyle w:val="Heading2"/>
              <w:keepNext/>
              <w:widowControl/>
              <w:bidi w:val="0"/>
              <w:spacing w:before="200" w:after="120"/>
              <w:ind w:hanging="0" w:start="0" w:end="0"/>
              <w:rPr/>
            </w:pPr>
            <w:bookmarkStart w:id="7" w:name="proposed-notarisation-appointment"/>
            <w:bookmarkEnd w:id="7"/>
            <w:r>
              <w:rPr/>
              <w:t>Proposed notarisation appointment</w:t>
            </w:r>
          </w:p>
          <w:p>
            <w:pPr>
              <w:pStyle w:val="TableContents"/>
              <w:widowControl/>
              <w:bidi w:val="0"/>
              <w:spacing w:before="0" w:after="283"/>
              <w:rPr/>
            </w:pPr>
            <w:r>
              <w:rPr/>
              <w:t>Berlin, proposed for 14 March 2026</w:t>
            </w:r>
          </w:p>
        </w:tc>
      </w:tr>
      <w:tr>
        <w:trPr>
          <w:cantSplit/>
        </w:trPr>
        <w:tc>
          <w:tcPr>
            <w:tcW w:w="7914" w:type="dxa"/>
            <w:tcBorders/>
            <w:vAlign w:val="center"/>
          </w:tcPr>
          <w:p>
            <w:pPr>
              <w:pStyle w:val="TableContents"/>
              <w:widowControl/>
              <w:bidi w:val="0"/>
              <w:spacing w:before="0" w:after="283"/>
              <w:rPr/>
            </w:pPr>
            <w:r>
              <w:rPr/>
              <w:t>Vorgesehener Notar im Bezirk des Kammergerichts</w:t>
            </w:r>
          </w:p>
        </w:tc>
        <w:tc>
          <w:tcPr>
            <w:tcW w:w="7620" w:type="dxa"/>
            <w:tcBorders/>
            <w:vAlign w:val="center"/>
          </w:tcPr>
          <w:p>
            <w:pPr>
              <w:pStyle w:val="TableContents"/>
              <w:widowControl/>
              <w:bidi w:val="0"/>
              <w:spacing w:before="0" w:after="283"/>
              <w:rPr/>
            </w:pPr>
            <w:r>
              <w:rPr/>
              <w:t>Proposed Notary in the district of the Kammergericht</w:t>
            </w:r>
          </w:p>
        </w:tc>
      </w:tr>
      <w:tr>
        <w:trPr>
          <w:cantSplit/>
        </w:trPr>
        <w:tc>
          <w:tcPr>
            <w:tcW w:w="7914" w:type="dxa"/>
            <w:tcBorders/>
            <w:vAlign w:val="center"/>
          </w:tcPr>
          <w:p>
            <w:pPr>
              <w:pStyle w:val="TableContents"/>
              <w:widowControl/>
              <w:bidi w:val="0"/>
              <w:spacing w:before="0" w:after="283"/>
              <w:rPr/>
            </w:pPr>
            <w:r>
              <w:rPr>
                <w:rStyle w:val="Strong"/>
              </w:rPr>
              <w:t>Dr. Adalbert von Sickingen-Querfurt</w:t>
            </w:r>
          </w:p>
        </w:tc>
        <w:tc>
          <w:tcPr>
            <w:tcW w:w="7620" w:type="dxa"/>
            <w:tcBorders/>
            <w:vAlign w:val="center"/>
          </w:tcPr>
          <w:p>
            <w:pPr>
              <w:pStyle w:val="TableContents"/>
              <w:widowControl/>
              <w:bidi w:val="0"/>
              <w:spacing w:before="0" w:after="283"/>
              <w:rPr/>
            </w:pPr>
            <w:r>
              <w:rPr>
                <w:rStyle w:val="Strong"/>
              </w:rPr>
              <w:t>Dr. Adalbert von Sickingen-Querfurt</w:t>
            </w:r>
            <w:r>
              <w:rPr/>
              <w:t xml:space="preserve"> </w:t>
            </w:r>
          </w:p>
        </w:tc>
      </w:tr>
      <w:tr>
        <w:trPr>
          <w:cantSplit/>
        </w:trPr>
        <w:tc>
          <w:tcPr>
            <w:tcW w:w="7914" w:type="dxa"/>
            <w:tcBorders/>
            <w:vAlign w:val="center"/>
          </w:tcPr>
          <w:p>
            <w:pPr>
              <w:pStyle w:val="TableContents"/>
              <w:widowControl/>
              <w:bidi w:val="0"/>
              <w:spacing w:before="0" w:after="283"/>
              <w:rPr/>
            </w:pPr>
            <w:r>
              <w:rPr/>
              <w:t>Kurfürstendamm 211, 10719 Berlin</w:t>
            </w:r>
          </w:p>
        </w:tc>
        <w:tc>
          <w:tcPr>
            <w:tcW w:w="7620" w:type="dxa"/>
            <w:tcBorders/>
            <w:vAlign w:val="center"/>
          </w:tcPr>
          <w:p>
            <w:pPr>
              <w:pStyle w:val="TableContents"/>
              <w:widowControl/>
              <w:bidi w:val="0"/>
              <w:spacing w:before="0" w:after="283"/>
              <w:rPr/>
            </w:pPr>
            <w:r>
              <w:rPr/>
              <w:t xml:space="preserve">Kurfürstendamm 211, 10719 Berlin </w:t>
            </w:r>
          </w:p>
        </w:tc>
      </w:tr>
      <w:tr>
        <w:trPr>
          <w:cantSplit/>
        </w:trPr>
        <w:tc>
          <w:tcPr>
            <w:tcW w:w="7914" w:type="dxa"/>
            <w:tcBorders/>
            <w:vAlign w:val="center"/>
          </w:tcPr>
          <w:p>
            <w:pPr>
              <w:pStyle w:val="TableContents"/>
              <w:widowControl/>
              <w:bidi w:val="0"/>
              <w:spacing w:before="0" w:after="283"/>
              <w:rPr/>
            </w:pPr>
            <w:r>
              <w:rPr/>
              <w:t>Vorgesehene Beteiligte:</w:t>
            </w:r>
          </w:p>
        </w:tc>
        <w:tc>
          <w:tcPr>
            <w:tcW w:w="7620" w:type="dxa"/>
            <w:tcBorders/>
            <w:vAlign w:val="center"/>
          </w:tcPr>
          <w:p>
            <w:pPr>
              <w:pStyle w:val="TableContents"/>
              <w:widowControl/>
              <w:bidi w:val="0"/>
              <w:spacing w:before="0" w:after="283"/>
              <w:rPr/>
            </w:pPr>
            <w:r>
              <w:rPr/>
              <w:t>Proposed parties:</w:t>
            </w:r>
          </w:p>
        </w:tc>
      </w:tr>
      <w:tr>
        <w:trPr>
          <w:cantSplit/>
        </w:trPr>
        <w:tc>
          <w:tcPr>
            <w:tcW w:w="7914" w:type="dxa"/>
            <w:tcBorders/>
            <w:vAlign w:val="center"/>
          </w:tcPr>
          <w:p>
            <w:pPr>
              <w:pStyle w:val="TableContents"/>
              <w:widowControl/>
              <w:bidi w:val="0"/>
              <w:spacing w:before="0" w:after="283"/>
              <w:rPr/>
            </w:pPr>
            <w:r>
              <w:rPr/>
              <w:t xml:space="preserve">Frau </w:t>
            </w:r>
            <w:r>
              <w:rPr>
                <w:rStyle w:val="Strong"/>
              </w:rPr>
              <w:t>Roswitha Quendel-Bingenheimer</w:t>
            </w:r>
            <w:r>
              <w:rPr/>
              <w:t>, geboren am 11.08.1971,</w:t>
            </w:r>
          </w:p>
        </w:tc>
        <w:tc>
          <w:tcPr>
            <w:tcW w:w="7620" w:type="dxa"/>
            <w:tcBorders/>
            <w:vAlign w:val="center"/>
          </w:tcPr>
          <w:p>
            <w:pPr>
              <w:pStyle w:val="TableContents"/>
              <w:widowControl/>
              <w:bidi w:val="0"/>
              <w:spacing w:before="0" w:after="283"/>
              <w:rPr/>
            </w:pPr>
            <w:r>
              <w:rPr/>
              <w:t xml:space="preserve">Ms Roswitha Quendel-Bingenheimer, born 11.08.1971, </w:t>
            </w:r>
          </w:p>
        </w:tc>
      </w:tr>
      <w:tr>
        <w:trPr>
          <w:cantSplit/>
        </w:trPr>
        <w:tc>
          <w:tcPr>
            <w:tcW w:w="7914" w:type="dxa"/>
            <w:tcBorders/>
            <w:vAlign w:val="center"/>
          </w:tcPr>
          <w:p>
            <w:pPr>
              <w:pStyle w:val="TableContents"/>
              <w:widowControl/>
              <w:bidi w:val="0"/>
              <w:spacing w:before="0" w:after="283"/>
              <w:rPr/>
            </w:pPr>
            <w:r>
              <w:rPr/>
              <w:t>geschäftsansässig: Schloßstraße 88, 12163 Berlin,</w:t>
            </w:r>
          </w:p>
        </w:tc>
        <w:tc>
          <w:tcPr>
            <w:tcW w:w="7620" w:type="dxa"/>
            <w:tcBorders/>
            <w:vAlign w:val="center"/>
          </w:tcPr>
          <w:p>
            <w:pPr>
              <w:pStyle w:val="TableContents"/>
              <w:widowControl/>
              <w:bidi w:val="0"/>
              <w:spacing w:before="0" w:after="283"/>
              <w:rPr/>
            </w:pPr>
            <w:r>
              <w:rPr/>
              <w:t xml:space="preserve">business address: Schloßstraße 88, 12163 Berlin, </w:t>
            </w:r>
          </w:p>
        </w:tc>
      </w:tr>
      <w:tr>
        <w:trPr>
          <w:cantSplit/>
        </w:trPr>
        <w:tc>
          <w:tcPr>
            <w:tcW w:w="7914" w:type="dxa"/>
            <w:tcBorders/>
            <w:vAlign w:val="center"/>
          </w:tcPr>
          <w:p>
            <w:pPr>
              <w:pStyle w:val="TableContents"/>
              <w:widowControl/>
              <w:bidi w:val="0"/>
              <w:spacing w:before="0" w:after="283"/>
              <w:rPr/>
            </w:pPr>
            <w:r>
              <w:rPr/>
              <w:t>Identität im Beurkundungstermin festzustellen,</w:t>
            </w:r>
          </w:p>
        </w:tc>
        <w:tc>
          <w:tcPr>
            <w:tcW w:w="7620" w:type="dxa"/>
            <w:tcBorders/>
            <w:vAlign w:val="center"/>
          </w:tcPr>
          <w:p>
            <w:pPr>
              <w:pStyle w:val="TableContents"/>
              <w:widowControl/>
              <w:bidi w:val="0"/>
              <w:spacing w:before="0" w:after="283"/>
              <w:rPr/>
            </w:pPr>
            <w:r>
              <w:rPr/>
              <w:t>identity to be verified at the notarisation appointment,</w:t>
            </w:r>
          </w:p>
        </w:tc>
      </w:tr>
      <w:tr>
        <w:trPr>
          <w:cantSplit/>
        </w:trPr>
        <w:tc>
          <w:tcPr>
            <w:tcW w:w="7914" w:type="dxa"/>
            <w:tcBorders/>
            <w:vAlign w:val="center"/>
          </w:tcPr>
          <w:p>
            <w:pPr>
              <w:pStyle w:val="TableContents"/>
              <w:widowControl/>
              <w:bidi w:val="0"/>
              <w:spacing w:before="0" w:after="283"/>
              <w:rPr/>
            </w:pPr>
            <w:r>
              <w:rPr/>
              <w:t>handelnd nachfolgend nicht im eigenen Namen, sondern als Bevollmächtigte für die</w:t>
            </w:r>
          </w:p>
        </w:tc>
        <w:tc>
          <w:tcPr>
            <w:tcW w:w="7620" w:type="dxa"/>
            <w:tcBorders/>
            <w:vAlign w:val="center"/>
          </w:tcPr>
          <w:p>
            <w:pPr>
              <w:pStyle w:val="TableContents"/>
              <w:widowControl/>
              <w:bidi w:val="0"/>
              <w:spacing w:before="0" w:after="283"/>
              <w:rPr/>
            </w:pPr>
            <w:r>
              <w:rPr/>
              <w:t>acting below not in her own name but as authorised representative of</w:t>
            </w:r>
          </w:p>
        </w:tc>
      </w:tr>
      <w:tr>
        <w:trPr>
          <w:cantSplit/>
        </w:trPr>
        <w:tc>
          <w:tcPr>
            <w:tcW w:w="7914" w:type="dxa"/>
            <w:tcBorders/>
            <w:vAlign w:val="center"/>
          </w:tcPr>
          <w:p>
            <w:pPr>
              <w:pStyle w:val="TableContents"/>
              <w:widowControl/>
              <w:bidi w:val="0"/>
              <w:spacing w:before="0" w:after="283"/>
              <w:rPr/>
            </w:pPr>
            <w:r>
              <w:rPr>
                <w:rStyle w:val="Strong"/>
              </w:rPr>
              <w:t>Hohenwartshofen Quartiersentwicklung GmbH &amp; Co. KG</w:t>
            </w:r>
          </w:p>
        </w:tc>
        <w:tc>
          <w:tcPr>
            <w:tcW w:w="7620" w:type="dxa"/>
            <w:tcBorders/>
            <w:vAlign w:val="center"/>
          </w:tcPr>
          <w:p>
            <w:pPr>
              <w:pStyle w:val="TableContents"/>
              <w:widowControl/>
              <w:bidi w:val="0"/>
              <w:spacing w:before="0" w:after="283"/>
              <w:rPr/>
            </w:pPr>
            <w:r>
              <w:rPr>
                <w:rStyle w:val="Strong"/>
              </w:rPr>
              <w:t>Hohenwartshofen Quartiersentwicklung GmbH &amp; Co. KG</w:t>
            </w:r>
            <w:r>
              <w:rPr/>
              <w:t xml:space="preserve"> </w:t>
            </w:r>
          </w:p>
        </w:tc>
      </w:tr>
      <w:tr>
        <w:trPr>
          <w:cantSplit/>
        </w:trPr>
        <w:tc>
          <w:tcPr>
            <w:tcW w:w="7914" w:type="dxa"/>
            <w:tcBorders/>
            <w:vAlign w:val="center"/>
          </w:tcPr>
          <w:p>
            <w:pPr>
              <w:pStyle w:val="TableContents"/>
              <w:widowControl/>
              <w:bidi w:val="0"/>
              <w:spacing w:before="0" w:after="283"/>
              <w:rPr/>
            </w:pPr>
            <w:r>
              <w:rPr/>
              <w:t>(vormals firmierend unter Hohenwartshofen-Drewitz Immobilien GmbH &amp; Co. KG; Amtsgericht Charlottenburg, HRA 52188 B; Komplementärin: Hohenwartshofen Verwaltungs GmbH, Amtsgericht Charlottenburg, HRB 187 552 B),</w:t>
            </w:r>
          </w:p>
        </w:tc>
        <w:tc>
          <w:tcPr>
            <w:tcW w:w="7620" w:type="dxa"/>
            <w:tcBorders/>
            <w:vAlign w:val="center"/>
          </w:tcPr>
          <w:p>
            <w:pPr>
              <w:pStyle w:val="TableContents"/>
              <w:widowControl/>
              <w:bidi w:val="0"/>
              <w:spacing w:before="0" w:after="283"/>
              <w:rPr/>
            </w:pPr>
            <w:r>
              <w:rPr/>
              <w:t>(formerly trading as Hohenwartshofen-Drewitz Immobilien GmbH &amp; Co. KG; Charlottenburg Local Court, HRA 52188 B; general partner: Hohenwartshofen Verwaltungs GmbH, Charlottenburg Local Court, HRB 187 552 B),</w:t>
            </w:r>
          </w:p>
        </w:tc>
      </w:tr>
      <w:tr>
        <w:trPr>
          <w:cantSplit/>
        </w:trPr>
        <w:tc>
          <w:tcPr>
            <w:tcW w:w="7914" w:type="dxa"/>
            <w:tcBorders/>
            <w:vAlign w:val="center"/>
          </w:tcPr>
          <w:p>
            <w:pPr>
              <w:pStyle w:val="TableContents"/>
              <w:widowControl/>
              <w:bidi w:val="0"/>
              <w:spacing w:before="0" w:after="283"/>
              <w:rPr/>
            </w:pPr>
            <w:r>
              <w:rPr/>
              <w:t>Geschäftsanschrift: Schloßstraße 88, 12163 Berlin,</w:t>
            </w:r>
          </w:p>
        </w:tc>
        <w:tc>
          <w:tcPr>
            <w:tcW w:w="7620" w:type="dxa"/>
            <w:tcBorders/>
            <w:vAlign w:val="center"/>
          </w:tcPr>
          <w:p>
            <w:pPr>
              <w:pStyle w:val="TableContents"/>
              <w:widowControl/>
              <w:bidi w:val="0"/>
              <w:spacing w:before="0" w:after="283"/>
              <w:rPr/>
            </w:pPr>
            <w:r>
              <w:rPr/>
              <w:t xml:space="preserve">business address: Schloßstraße 88, 12163 Berlin, </w:t>
            </w:r>
          </w:p>
        </w:tc>
      </w:tr>
      <w:tr>
        <w:trPr>
          <w:cantSplit/>
        </w:trPr>
        <w:tc>
          <w:tcPr>
            <w:tcW w:w="7914" w:type="dxa"/>
            <w:tcBorders/>
            <w:vAlign w:val="center"/>
          </w:tcPr>
          <w:p>
            <w:pPr>
              <w:pStyle w:val="TableContents"/>
              <w:widowControl/>
              <w:bidi w:val="0"/>
              <w:spacing w:before="0" w:after="283"/>
              <w:rPr/>
            </w:pPr>
            <w:r>
              <w:rPr/>
              <w:t xml:space="preserve">— </w:t>
            </w:r>
            <w:r>
              <w:rPr/>
              <w:t>nachstehend auch „Verkäufer” genannt —,</w:t>
            </w:r>
          </w:p>
        </w:tc>
        <w:tc>
          <w:tcPr>
            <w:tcW w:w="7620" w:type="dxa"/>
            <w:tcBorders/>
            <w:vAlign w:val="center"/>
          </w:tcPr>
          <w:p>
            <w:pPr>
              <w:pStyle w:val="TableContents"/>
              <w:widowControl/>
              <w:bidi w:val="0"/>
              <w:spacing w:before="0" w:after="283"/>
              <w:rPr/>
            </w:pPr>
            <w:r>
              <w:rPr/>
              <w:t xml:space="preserve">hereinafter referred to as ‘the Seller’, </w:t>
            </w:r>
          </w:p>
        </w:tc>
      </w:tr>
      <w:tr>
        <w:trPr>
          <w:cantSplit/>
        </w:trPr>
        <w:tc>
          <w:tcPr>
            <w:tcW w:w="7914" w:type="dxa"/>
            <w:tcBorders/>
            <w:vAlign w:val="center"/>
          </w:tcPr>
          <w:p>
            <w:pPr>
              <w:pStyle w:val="TableContents"/>
              <w:widowControl/>
              <w:bidi w:val="0"/>
              <w:spacing w:before="0" w:after="283"/>
              <w:rPr/>
            </w:pPr>
            <w:r>
              <w:rPr/>
              <w:t>aufgrund notariell beglaubigter Vollmacht vom 22.10.2025, UR-Nr. 1402/2025 W des Notars Egmont Wachtelborn, Berlin. Das Original der Vollmacht soll im Beurkundungstermin vorgelegt und eine beglaubigte Fotokopie als Anhang a zu dieser Urkunde genommen werden.</w:t>
            </w:r>
          </w:p>
        </w:tc>
        <w:tc>
          <w:tcPr>
            <w:tcW w:w="7620" w:type="dxa"/>
            <w:tcBorders/>
            <w:vAlign w:val="center"/>
          </w:tcPr>
          <w:p>
            <w:pPr>
              <w:pStyle w:val="TableContents"/>
              <w:widowControl/>
              <w:bidi w:val="0"/>
              <w:spacing w:before="0" w:after="283"/>
              <w:rPr/>
            </w:pPr>
            <w:r>
              <w:rPr/>
              <w:t>under a power of attorney with a notarially certified signature dated 22 October 2025, deed no. 1402/2025 W of Notary Egmont Wachtelborn, Berlin. The original power of attorney is to be presented at the notarisation appointment and a certified photocopy is to be attached to this deed as Annex a.</w:t>
            </w:r>
          </w:p>
        </w:tc>
      </w:tr>
      <w:tr>
        <w:trPr>
          <w:cantSplit/>
        </w:trPr>
        <w:tc>
          <w:tcPr>
            <w:tcW w:w="7914" w:type="dxa"/>
            <w:tcBorders/>
            <w:vAlign w:val="center"/>
          </w:tcPr>
          <w:p>
            <w:pPr>
              <w:pStyle w:val="TableContents"/>
              <w:widowControl/>
              <w:bidi w:val="0"/>
              <w:spacing w:before="0" w:after="283"/>
              <w:rPr/>
            </w:pPr>
            <w:r>
              <w:rPr/>
              <w:t xml:space="preserve">Herr </w:t>
            </w:r>
            <w:r>
              <w:rPr>
                <w:rStyle w:val="Strong"/>
              </w:rPr>
              <w:t>Dr. Eberwein Übelacker-Strohmeyer</w:t>
            </w:r>
            <w:r>
              <w:rPr/>
              <w:t>, geboren am 03.02.1968,</w:t>
            </w:r>
          </w:p>
        </w:tc>
        <w:tc>
          <w:tcPr>
            <w:tcW w:w="7620" w:type="dxa"/>
            <w:tcBorders/>
            <w:vAlign w:val="center"/>
          </w:tcPr>
          <w:p>
            <w:pPr>
              <w:pStyle w:val="TableContents"/>
              <w:widowControl/>
              <w:bidi w:val="0"/>
              <w:spacing w:before="0" w:after="283"/>
              <w:rPr/>
            </w:pPr>
            <w:r>
              <w:rPr/>
              <w:t xml:space="preserve">Mr Dr Eberwein Übelacker-Strohmeyer, born on 03.02.1968, </w:t>
            </w:r>
          </w:p>
        </w:tc>
      </w:tr>
      <w:tr>
        <w:trPr>
          <w:cantSplit/>
        </w:trPr>
        <w:tc>
          <w:tcPr>
            <w:tcW w:w="7914" w:type="dxa"/>
            <w:tcBorders/>
            <w:vAlign w:val="center"/>
          </w:tcPr>
          <w:p>
            <w:pPr>
              <w:pStyle w:val="TableContents"/>
              <w:widowControl/>
              <w:bidi w:val="0"/>
              <w:spacing w:before="0" w:after="283"/>
              <w:rPr/>
            </w:pPr>
            <w:r>
              <w:rPr/>
              <w:t>wohnhaft: Königin-Luise-Straße 47, 14195 Berlin,</w:t>
            </w:r>
          </w:p>
        </w:tc>
        <w:tc>
          <w:tcPr>
            <w:tcW w:w="7620" w:type="dxa"/>
            <w:tcBorders/>
            <w:vAlign w:val="center"/>
          </w:tcPr>
          <w:p>
            <w:pPr>
              <w:pStyle w:val="TableContents"/>
              <w:widowControl/>
              <w:bidi w:val="0"/>
              <w:spacing w:before="0" w:after="283"/>
              <w:rPr/>
            </w:pPr>
            <w:r>
              <w:rPr/>
              <w:t xml:space="preserve">resident at: Königin-Luise-Straße 47, 14195 Berlin, </w:t>
            </w:r>
          </w:p>
        </w:tc>
      </w:tr>
      <w:tr>
        <w:trPr>
          <w:cantSplit/>
        </w:trPr>
        <w:tc>
          <w:tcPr>
            <w:tcW w:w="7914" w:type="dxa"/>
            <w:tcBorders/>
            <w:vAlign w:val="center"/>
          </w:tcPr>
          <w:p>
            <w:pPr>
              <w:pStyle w:val="TableContents"/>
              <w:widowControl/>
              <w:bidi w:val="0"/>
              <w:spacing w:before="0" w:after="283"/>
              <w:rPr/>
            </w:pPr>
            <w:r>
              <w:rPr/>
              <w:t>Identität im Beurkundungstermin durch gültigen Personalausweis festzustellen,</w:t>
            </w:r>
          </w:p>
        </w:tc>
        <w:tc>
          <w:tcPr>
            <w:tcW w:w="7620" w:type="dxa"/>
            <w:tcBorders/>
            <w:vAlign w:val="center"/>
          </w:tcPr>
          <w:p>
            <w:pPr>
              <w:pStyle w:val="TableContents"/>
              <w:widowControl/>
              <w:bidi w:val="0"/>
              <w:spacing w:before="0" w:after="283"/>
              <w:rPr/>
            </w:pPr>
            <w:r>
              <w:rPr/>
              <w:t>identity to be verified by a valid identity card at the notarisation appointment,</w:t>
            </w:r>
          </w:p>
        </w:tc>
      </w:tr>
      <w:tr>
        <w:trPr>
          <w:cantSplit/>
        </w:trPr>
        <w:tc>
          <w:tcPr>
            <w:tcW w:w="7914" w:type="dxa"/>
            <w:tcBorders/>
            <w:vAlign w:val="center"/>
          </w:tcPr>
          <w:p>
            <w:pPr>
              <w:pStyle w:val="TableContents"/>
              <w:widowControl/>
              <w:bidi w:val="0"/>
              <w:spacing w:before="0" w:after="283"/>
              <w:rPr/>
            </w:pPr>
            <w:r>
              <w:rPr/>
              <w:t xml:space="preserve">— </w:t>
            </w:r>
            <w:r>
              <w:rPr/>
              <w:t>nachstehend auch „Käufer” genannt —.</w:t>
            </w:r>
          </w:p>
        </w:tc>
        <w:tc>
          <w:tcPr>
            <w:tcW w:w="7620" w:type="dxa"/>
            <w:tcBorders/>
            <w:vAlign w:val="center"/>
          </w:tcPr>
          <w:p>
            <w:pPr>
              <w:pStyle w:val="TableContents"/>
              <w:widowControl/>
              <w:bidi w:val="0"/>
              <w:spacing w:before="0" w:after="283"/>
              <w:rPr/>
            </w:pPr>
            <w:r>
              <w:rPr/>
              <w:t xml:space="preserve">hereinafter also referred to as ‘Buyer’. </w:t>
            </w:r>
          </w:p>
        </w:tc>
      </w:tr>
      <w:tr>
        <w:trPr>
          <w:cantSplit/>
        </w:trPr>
        <w:tc>
          <w:tcPr>
            <w:tcW w:w="7914" w:type="dxa"/>
            <w:tcBorders/>
            <w:vAlign w:val="center"/>
          </w:tcPr>
          <w:p>
            <w:pPr>
              <w:pStyle w:val="TableContents"/>
              <w:widowControl/>
              <w:bidi w:val="0"/>
              <w:spacing w:before="0" w:after="283"/>
              <w:rPr/>
            </w:pPr>
            <w:r>
              <w:rPr/>
              <w:t>Im Beurkundungstermin sollen die Beteiligte zu 1. das Handeln auf Rechnung des Vertretenen und der Beteiligte zu 2. das Handeln auf eigene Rechnung erklären.</w:t>
            </w:r>
          </w:p>
        </w:tc>
        <w:tc>
          <w:tcPr>
            <w:tcW w:w="7620" w:type="dxa"/>
            <w:tcBorders/>
            <w:vAlign w:val="center"/>
          </w:tcPr>
          <w:p>
            <w:pPr>
              <w:pStyle w:val="TableContents"/>
              <w:widowControl/>
              <w:bidi w:val="0"/>
              <w:spacing w:before="0" w:after="283"/>
              <w:rPr/>
            </w:pPr>
            <w:r>
              <w:rPr/>
              <w:t>At the notarisation appointment, party no. 1 is to declare that she acts for the account of the represented entity, and party no. 2 is to declare that he acts for his own account.</w:t>
            </w:r>
          </w:p>
        </w:tc>
      </w:tr>
      <w:tr>
        <w:trPr>
          <w:cantSplit/>
        </w:trPr>
        <w:tc>
          <w:tcPr>
            <w:tcW w:w="7914" w:type="dxa"/>
            <w:tcBorders/>
            <w:vAlign w:val="center"/>
          </w:tcPr>
          <w:p>
            <w:pPr>
              <w:pStyle w:val="TableContents"/>
              <w:widowControl/>
              <w:bidi w:val="0"/>
              <w:spacing w:before="0" w:after="283"/>
              <w:rPr/>
            </w:pPr>
            <w:r>
              <w:rPr/>
              <w:t>Vor der Protokollierung hat der Notar die Beteiligten zu einer möglichen Vorbefassung außerhalb seiner Amtstätigkeit zu befragen. Ihre Erklärungen sind erst im Beurkundungstermin aufzunehmen.</w:t>
            </w:r>
          </w:p>
        </w:tc>
        <w:tc>
          <w:tcPr>
            <w:tcW w:w="7620" w:type="dxa"/>
            <w:tcBorders/>
            <w:vAlign w:val="center"/>
          </w:tcPr>
          <w:p>
            <w:pPr>
              <w:pStyle w:val="TableContents"/>
              <w:widowControl/>
              <w:bidi w:val="0"/>
              <w:spacing w:before="0" w:after="283"/>
              <w:rPr/>
            </w:pPr>
            <w:r>
              <w:rPr/>
              <w:t>Before recording the deed, the Notary must ask the parties about any prior involvement outside the Notary’s official capacity. The parties’ statements are to be recorded only at the notarisation appointment.</w:t>
            </w:r>
          </w:p>
        </w:tc>
      </w:tr>
      <w:tr>
        <w:trPr>
          <w:cantSplit/>
        </w:trPr>
        <w:tc>
          <w:tcPr>
            <w:tcW w:w="7914" w:type="dxa"/>
            <w:tcBorders/>
            <w:vAlign w:val="center"/>
          </w:tcPr>
          <w:p>
            <w:pPr>
              <w:pStyle w:val="TableContents"/>
              <w:widowControl/>
              <w:bidi w:val="0"/>
              <w:spacing w:before="0" w:after="283"/>
              <w:rPr/>
            </w:pPr>
            <w:r>
              <w:rPr/>
              <w:t>Für den Beurkundungstermin ist folgende Erklärung des Käufers vorgesehen: Im Hinblick auf § 17 Abs. 2a BeurkG sei ihm ein Entwurf des nachstehenden Kaufvertrages über das vom Verkäufer verwendete Unterlagenportal zur Verfügung gestellt worden; der wesentliche wirtschaftliche Inhalt des Geschäfts sei ihm aufgrund der vorangegangenen Reservierung, der Vertriebsgespräche und der Einsichtnahme in das digitale Datenraumverzeichnis bekannt. Auf Wunsch des Käufers und im Hinblick auf die auslaufende Reservierungsbindung soll die geplante Beurkundung gleichwohl durchgeführt werden; der Käufer benötige keine weitere Bedenkzeit.</w:t>
            </w:r>
          </w:p>
        </w:tc>
        <w:tc>
          <w:tcPr>
            <w:tcW w:w="7620" w:type="dxa"/>
            <w:tcBorders/>
            <w:vAlign w:val="center"/>
          </w:tcPr>
          <w:p>
            <w:pPr>
              <w:pStyle w:val="TableContents"/>
              <w:widowControl/>
              <w:bidi w:val="0"/>
              <w:spacing w:before="0" w:after="283"/>
              <w:rPr/>
            </w:pPr>
            <w:r>
              <w:rPr/>
              <w:t>The following statement by the Buyer is proposed for the notarisation appointment: With regard to section 17(2a) BeurkG, a draft of the following purchase contract was made available to the Buyer through the Seller’s document portal; the Buyer is familiar with the essential economic content of the transaction from the prior reservation, sales discussions and inspection of the digital data-room index. At the Buyer’s request and in view of the expiring reservation period, the proposed notarisation is nevertheless to proceed; the Buyer requires no further time for consideration.</w:t>
            </w:r>
          </w:p>
        </w:tc>
      </w:tr>
      <w:tr>
        <w:trPr>
          <w:cantSplit/>
        </w:trPr>
        <w:tc>
          <w:tcPr>
            <w:tcW w:w="7914" w:type="dxa"/>
            <w:tcBorders/>
            <w:vAlign w:val="center"/>
          </w:tcPr>
          <w:p>
            <w:pPr>
              <w:pStyle w:val="TableContents"/>
              <w:widowControl/>
              <w:bidi w:val="0"/>
              <w:spacing w:before="0" w:after="283"/>
              <w:rPr/>
            </w:pPr>
            <w:r>
              <w:rPr/>
              <w:t>Zur Beurkundung vorgesehener Vertragstext</w:t>
            </w:r>
          </w:p>
        </w:tc>
        <w:tc>
          <w:tcPr>
            <w:tcW w:w="7620" w:type="dxa"/>
            <w:tcBorders/>
            <w:vAlign w:val="center"/>
          </w:tcPr>
          <w:p>
            <w:pPr>
              <w:pStyle w:val="TableContents"/>
              <w:widowControl/>
              <w:bidi w:val="0"/>
              <w:spacing w:before="0" w:after="283"/>
              <w:rPr/>
            </w:pPr>
            <w:r>
              <w:rPr/>
              <w:t>Contract text proposed for notarisation</w:t>
            </w:r>
          </w:p>
        </w:tc>
      </w:tr>
      <w:tr>
        <w:trPr>
          <w:cantSplit/>
        </w:trPr>
        <w:tc>
          <w:tcPr>
            <w:tcW w:w="7914" w:type="dxa"/>
            <w:tcBorders/>
            <w:vAlign w:val="center"/>
          </w:tcPr>
          <w:p>
            <w:pPr>
              <w:pStyle w:val="Heading1"/>
              <w:keepNext/>
              <w:widowControl/>
              <w:bidi w:val="0"/>
              <w:spacing w:before="240" w:after="283"/>
              <w:ind w:hanging="0" w:start="0" w:end="0"/>
              <w:rPr/>
            </w:pPr>
            <w:bookmarkStart w:id="8" w:name="wohnungsbauträgervertrag-mit-auflassung"/>
            <w:bookmarkEnd w:id="8"/>
            <w:r>
              <w:rPr/>
              <w:t>Wohnungsbauträgervertrag mit Auflassung</w:t>
            </w:r>
          </w:p>
          <w:p>
            <w:pPr>
              <w:pStyle w:val="Heading2"/>
              <w:widowControl/>
              <w:bidi w:val="0"/>
              <w:spacing w:before="200" w:after="120"/>
              <w:ind w:hanging="0" w:start="0" w:end="0"/>
              <w:rPr/>
            </w:pPr>
            <w:bookmarkStart w:id="10" w:name="vorbemerkungen"/>
            <w:bookmarkEnd w:id="10"/>
            <w:r>
              <w:rPr/>
              <w:t>Vorbemerkungen</w:t>
            </w:r>
          </w:p>
        </w:tc>
        <w:tc>
          <w:tcPr>
            <w:tcW w:w="7620" w:type="dxa"/>
            <w:tcBorders/>
            <w:vAlign w:val="center"/>
          </w:tcPr>
          <w:p>
            <w:pPr>
              <w:pStyle w:val="Heading1"/>
              <w:keepNext/>
              <w:widowControl/>
              <w:bidi w:val="0"/>
              <w:spacing w:before="240" w:after="283"/>
              <w:ind w:hanging="0" w:start="0" w:end="0"/>
              <w:rPr/>
            </w:pPr>
            <w:bookmarkStart w:id="9" w:name="residential-property-development-contrac"/>
            <w:bookmarkEnd w:id="9"/>
            <w:r>
              <w:rPr/>
              <w:t xml:space="preserve">Residential Property Development Contract with Conveyance </w:t>
            </w:r>
          </w:p>
          <w:p>
            <w:pPr>
              <w:pStyle w:val="Heading2"/>
              <w:widowControl/>
              <w:bidi w:val="0"/>
              <w:spacing w:before="200" w:after="120"/>
              <w:ind w:hanging="0" w:start="0" w:end="0"/>
              <w:rPr/>
            </w:pPr>
            <w:bookmarkStart w:id="11" w:name="preliminary-comments"/>
            <w:bookmarkEnd w:id="11"/>
            <w:r>
              <w:rPr/>
              <w:t xml:space="preserve">Preliminary comments </w:t>
            </w:r>
          </w:p>
        </w:tc>
      </w:tr>
      <w:tr>
        <w:trPr>
          <w:cantSplit/>
        </w:trPr>
        <w:tc>
          <w:tcPr>
            <w:tcW w:w="7914" w:type="dxa"/>
            <w:tcBorders/>
            <w:vAlign w:val="center"/>
          </w:tcPr>
          <w:p>
            <w:pPr>
              <w:pStyle w:val="TableContents"/>
              <w:widowControl/>
              <w:bidi w:val="0"/>
              <w:spacing w:before="0" w:after="283"/>
              <w:rPr/>
            </w:pPr>
            <w:r>
              <w:rPr>
                <w:rStyle w:val="Strong"/>
              </w:rPr>
              <w:t>0.1</w:t>
            </w:r>
            <w:r>
              <w:rPr/>
              <w:t xml:space="preserve"> Der Verkäufer beabsichtigt, nach derzeitiger Planung auf dem Grundstück</w:t>
            </w:r>
          </w:p>
        </w:tc>
        <w:tc>
          <w:tcPr>
            <w:tcW w:w="7620" w:type="dxa"/>
            <w:tcBorders/>
            <w:vAlign w:val="center"/>
          </w:tcPr>
          <w:p>
            <w:pPr>
              <w:pStyle w:val="TableContents"/>
              <w:widowControl/>
              <w:bidi w:val="0"/>
              <w:spacing w:before="0" w:after="283"/>
              <w:rPr/>
            </w:pPr>
            <w:r>
              <w:rPr>
                <w:rStyle w:val="Strong"/>
              </w:rPr>
              <w:t>0.1</w:t>
            </w:r>
            <w:r>
              <w:rPr/>
              <w:t xml:space="preserve"> According to the current plans, the Seller intends to construct on the following land:</w:t>
            </w:r>
          </w:p>
        </w:tc>
      </w:tr>
      <w:tr>
        <w:trPr>
          <w:cantSplit/>
        </w:trPr>
        <w:tc>
          <w:tcPr>
            <w:tcW w:w="7914" w:type="dxa"/>
            <w:tcBorders/>
            <w:vAlign w:val="center"/>
          </w:tcPr>
          <w:p>
            <w:pPr>
              <w:pStyle w:val="BlockQuotation"/>
              <w:widowControl/>
              <w:pBdr>
                <w:left w:val="single" w:sz="6" w:space="1" w:color="AAAAAA"/>
              </w:pBdr>
              <w:bidi w:val="0"/>
              <w:spacing w:before="0" w:after="283"/>
              <w:ind w:hanging="0" w:start="567" w:end="567"/>
              <w:rPr/>
            </w:pPr>
            <w:r>
              <w:rPr/>
              <w:t>Gemarkung Kannenberg-Niederwall, Flur 7, Flurstück 218/4, Gebäude- und Freifläche, „Am Birkenpfuhl”, mit einer grundbuchlichen Größe von insgesamt 11.840 m², nachstehend auch das „Grundstück” genannt,</w:t>
            </w:r>
          </w:p>
        </w:tc>
        <w:tc>
          <w:tcPr>
            <w:tcW w:w="7620" w:type="dxa"/>
            <w:tcBorders/>
            <w:vAlign w:val="center"/>
          </w:tcPr>
          <w:p>
            <w:pPr>
              <w:pStyle w:val="BlockQuotation"/>
              <w:widowControl/>
              <w:pBdr>
                <w:left w:val="single" w:sz="6" w:space="1" w:color="AAAAAA"/>
              </w:pBdr>
              <w:bidi w:val="0"/>
              <w:spacing w:before="0" w:after="283"/>
              <w:ind w:hanging="0" w:start="567" w:end="567"/>
              <w:rPr/>
            </w:pPr>
            <w:r>
              <w:rPr/>
              <w:t>Cadastral district of Kannenberg-Niederwall, cadastral section 7, parcel 218/4, building and open land, “Am Birkenpfuhl”, with a total area of 11,840 m² as recorded in the Land Register, hereinafter also referred to as the “Land”,</w:t>
            </w:r>
          </w:p>
        </w:tc>
      </w:tr>
      <w:tr>
        <w:trPr>
          <w:cantSplit/>
        </w:trPr>
        <w:tc>
          <w:tcPr>
            <w:tcW w:w="7914" w:type="dxa"/>
            <w:tcBorders/>
            <w:vAlign w:val="center"/>
          </w:tcPr>
          <w:p>
            <w:pPr>
              <w:pStyle w:val="TableContents"/>
              <w:widowControl/>
              <w:bidi w:val="0"/>
              <w:spacing w:before="0" w:after="283"/>
              <w:rPr/>
            </w:pPr>
            <w:r>
              <w:rPr/>
              <w:t>12 Mehrfamilienhäuser sowie ein Stadtvilla-Cluster (Häuser 9 bis 12) mit insgesamt 287 Wohneinheiten, 14 Teileigentumseinheiten sowie eine zweigeschossige Tiefgarage mit 198 Kfz-Tiefgaragenstellplätzen und 22 Motorradstellplätzen nebst Gemeinschaftsflächen (insbesondere einem Quartiersplatz, Spielplatz, Wegen, Pflanz- und Wasserflächen, Lounge im Erdgeschoss von Haus 5) zu errichten und hat dieses Grundstück gemäß § 8 WEG aufgeteilt.</w:t>
            </w:r>
          </w:p>
        </w:tc>
        <w:tc>
          <w:tcPr>
            <w:tcW w:w="7620" w:type="dxa"/>
            <w:tcBorders/>
            <w:vAlign w:val="center"/>
          </w:tcPr>
          <w:p>
            <w:pPr>
              <w:pStyle w:val="TableContents"/>
              <w:widowControl/>
              <w:bidi w:val="0"/>
              <w:spacing w:before="0" w:after="283"/>
              <w:rPr/>
            </w:pPr>
            <w:r>
              <w:rPr/>
              <w:t>12 multi-family buildings and a cluster of urban villas (buildings 9 to 12), comprising a total of 287 residential units and 14 separately owned non-residential units, together with a two-level underground car park containing 198 car spaces and 22 motorcycle spaces, and common areas (in particular a neighbourhood square, playground, paths, planted areas and water features, and a lounge on the ground floor of building 5). The Seller has divided the Land into condominium ownership pursuant to § 8 WEG.</w:t>
            </w:r>
          </w:p>
        </w:tc>
      </w:tr>
      <w:tr>
        <w:trPr>
          <w:cantSplit/>
        </w:trPr>
        <w:tc>
          <w:tcPr>
            <w:tcW w:w="7914" w:type="dxa"/>
            <w:tcBorders/>
            <w:vAlign w:val="center"/>
          </w:tcPr>
          <w:p>
            <w:pPr>
              <w:pStyle w:val="TableContents"/>
              <w:widowControl/>
              <w:bidi w:val="0"/>
              <w:spacing w:before="0" w:after="283"/>
              <w:rPr/>
            </w:pPr>
            <w:r>
              <w:rPr/>
              <w:t>Da es sich um ein mehrabschnittiges Quartiersvorhaben handelt, können sich die vorstehende Anzahl der Wohn- und Teileigentumseinheiten, Stellplätze, Bauabschnitte und gemeinschaftlichen Flächen im Zuge der weiteren Abstimmung mit Behörden, Fachplanern, Finanzierungspartnern und Versorgungsunternehmen noch ändern. Änderungen bleiben vorbehalten, soweit der Vertragsgegenstand des Käufers im Kern erhalten bleibt und das Gesamtbild des Quartiers nicht wesentlich verändert wird; eine Anpassung des Kaufpreises erfolgt in diesem Fall nicht.</w:t>
            </w:r>
          </w:p>
        </w:tc>
        <w:tc>
          <w:tcPr>
            <w:tcW w:w="7620" w:type="dxa"/>
            <w:tcBorders/>
            <w:vAlign w:val="center"/>
          </w:tcPr>
          <w:p>
            <w:pPr>
              <w:pStyle w:val="TableContents"/>
              <w:widowControl/>
              <w:bidi w:val="0"/>
              <w:spacing w:before="0" w:after="283"/>
              <w:rPr/>
            </w:pPr>
            <w:r>
              <w:rPr/>
              <w:t>As this is a development comprising several construction phases, the above numbers of residential and non-residential units, parking spaces, construction phases and common areas may change during further coordination with authorities, specialist designers, financing partners and utility providers. The Seller reserves the right to make changes provided the essential substance of the Buyer's contractual property is preserved and the development's overall appearance is not materially altered; no adjustment of the Purchase Price will be made in that event.</w:t>
            </w:r>
          </w:p>
        </w:tc>
      </w:tr>
      <w:tr>
        <w:trPr>
          <w:cantSplit/>
        </w:trPr>
        <w:tc>
          <w:tcPr>
            <w:tcW w:w="7914" w:type="dxa"/>
            <w:tcBorders/>
            <w:vAlign w:val="center"/>
          </w:tcPr>
          <w:p>
            <w:pPr>
              <w:pStyle w:val="TableContents"/>
              <w:widowControl/>
              <w:bidi w:val="0"/>
              <w:spacing w:before="0" w:after="283"/>
              <w:rPr/>
            </w:pPr>
            <w:r>
              <w:rPr/>
              <w:t>Der Verkäufer wies den Käufer darauf hin, dass sich aus den vorstehenden Baumaßnahmen sowie aus späteren Bauvorhaben des Verkäufers oder von Konzernunternehmen des Verkäufers auf den unmittelbar nordöstlich und südöstlich angrenzenden Nachbargrundstücken (sog. Baufelder Q2 und Q3) auch noch nach dem Übergabetag gemäß § 6 Beeinträchtigungen für den Käufer (z. B. durch Lärm, Staub, Erschütterungen, Sichteinschränkungen, eingeschränkte Wegeführung, Baustellenverkehr und temporäre Abschaltungen technischer Medien) ergeben können. Solche quartiertypischen Einwirkungen gelten als bei der Preisbildung berücksichtigt, soweit sie die gewöhnliche Nutzbarkeit der Sondereigentumseinheit nicht dauerhaft aufheben.</w:t>
            </w:r>
          </w:p>
        </w:tc>
        <w:tc>
          <w:tcPr>
            <w:tcW w:w="7620" w:type="dxa"/>
            <w:tcBorders/>
            <w:vAlign w:val="center"/>
          </w:tcPr>
          <w:p>
            <w:pPr>
              <w:pStyle w:val="TableContents"/>
              <w:widowControl/>
              <w:bidi w:val="0"/>
              <w:spacing w:before="0" w:after="283"/>
              <w:rPr/>
            </w:pPr>
            <w:r>
              <w:rPr/>
              <w:t>The Seller has drawn the Buyer's attention to the fact that the above construction works, and later projects carried out by the Seller or its group companies on the immediately adjoining plots to the northeast and southeast (construction areas Q2 and Q3), may cause disturbance to the Buyer even after the handover date under § 6, for example through noise, dust, vibration, restricted views, restricted access routes, construction traffic and temporary interruptions of building services. Such effects typical of the development are deemed to have been reflected in the price, provided they do not permanently prevent ordinary use of the separately owned unit.</w:t>
            </w:r>
          </w:p>
        </w:tc>
      </w:tr>
      <w:tr>
        <w:trPr>
          <w:cantSplit/>
        </w:trPr>
        <w:tc>
          <w:tcPr>
            <w:tcW w:w="7914" w:type="dxa"/>
            <w:tcBorders/>
            <w:vAlign w:val="center"/>
          </w:tcPr>
          <w:p>
            <w:pPr>
              <w:pStyle w:val="TableContents"/>
              <w:widowControl/>
              <w:bidi w:val="0"/>
              <w:spacing w:before="0" w:after="283"/>
              <w:rPr/>
            </w:pPr>
            <w:r>
              <w:rPr>
                <w:rStyle w:val="Strong"/>
              </w:rPr>
              <w:t>0.2</w:t>
            </w:r>
            <w:r>
              <w:rPr/>
              <w:t xml:space="preserve"> Umfang und Beschränkungen des Wohnungs- und Teileigentums, die Rechtsbeziehungen der Wohnungs- und Teileigentümer zueinander und die Verwaltung des gemeinschaftlichen Eigentums werden geregelt in der Teilungserklärung einschließlich Gemeinschaftsordnung vom 18. Juli 2024 zur UR-Nr. 612/2024 W des Notars Egmont Wachtelborn, Berlin, in der Fassung des 1., 2., 3., 4., 5., 6. und 7. Nachtrags zur Teilungserklärung einschließlich Gemeinschaftsordnung vom 04. September 2024 zur UR-Nr. 731/2024 W, vom 12. November 2024 zur UR-Nr. 942/2024 W, vom 09. Januar 2025 zur UR-Nr. 28/2025 W, vom 03. April 2025 zur UR-Nr. 412/2025 W, vom 27. Juni 2025 zur UR-Nr. 698/2025 W, vom 19. September 2025 zur UR-Nr. 1108/2025 W und vom 04. Februar 2026 zur UR-Nr. 187/2026 W jeweils des Notars Egmont Wachtelborn, Berlin.</w:t>
            </w:r>
          </w:p>
        </w:tc>
        <w:tc>
          <w:tcPr>
            <w:tcW w:w="7620" w:type="dxa"/>
            <w:tcBorders/>
            <w:vAlign w:val="center"/>
          </w:tcPr>
          <w:p>
            <w:pPr>
              <w:pStyle w:val="TableContents"/>
              <w:widowControl/>
              <w:bidi w:val="0"/>
              <w:spacing w:before="0" w:after="283"/>
              <w:rPr/>
            </w:pPr>
            <w:r>
              <w:rPr>
                <w:rStyle w:val="Strong"/>
              </w:rPr>
              <w:t>0.2</w:t>
            </w:r>
            <w:r>
              <w:rPr/>
              <w:t xml:space="preserve"> The scope and restrictions of residential and non-residential condominium ownership, the legal relationships among the unit owners and the management of the Common Property are governed by the declaration of division, including the community rules, dated 18 July 2024, deed no. 612/2024 W of Notary Egmont Wachtelborn, Berlin, as amended by the 1st, 2nd, 3rd, 4th, 5th, 6th and 7th supplements to that declaration and those rules: 4 September 2024, deed no. 731/2024 W; 12 November 2024, deed no. 942/2024 W; 9 January 2025, deed no. 28/2025 W; 3 April 2025, deed no. 412/2025 W; 27 June 2025, deed no. 698/2025 W; 19 September 2025, deed no. 1108/2025 W; and 4 February 2026, deed no. 187/2026 W, all drawn up by Notary Egmont Wachtelborn, Berlin.</w:t>
            </w:r>
          </w:p>
        </w:tc>
      </w:tr>
      <w:tr>
        <w:trPr>
          <w:cantSplit/>
        </w:trPr>
        <w:tc>
          <w:tcPr>
            <w:tcW w:w="7914" w:type="dxa"/>
            <w:tcBorders/>
            <w:vAlign w:val="center"/>
          </w:tcPr>
          <w:p>
            <w:pPr>
              <w:pStyle w:val="TableContents"/>
              <w:widowControl/>
              <w:bidi w:val="0"/>
              <w:spacing w:before="0" w:after="283"/>
              <w:rPr/>
            </w:pPr>
            <w:r>
              <w:rPr/>
              <w:t xml:space="preserve">— </w:t>
            </w:r>
            <w:r>
              <w:rPr/>
              <w:t>nachfolgend zusammen auch „Teilungserklärung” und/oder zusammen „Bezugsurkunde 1” genannt —.</w:t>
            </w:r>
          </w:p>
        </w:tc>
        <w:tc>
          <w:tcPr>
            <w:tcW w:w="7620" w:type="dxa"/>
            <w:tcBorders/>
            <w:vAlign w:val="center"/>
          </w:tcPr>
          <w:p>
            <w:pPr>
              <w:pStyle w:val="TableContents"/>
              <w:widowControl/>
              <w:bidi w:val="0"/>
              <w:spacing w:before="0" w:after="283"/>
              <w:rPr/>
            </w:pPr>
            <w:r>
              <w:rPr/>
              <w:t xml:space="preserve">hereinafter referred to as ‘Declaration of division’ and/or ‘Referenced Deed 1’. </w:t>
            </w:r>
          </w:p>
        </w:tc>
      </w:tr>
      <w:tr>
        <w:trPr>
          <w:cantSplit/>
        </w:trPr>
        <w:tc>
          <w:tcPr>
            <w:tcW w:w="7914" w:type="dxa"/>
            <w:tcBorders/>
            <w:vAlign w:val="center"/>
          </w:tcPr>
          <w:p>
            <w:pPr>
              <w:pStyle w:val="TableContents"/>
              <w:widowControl/>
              <w:bidi w:val="0"/>
              <w:spacing w:before="0" w:after="283"/>
              <w:rPr/>
            </w:pPr>
            <w:r>
              <w:rPr/>
              <w:t>Der Kaufgegenstand wird nach näherer Maßgabe von § 5 grundsätzlich so errichtet, wie er sich aus der Baubeschreibung in der Fassung Februar 2026, Version 7.2 ergibt. Die Baubeschreibung wird dem Käufer mit Vertragsunterzeichnung in einer aktuellen, ungebundenen Druckfassung übergeben und war nach Angabe des Verkäufers im Unterlagenportal abrufbar.</w:t>
            </w:r>
          </w:p>
        </w:tc>
        <w:tc>
          <w:tcPr>
            <w:tcW w:w="7620" w:type="dxa"/>
            <w:tcBorders/>
            <w:vAlign w:val="center"/>
          </w:tcPr>
          <w:p>
            <w:pPr>
              <w:pStyle w:val="TableContents"/>
              <w:widowControl/>
              <w:bidi w:val="0"/>
              <w:spacing w:before="0" w:after="283"/>
              <w:rPr/>
            </w:pPr>
            <w:r>
              <w:rPr/>
              <w:t>Subject to the detailed provisions of § 5, the Purchased Property will in principle be constructed as described in the Building Specification dated February 2026, version 7.2. An up-to-date, unbound printed copy of the Building Specification will be handed to the Buyer when the contract is signed; according to the Seller, it was available through the document portal.</w:t>
            </w:r>
          </w:p>
        </w:tc>
      </w:tr>
      <w:tr>
        <w:trPr>
          <w:cantSplit/>
        </w:trPr>
        <w:tc>
          <w:tcPr>
            <w:tcW w:w="7914" w:type="dxa"/>
            <w:tcBorders/>
            <w:vAlign w:val="center"/>
          </w:tcPr>
          <w:p>
            <w:pPr>
              <w:pStyle w:val="TableContents"/>
              <w:widowControl/>
              <w:bidi w:val="0"/>
              <w:spacing w:before="0" w:after="283"/>
              <w:rPr/>
            </w:pPr>
            <w:r>
              <w:rPr/>
              <w:t>Der Käufer bestätigt mit Unterzeichnung dieses Vertrages, dass ihm die Baubeschreibung, die Teilungserklärung mit Nachträgen sowie die im Datenraum bezeichneten Unterlagen zugänglich waren und dass er Gelegenheit hatte, hierzu rechtlichen, technischen und steuerlichen Rat einzuholen. Die Beteiligten sind sich darüber einig, dass die vorgenannten Unterlagen bei der Kaufentscheidung berücksichtigt wurden.</w:t>
            </w:r>
          </w:p>
        </w:tc>
        <w:tc>
          <w:tcPr>
            <w:tcW w:w="7620" w:type="dxa"/>
            <w:tcBorders/>
            <w:vAlign w:val="center"/>
          </w:tcPr>
          <w:p>
            <w:pPr>
              <w:pStyle w:val="TableContents"/>
              <w:widowControl/>
              <w:bidi w:val="0"/>
              <w:spacing w:before="0" w:after="283"/>
              <w:rPr/>
            </w:pPr>
            <w:r>
              <w:rPr/>
              <w:t>By signing this contract, the Buyer confirms that the Building Specification, the declaration of division and its supplements, and the documents listed in the data room were accessible to the Buyer, and that the Buyer had an opportunity to obtain legal, technical and tax advice about them. The parties agree that those documents were taken into account in the purchase decision.</w:t>
            </w:r>
          </w:p>
        </w:tc>
      </w:tr>
      <w:tr>
        <w:trPr>
          <w:cantSplit/>
        </w:trPr>
        <w:tc>
          <w:tcPr>
            <w:tcW w:w="7914" w:type="dxa"/>
            <w:tcBorders/>
            <w:vAlign w:val="center"/>
          </w:tcPr>
          <w:p>
            <w:pPr>
              <w:pStyle w:val="TableContents"/>
              <w:widowControl/>
              <w:bidi w:val="0"/>
              <w:spacing w:before="0" w:after="283"/>
              <w:rPr/>
            </w:pPr>
            <w:r>
              <w:rPr>
                <w:rStyle w:val="Strong"/>
              </w:rPr>
              <w:t>0.3</w:t>
            </w:r>
            <w:r>
              <w:rPr/>
              <w:t xml:space="preserve"> Gegenstand dieses Vertrages sind der in § 1 beschriebene Kaufgegenstand sowie die in § 5 beschriebene Herstellungsverpflichtung.</w:t>
            </w:r>
          </w:p>
        </w:tc>
        <w:tc>
          <w:tcPr>
            <w:tcW w:w="7620" w:type="dxa"/>
            <w:tcBorders/>
            <w:vAlign w:val="center"/>
          </w:tcPr>
          <w:p>
            <w:pPr>
              <w:pStyle w:val="TableContents"/>
              <w:widowControl/>
              <w:bidi w:val="0"/>
              <w:spacing w:before="0" w:after="283"/>
              <w:rPr/>
            </w:pPr>
            <w:r>
              <w:rPr>
                <w:rStyle w:val="Strong"/>
              </w:rPr>
              <w:t>0.3</w:t>
            </w:r>
            <w:r>
              <w:rPr/>
              <w:t xml:space="preserve"> The subject matter of this contract is the Purchased Property described in § 1 and the construction obligation described in § 5. </w:t>
            </w:r>
          </w:p>
        </w:tc>
      </w:tr>
      <w:tr>
        <w:trPr>
          <w:cantSplit/>
        </w:trPr>
        <w:tc>
          <w:tcPr>
            <w:tcW w:w="7914" w:type="dxa"/>
            <w:tcBorders/>
            <w:vAlign w:val="center"/>
          </w:tcPr>
          <w:p>
            <w:pPr>
              <w:pStyle w:val="TableContents"/>
              <w:widowControl/>
              <w:bidi w:val="0"/>
              <w:spacing w:before="0" w:after="283"/>
              <w:rPr/>
            </w:pPr>
            <w:r>
              <w:rPr>
                <w:rStyle w:val="Strong"/>
              </w:rPr>
              <w:t>0.4</w:t>
            </w:r>
            <w:r>
              <w:rPr/>
              <w:t xml:space="preserve"> Die Abgeschlossenheitsbescheinigung zur Teilungserklärung liegt vor.</w:t>
            </w:r>
          </w:p>
        </w:tc>
        <w:tc>
          <w:tcPr>
            <w:tcW w:w="7620" w:type="dxa"/>
            <w:tcBorders/>
            <w:vAlign w:val="center"/>
          </w:tcPr>
          <w:p>
            <w:pPr>
              <w:pStyle w:val="TableContents"/>
              <w:widowControl/>
              <w:bidi w:val="0"/>
              <w:spacing w:before="0" w:after="283"/>
              <w:rPr/>
            </w:pPr>
            <w:r>
              <w:rPr>
                <w:rStyle w:val="Strong"/>
              </w:rPr>
              <w:t>0.4</w:t>
            </w:r>
            <w:r>
              <w:rPr/>
              <w:t xml:space="preserve"> The certificate confirming the self-contained nature of the units (Abgeschlossenheitsbescheinigung) relating to the declaration of division is available.</w:t>
            </w:r>
          </w:p>
        </w:tc>
      </w:tr>
      <w:tr>
        <w:trPr>
          <w:cantSplit/>
        </w:trPr>
        <w:tc>
          <w:tcPr>
            <w:tcW w:w="7914" w:type="dxa"/>
            <w:tcBorders/>
            <w:vAlign w:val="center"/>
          </w:tcPr>
          <w:p>
            <w:pPr>
              <w:pStyle w:val="TableContents"/>
              <w:widowControl/>
              <w:bidi w:val="0"/>
              <w:spacing w:before="0" w:after="283"/>
              <w:rPr/>
            </w:pPr>
            <w:r>
              <w:rPr>
                <w:rStyle w:val="Strong"/>
              </w:rPr>
              <w:t>0.5</w:t>
            </w:r>
            <w:r>
              <w:rPr/>
              <w:t xml:space="preserve"> Nach Auskunft des Verkäufers liegen die erforderlichen Baugenehmigungen des Landkreises Potsdam-Mittelmark vor; eine Baugenehmigung für Haus 4, in dem die hier verkaufte Wohnung liegt, wird in Kürze erwartet.</w:t>
            </w:r>
          </w:p>
        </w:tc>
        <w:tc>
          <w:tcPr>
            <w:tcW w:w="7620" w:type="dxa"/>
            <w:tcBorders/>
            <w:vAlign w:val="center"/>
          </w:tcPr>
          <w:p>
            <w:pPr>
              <w:pStyle w:val="TableContents"/>
              <w:widowControl/>
              <w:bidi w:val="0"/>
              <w:spacing w:before="0" w:after="283"/>
              <w:rPr/>
            </w:pPr>
            <w:r>
              <w:rPr>
                <w:rStyle w:val="Strong"/>
              </w:rPr>
              <w:t>0.5</w:t>
            </w:r>
            <w:r>
              <w:rPr/>
              <w:t xml:space="preserve"> According to the Seller, the required building permits from the Potsdam-Mittelmark district authority are available; the building permit for building 4, in which the apartment sold under this contract is located, is expected shortly.</w:t>
            </w:r>
          </w:p>
        </w:tc>
      </w:tr>
      <w:tr>
        <w:trPr>
          <w:cantSplit/>
        </w:trPr>
        <w:tc>
          <w:tcPr>
            <w:tcW w:w="7914" w:type="dxa"/>
            <w:tcBorders/>
            <w:vAlign w:val="center"/>
          </w:tcPr>
          <w:p>
            <w:pPr>
              <w:pStyle w:val="TableContents"/>
              <w:widowControl/>
              <w:bidi w:val="0"/>
              <w:spacing w:before="0" w:after="283"/>
              <w:rPr/>
            </w:pPr>
            <w:r>
              <w:rPr>
                <w:rStyle w:val="Strong"/>
              </w:rPr>
              <w:t>0.6</w:t>
            </w:r>
            <w:r>
              <w:rPr/>
              <w:t xml:space="preserve"> Der Verkäufer weist darauf hin, dass die Erschließung des Grundstücks teilweise noch nicht abgeschlossen ist.</w:t>
            </w:r>
          </w:p>
        </w:tc>
        <w:tc>
          <w:tcPr>
            <w:tcW w:w="7620" w:type="dxa"/>
            <w:tcBorders/>
            <w:vAlign w:val="center"/>
          </w:tcPr>
          <w:p>
            <w:pPr>
              <w:pStyle w:val="TableContents"/>
              <w:widowControl/>
              <w:bidi w:val="0"/>
              <w:spacing w:before="0" w:after="283"/>
              <w:rPr/>
            </w:pPr>
            <w:r>
              <w:rPr>
                <w:rStyle w:val="Strong"/>
              </w:rPr>
              <w:t>0.6</w:t>
            </w:r>
            <w:r>
              <w:rPr/>
              <w:t xml:space="preserve"> The Seller points out that site infrastructure works have not yet been completed in some areas.</w:t>
            </w:r>
          </w:p>
        </w:tc>
      </w:tr>
      <w:tr>
        <w:trPr>
          <w:cantSplit/>
        </w:trPr>
        <w:tc>
          <w:tcPr>
            <w:tcW w:w="7914" w:type="dxa"/>
            <w:tcBorders/>
            <w:vAlign w:val="center"/>
          </w:tcPr>
          <w:p>
            <w:pPr>
              <w:pStyle w:val="TableContents"/>
              <w:widowControl/>
              <w:bidi w:val="0"/>
              <w:spacing w:before="0" w:after="283"/>
              <w:rPr/>
            </w:pPr>
            <w:r>
              <w:rPr>
                <w:rStyle w:val="Strong"/>
              </w:rPr>
              <w:t>0.7</w:t>
            </w:r>
            <w:r>
              <w:rPr/>
              <w:t xml:space="preserve"> Der Verkäufer hat für das Bauvorhaben interne Projektunterlagen erstellen lassen, insbesondere den geotechnischen Kurzbericht „BQ-KNW-4/2026” der TerraSond GmbH vom 17.02.2026, die Terminlinie „Birkenpfuhl Q1, Haus 4, Stand 05.03.2026”, die Planliste Architektur B4-A-100 bis B4-A-612, die Fachplanerlisten TGA-B4-ELT/HLS 03/2026, das Brandschutz-Memo BSK-4-2, die Kostentrendblätter der Projektsteuerung sowie Baustellen- und Mängelverfolgungsberichte der Objektüberwachung. Diese Unterlagen dienen ausschließlich der internen Steuerung des Gesamtprojekts. Sie werden dem Käufer nur insoweit zugänglich gemacht, als dies für die Finanzierung der Einheit 4.27, die öffentlich-rechtliche Nachweisführung, die Abnahme oder die spätere Verwaltung nach zwingenden gesetzlichen Vorschriften erforderlich ist oder der Verkäufer dies für die Kommunikation im Bauabschnitt Haus 4 für angezeigt hält.</w:t>
            </w:r>
          </w:p>
        </w:tc>
        <w:tc>
          <w:tcPr>
            <w:tcW w:w="7620" w:type="dxa"/>
            <w:tcBorders/>
            <w:vAlign w:val="center"/>
          </w:tcPr>
          <w:p>
            <w:pPr>
              <w:pStyle w:val="TableContents"/>
              <w:widowControl/>
              <w:bidi w:val="0"/>
              <w:spacing w:before="0" w:after="283"/>
              <w:rPr/>
            </w:pPr>
            <w:r>
              <w:rPr>
                <w:rStyle w:val="Strong"/>
              </w:rPr>
              <w:t>0.7</w:t>
            </w:r>
            <w:r>
              <w:rPr/>
              <w:t xml:space="preserve"> The Seller has commissioned internal project documents, in particular the brief geotechnical report “BQ-KNW-4/2026” by TerraSond GmbH dated 17.02.2026, the schedule “Birkenpfuhl Q1, Haus 4, Stand 05.03.2026”, the architectural drawing register B4-A-100 to B4-A-612, the specialist-design registers TGA-B4-ELT/HLS 03/2026, fire-protection memo BSK-4-2, project-management cost-trend sheets, and site and defect-tracking reports prepared by the site supervisors. These documents serve exclusively to manage the overall project internally. They will be made available to the Buyer only insofar as mandatory law requires them for financing unit 4.27, demonstrating compliance with public-law requirements, acceptance or subsequent management, or the Seller considers disclosure appropriate for communication concerning the building 4 construction phase.</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12" w:name="kaufgegenstand"/>
            <w:bookmarkEnd w:id="12"/>
            <w:r>
              <w:rPr/>
              <w:t>§ 1 Kaufgegenstand</w:t>
            </w:r>
          </w:p>
          <w:p>
            <w:pPr>
              <w:pStyle w:val="TableContents"/>
              <w:widowControl/>
              <w:bidi w:val="0"/>
              <w:spacing w:before="0" w:after="283"/>
              <w:rPr/>
            </w:pPr>
            <w:r>
              <w:rPr>
                <w:rStyle w:val="Strong"/>
              </w:rPr>
              <w:t>1.1</w:t>
            </w:r>
            <w:r>
              <w:rPr/>
              <w:t xml:space="preserve"> Der Verkäufer ist eingetragener Alleineigentümer des folgenden, im Wohnungsgrundbuch des Amtsgerichts Potsdam für Kannenberg-Niederwall, Blatt 18 442, eingetragenen Wohnungseigentums:</w:t>
            </w:r>
          </w:p>
        </w:tc>
        <w:tc>
          <w:tcPr>
            <w:tcW w:w="7620" w:type="dxa"/>
            <w:tcBorders/>
            <w:vAlign w:val="center"/>
          </w:tcPr>
          <w:p>
            <w:pPr>
              <w:pStyle w:val="Heading1"/>
              <w:keepNext/>
              <w:widowControl/>
              <w:pBdr/>
              <w:bidi w:val="0"/>
              <w:spacing w:before="240" w:after="283"/>
              <w:rPr/>
            </w:pPr>
            <w:r>
              <w:rPr/>
              <w:t>§ 1 Purchased Property</w:t>
            </w:r>
          </w:p>
          <w:p>
            <w:pPr>
              <w:pStyle w:val="TableContents"/>
              <w:widowControl/>
              <w:bidi w:val="0"/>
              <w:spacing w:before="0" w:after="283"/>
              <w:rPr/>
            </w:pPr>
            <w:r>
              <w:rPr>
                <w:rStyle w:val="Strong"/>
              </w:rPr>
              <w:t>1.1</w:t>
            </w:r>
            <w:r>
              <w:rPr/>
              <w:t xml:space="preserve"> The Seller is the registered sole owner of the following condominium property recorded in the residential Land Register maintained by Potsdam Local Court for Kannenberg-Niederwall, folio 18 442:</w:t>
            </w:r>
          </w:p>
        </w:tc>
      </w:tr>
      <w:tr>
        <w:trPr>
          <w:cantSplit/>
        </w:trPr>
        <w:tc>
          <w:tcPr>
            <w:tcW w:w="7914" w:type="dxa"/>
            <w:tcBorders/>
            <w:vAlign w:val="center"/>
          </w:tcPr>
          <w:p>
            <w:pPr>
              <w:pStyle w:val="BlockQuotation"/>
              <w:widowControl/>
              <w:pBdr>
                <w:left w:val="single" w:sz="6" w:space="1" w:color="AAAAAA"/>
              </w:pBdr>
              <w:bidi w:val="0"/>
              <w:spacing w:before="0" w:after="283"/>
              <w:ind w:hanging="0" w:start="567" w:end="567"/>
              <w:rPr/>
            </w:pPr>
            <w:r>
              <w:rPr/>
              <w:t>Miteigentumsanteil von 184/100 000 an dem Grundstück Gemarkung Kannenberg-Niederwall, Flur 7, Flurstück 218/4, verbunden mit dem Sondereigentum an der im Aufteilungsplan mit der Nummer 4.27 bezeichneten Wohnung im 3. Obergeschoss des Hauses 4 nebst Kellerabteil Nr. K-4.27 und Sondernutzungsrecht an der Terrasse T-4.27 sowie dem Tiefgaragenstellplatz Nr. TG-127.</w:t>
            </w:r>
          </w:p>
        </w:tc>
        <w:tc>
          <w:tcPr>
            <w:tcW w:w="7620" w:type="dxa"/>
            <w:tcBorders/>
            <w:vAlign w:val="center"/>
          </w:tcPr>
          <w:p>
            <w:pPr>
              <w:pStyle w:val="BlockQuotation"/>
              <w:widowControl/>
              <w:pBdr>
                <w:left w:val="single" w:sz="6" w:space="1" w:color="AAAAAA"/>
              </w:pBdr>
              <w:bidi w:val="0"/>
              <w:spacing w:before="0" w:after="283"/>
              <w:ind w:hanging="0" w:start="567" w:end="567"/>
              <w:rPr/>
            </w:pPr>
            <w:r>
              <w:rPr/>
              <w:t>A co-ownership share of 184/100 000 in the Land in the cadastral district of Kannenberg-Niederwall, cadastral section 7, parcel 218/4, combined with separate ownership of apartment no. 4.27 as identified in the partition plan, on the third floor above ground level of building 4, together with cellar compartment no. K-4.27 and the exclusive use right relating to terrace T-4.27 and underground parking space no. TG-127.</w:t>
            </w:r>
          </w:p>
        </w:tc>
      </w:tr>
      <w:tr>
        <w:trPr>
          <w:cantSplit/>
        </w:trPr>
        <w:tc>
          <w:tcPr>
            <w:tcW w:w="7914" w:type="dxa"/>
            <w:tcBorders/>
            <w:vAlign w:val="center"/>
          </w:tcPr>
          <w:p>
            <w:pPr>
              <w:pStyle w:val="TableContents"/>
              <w:widowControl/>
              <w:bidi w:val="0"/>
              <w:spacing w:before="0" w:after="283"/>
              <w:rPr/>
            </w:pPr>
            <w:r>
              <w:rPr>
                <w:rStyle w:val="Strong"/>
              </w:rPr>
              <w:t>1.2</w:t>
            </w:r>
            <w:r>
              <w:rPr/>
              <w:t xml:space="preserve"> Die Sondereigentumseinheit und das dort näher bezeichnete Sondernutzungsrecht an dem Tiefgaragenstellplatz Nr. TG-127 nebst den unter § 5 dieses Vertrages beschriebenen Bauleistungen werden nachfolgend zusammen als „Kaufgegenstand” bezeichnet.</w:t>
            </w:r>
          </w:p>
        </w:tc>
        <w:tc>
          <w:tcPr>
            <w:tcW w:w="7620" w:type="dxa"/>
            <w:tcBorders/>
            <w:vAlign w:val="center"/>
          </w:tcPr>
          <w:p>
            <w:pPr>
              <w:pStyle w:val="TableContents"/>
              <w:widowControl/>
              <w:bidi w:val="0"/>
              <w:spacing w:before="0" w:after="283"/>
              <w:rPr/>
            </w:pPr>
            <w:r>
              <w:rPr>
                <w:rStyle w:val="Strong"/>
              </w:rPr>
              <w:t>1.2</w:t>
            </w:r>
            <w:r>
              <w:rPr/>
              <w:t xml:space="preserve"> The separately owned unit, the exclusive use right relating to underground parking space no. TG-127 as specified therein, and the construction works described in § 5 of this contract are together referred to below as the “Purchased Property”.</w:t>
            </w:r>
          </w:p>
        </w:tc>
      </w:tr>
      <w:tr>
        <w:trPr>
          <w:cantSplit/>
        </w:trPr>
        <w:tc>
          <w:tcPr>
            <w:tcW w:w="7914" w:type="dxa"/>
            <w:tcBorders/>
            <w:vAlign w:val="center"/>
          </w:tcPr>
          <w:p>
            <w:pPr>
              <w:pStyle w:val="TableContents"/>
              <w:widowControl/>
              <w:bidi w:val="0"/>
              <w:spacing w:before="0" w:after="283"/>
              <w:rPr/>
            </w:pPr>
            <w:r>
              <w:rPr>
                <w:rStyle w:val="Strong"/>
              </w:rPr>
              <w:t>1.3</w:t>
            </w:r>
            <w:r>
              <w:rPr/>
              <w:t xml:space="preserve"> Der Notar soll das Grundbuch gemäß § 1.1 — ohne die Grundakten — im Beurkundungstermin elektronisch einsehen und den Stand dokumentieren.</w:t>
            </w:r>
          </w:p>
        </w:tc>
        <w:tc>
          <w:tcPr>
            <w:tcW w:w="7620" w:type="dxa"/>
            <w:tcBorders/>
            <w:vAlign w:val="center"/>
          </w:tcPr>
          <w:p>
            <w:pPr>
              <w:pStyle w:val="TableContents"/>
              <w:widowControl/>
              <w:bidi w:val="0"/>
              <w:spacing w:before="0" w:after="283"/>
              <w:rPr/>
            </w:pPr>
            <w:r>
              <w:rPr>
                <w:rStyle w:val="Strong"/>
              </w:rPr>
              <w:t>1.3</w:t>
            </w:r>
            <w:r>
              <w:rPr/>
              <w:t xml:space="preserve"> At the notarisation appointment, the Notary is to inspect electronically the Land Register referred to in section 1.1, without inspecting the underlying land files, and document its current status.</w:t>
            </w:r>
          </w:p>
        </w:tc>
      </w:tr>
      <w:tr>
        <w:trPr>
          <w:cantSplit/>
        </w:trPr>
        <w:tc>
          <w:tcPr>
            <w:tcW w:w="7914" w:type="dxa"/>
            <w:tcBorders/>
            <w:vAlign w:val="center"/>
          </w:tcPr>
          <w:p>
            <w:pPr>
              <w:pStyle w:val="TableContents"/>
              <w:widowControl/>
              <w:bidi w:val="0"/>
              <w:spacing w:before="0" w:after="283"/>
              <w:rPr/>
            </w:pPr>
            <w:r>
              <w:rPr/>
              <w:t>In Abteilung II sind eingetragen: beschränkte persönliche Dienstbarkeiten zugunsten der Stadtwerke Kannenberg GmbH, der ENBW Netze AG sowie der Gemeinde Kannenberg-Niederwall. Diese Lasten werden vom Käufer übernommen und sind im Kaufpreis nicht abgegolten.</w:t>
            </w:r>
          </w:p>
        </w:tc>
        <w:tc>
          <w:tcPr>
            <w:tcW w:w="7620" w:type="dxa"/>
            <w:tcBorders/>
            <w:vAlign w:val="center"/>
          </w:tcPr>
          <w:p>
            <w:pPr>
              <w:pStyle w:val="TableContents"/>
              <w:widowControl/>
              <w:bidi w:val="0"/>
              <w:spacing w:before="0" w:after="283"/>
              <w:rPr/>
            </w:pPr>
            <w:r>
              <w:rPr/>
              <w:t>The following are registered in Section II: limited personal easements in favour of Stadtwerke Kannenberg GmbH, ENBW Netze AG and the municipality of Kannenberg-Niederwall. The Buyer assumes these encumbrances; they are not covered by the Purchase Price.</w:t>
            </w:r>
          </w:p>
        </w:tc>
      </w:tr>
      <w:tr>
        <w:trPr>
          <w:cantSplit/>
        </w:trPr>
        <w:tc>
          <w:tcPr>
            <w:tcW w:w="7914" w:type="dxa"/>
            <w:tcBorders/>
            <w:vAlign w:val="center"/>
          </w:tcPr>
          <w:p>
            <w:pPr>
              <w:pStyle w:val="TableContents"/>
              <w:widowControl/>
              <w:bidi w:val="0"/>
              <w:spacing w:before="0" w:after="283"/>
              <w:rPr/>
            </w:pPr>
            <w:r>
              <w:rPr/>
              <w:t>In Abteilung III ist eine Gesamtgrundschuld in Höhe von 92 800 000,00 EUR zugunsten der Pommersche Hypotheken-Bank AG eingetragen.</w:t>
            </w:r>
          </w:p>
        </w:tc>
        <w:tc>
          <w:tcPr>
            <w:tcW w:w="7620" w:type="dxa"/>
            <w:tcBorders/>
            <w:vAlign w:val="center"/>
          </w:tcPr>
          <w:p>
            <w:pPr>
              <w:pStyle w:val="TableContents"/>
              <w:widowControl/>
              <w:bidi w:val="0"/>
              <w:spacing w:before="0" w:after="283"/>
              <w:rPr/>
            </w:pPr>
            <w:r>
              <w:rPr/>
              <w:t>An aggregate land charge of EUR 92,800,000.00 in favour of Pommersche Hypotheken-Bank AG is registered in Section III.</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13" w:name="kaufpreis"/>
            <w:bookmarkEnd w:id="13"/>
            <w:r>
              <w:rPr/>
              <w:t>§ 2 Kaufpreis</w:t>
            </w:r>
          </w:p>
          <w:p>
            <w:pPr>
              <w:pStyle w:val="TableContents"/>
              <w:widowControl/>
              <w:bidi w:val="0"/>
              <w:spacing w:before="0" w:after="283"/>
              <w:rPr/>
            </w:pPr>
            <w:r>
              <w:rPr>
                <w:rStyle w:val="Strong"/>
              </w:rPr>
              <w:t>2.1</w:t>
            </w:r>
            <w:r>
              <w:rPr/>
              <w:t xml:space="preserve"> Der Kaufpreis für den Kaufgegenstand beträgt insgesamt</w:t>
            </w:r>
          </w:p>
        </w:tc>
        <w:tc>
          <w:tcPr>
            <w:tcW w:w="7620" w:type="dxa"/>
            <w:tcBorders/>
            <w:vAlign w:val="center"/>
          </w:tcPr>
          <w:p>
            <w:pPr>
              <w:pStyle w:val="Heading1"/>
              <w:keepNext/>
              <w:widowControl/>
              <w:bidi w:val="0"/>
              <w:spacing w:before="240" w:after="283"/>
              <w:ind w:hanging="0" w:start="0" w:end="0"/>
              <w:rPr/>
            </w:pPr>
            <w:bookmarkStart w:id="14" w:name="purchase-price"/>
            <w:bookmarkEnd w:id="14"/>
            <w:r>
              <w:rPr/>
              <w:t xml:space="preserve">§ 2 Purchase price </w:t>
            </w:r>
          </w:p>
          <w:p>
            <w:pPr>
              <w:pStyle w:val="TableContents"/>
              <w:widowControl/>
              <w:bidi w:val="0"/>
              <w:spacing w:before="0" w:after="283"/>
              <w:rPr/>
            </w:pPr>
            <w:r>
              <w:rPr>
                <w:rStyle w:val="Strong"/>
              </w:rPr>
              <w:t>2.1</w:t>
            </w:r>
            <w:r>
              <w:rPr/>
              <w:t xml:space="preserve"> The Purchase Price for the Purchased Property is</w:t>
            </w:r>
          </w:p>
        </w:tc>
      </w:tr>
      <w:tr>
        <w:trPr>
          <w:cantSplit/>
        </w:trPr>
        <w:tc>
          <w:tcPr>
            <w:tcW w:w="7914" w:type="dxa"/>
            <w:tcBorders/>
            <w:vAlign w:val="center"/>
          </w:tcPr>
          <w:p>
            <w:pPr>
              <w:pStyle w:val="BlockQuotation"/>
              <w:widowControl/>
              <w:pBdr>
                <w:left w:val="single" w:sz="6" w:space="1" w:color="AAAAAA"/>
              </w:pBdr>
              <w:bidi w:val="0"/>
              <w:spacing w:before="0" w:after="283"/>
              <w:ind w:hanging="0" w:start="567" w:end="567"/>
              <w:rPr/>
            </w:pPr>
            <w:r>
              <w:rPr>
                <w:rStyle w:val="Strong"/>
              </w:rPr>
              <w:t>789.500,00 EUR</w:t>
            </w:r>
          </w:p>
        </w:tc>
        <w:tc>
          <w:tcPr>
            <w:tcW w:w="7620" w:type="dxa"/>
            <w:tcBorders/>
            <w:vAlign w:val="center"/>
          </w:tcPr>
          <w:p>
            <w:pPr>
              <w:pStyle w:val="BlockQuotation"/>
              <w:widowControl/>
              <w:pBdr>
                <w:left w:val="single" w:sz="6" w:space="1" w:color="AAAAAA"/>
              </w:pBdr>
              <w:bidi w:val="0"/>
              <w:spacing w:before="0" w:after="283"/>
              <w:ind w:hanging="0" w:start="567" w:end="567"/>
              <w:rPr/>
            </w:pPr>
            <w:r>
              <w:rPr>
                <w:rStyle w:val="Strong"/>
              </w:rPr>
              <w:t>EUR 789,500.00</w:t>
            </w:r>
          </w:p>
        </w:tc>
      </w:tr>
      <w:tr>
        <w:trPr>
          <w:cantSplit/>
        </w:trPr>
        <w:tc>
          <w:tcPr>
            <w:tcW w:w="7914" w:type="dxa"/>
            <w:tcBorders/>
            <w:vAlign w:val="center"/>
          </w:tcPr>
          <w:p>
            <w:pPr>
              <w:pStyle w:val="TableContents"/>
              <w:widowControl/>
              <w:bidi w:val="0"/>
              <w:spacing w:before="0" w:after="283"/>
              <w:rPr/>
            </w:pPr>
            <w:r>
              <w:rPr/>
              <w:t>zzgl. eines Aufpreises für den Tiefgaragenstellplatz von 38 500,00 EUR. Der Gesamtkaufpreis beträgt damit 828 000,00 EUR.</w:t>
            </w:r>
          </w:p>
        </w:tc>
        <w:tc>
          <w:tcPr>
            <w:tcW w:w="7620" w:type="dxa"/>
            <w:tcBorders/>
            <w:vAlign w:val="center"/>
          </w:tcPr>
          <w:p>
            <w:pPr>
              <w:pStyle w:val="TableContents"/>
              <w:widowControl/>
              <w:bidi w:val="0"/>
              <w:spacing w:before="0" w:after="283"/>
              <w:rPr/>
            </w:pPr>
            <w:r>
              <w:rPr/>
              <w:t>plus EUR 38,500.00 for the underground parking space. The total Purchase Price is therefore EUR 828,000.00.</w:t>
            </w:r>
          </w:p>
        </w:tc>
      </w:tr>
      <w:tr>
        <w:trPr>
          <w:cantSplit/>
        </w:trPr>
        <w:tc>
          <w:tcPr>
            <w:tcW w:w="7914" w:type="dxa"/>
            <w:tcBorders/>
            <w:vAlign w:val="center"/>
          </w:tcPr>
          <w:p>
            <w:pPr>
              <w:pStyle w:val="TableContents"/>
              <w:widowControl/>
              <w:bidi w:val="0"/>
              <w:spacing w:before="0" w:after="283"/>
              <w:rPr/>
            </w:pPr>
            <w:r>
              <w:rPr>
                <w:rStyle w:val="Strong"/>
              </w:rPr>
              <w:t>2.2</w:t>
            </w:r>
            <w:r>
              <w:rPr/>
              <w:t xml:space="preserve"> Der Kaufpreis ist ein Fest-Kaufpreis für die Wohnung 4.27, das Kellerabteil K-4.27, die Terrasse T-4.27 und den Tiefgaragenstellplatz TG-127. Er umfasst die Herstellung dieser Einheit in der Ausstattungslinie „Birkenpfuhl Komfort B4” nach § 5 und Anlage Baubeschreibung, soweit in diesem Vertrag nicht für Sonderwünsche, Erschließung, Hausanschlüsse, Medienanschlüsse, Ladeinfrastruktur, technische Nachsteuerungen in Haus 4 oder nachträgliche öffentlich-rechtliche Anforderungen eine gesonderte Kostentragung vorgesehen ist.</w:t>
            </w:r>
          </w:p>
        </w:tc>
        <w:tc>
          <w:tcPr>
            <w:tcW w:w="7620" w:type="dxa"/>
            <w:tcBorders/>
            <w:vAlign w:val="center"/>
          </w:tcPr>
          <w:p>
            <w:pPr>
              <w:pStyle w:val="TableContents"/>
              <w:widowControl/>
              <w:bidi w:val="0"/>
              <w:spacing w:before="0" w:after="283"/>
              <w:rPr/>
            </w:pPr>
            <w:r>
              <w:rPr>
                <w:rStyle w:val="Strong"/>
              </w:rPr>
              <w:t>2.2</w:t>
            </w:r>
            <w:r>
              <w:rPr/>
              <w:t xml:space="preserve"> The Purchase Price is a fixed price for apartment 4.27, cellar compartment K-4.27, terrace T-4.27 and underground parking space TG-127. It covers construction of this unit to the “Birkenpfuhl Komfort B4” specification under § 5 and the Building Specification annex, except where this contract allocates separate costs for special requests, site infrastructure, building and utility connections, communications connections, charging infrastructure, technical adjustments in building 4 or subsequent public-law requirements.</w:t>
            </w:r>
          </w:p>
        </w:tc>
      </w:tr>
      <w:tr>
        <w:trPr>
          <w:cantSplit/>
        </w:trPr>
        <w:tc>
          <w:tcPr>
            <w:tcW w:w="7914" w:type="dxa"/>
            <w:tcBorders/>
            <w:vAlign w:val="center"/>
          </w:tcPr>
          <w:p>
            <w:pPr>
              <w:pStyle w:val="TableContents"/>
              <w:widowControl/>
              <w:bidi w:val="0"/>
              <w:spacing w:before="0" w:after="283"/>
              <w:rPr/>
            </w:pPr>
            <w:r>
              <w:rPr>
                <w:rStyle w:val="Strong"/>
              </w:rPr>
              <w:t>2.3</w:t>
            </w:r>
            <w:r>
              <w:rPr/>
              <w:t xml:space="preserve"> Nicht im Kaufpreis enthalten sind die bei Notar, Grundbuchamt und Behörden anfallenden Gebühren, die Grunderwerbsteuer, sämtliche Kosten der Erschließung und der erstmaligen Anschlüsse an Ver- und Entsorgungsanlagen (vgl. § 7) sowie Kosten, die durch nachträgliche Sonderwünsche des Käufers veranlasst sind.</w:t>
            </w:r>
          </w:p>
        </w:tc>
        <w:tc>
          <w:tcPr>
            <w:tcW w:w="7620" w:type="dxa"/>
            <w:tcBorders/>
            <w:vAlign w:val="center"/>
          </w:tcPr>
          <w:p>
            <w:pPr>
              <w:pStyle w:val="TableContents"/>
              <w:widowControl/>
              <w:bidi w:val="0"/>
              <w:spacing w:before="0" w:after="283"/>
              <w:rPr/>
            </w:pPr>
            <w:r>
              <w:rPr>
                <w:rStyle w:val="Strong"/>
              </w:rPr>
              <w:t>2.3</w:t>
            </w:r>
            <w:r>
              <w:rPr/>
              <w:t xml:space="preserve"> The Purchase Price does not include notarial, Land Registry or administrative fees, real estate transfer tax, any costs of site infrastructure and initial connections to supply and disposal systems (see § 7), or costs arising from subsequent special requests by the Buyer.</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15" w:name="kaufpreiszahlung-fälligkeit"/>
            <w:bookmarkEnd w:id="15"/>
            <w:r>
              <w:rPr/>
              <w:t>§ 3 Kaufpreiszahlung, Fälligkeit</w:t>
            </w:r>
          </w:p>
          <w:p>
            <w:pPr>
              <w:pStyle w:val="TableContents"/>
              <w:widowControl/>
              <w:bidi w:val="0"/>
              <w:spacing w:before="0" w:after="283"/>
              <w:rPr/>
            </w:pPr>
            <w:r>
              <w:rPr>
                <w:rStyle w:val="Strong"/>
              </w:rPr>
              <w:t>3.1</w:t>
            </w:r>
            <w:r>
              <w:rPr/>
              <w:t xml:space="preserve"> Die Kaufpreiszahlungen sind frühestens fällig und zahlbar, wenn</w:t>
            </w:r>
          </w:p>
        </w:tc>
        <w:tc>
          <w:tcPr>
            <w:tcW w:w="7620" w:type="dxa"/>
            <w:tcBorders/>
            <w:vAlign w:val="center"/>
          </w:tcPr>
          <w:p>
            <w:pPr>
              <w:pStyle w:val="Heading1"/>
              <w:keepNext/>
              <w:widowControl/>
              <w:bidi w:val="0"/>
              <w:spacing w:before="240" w:after="283"/>
              <w:ind w:hanging="0" w:start="0" w:end="0"/>
              <w:rPr/>
            </w:pPr>
            <w:bookmarkStart w:id="16" w:name="purchase-price-payment-due-date"/>
            <w:bookmarkEnd w:id="16"/>
            <w:r>
              <w:rPr/>
              <w:t xml:space="preserve">§ 3 Purchase price payment, due date </w:t>
            </w:r>
          </w:p>
          <w:p>
            <w:pPr>
              <w:pStyle w:val="TableContents"/>
              <w:widowControl/>
              <w:bidi w:val="0"/>
              <w:spacing w:before="0" w:after="283"/>
              <w:rPr/>
            </w:pPr>
            <w:r>
              <w:rPr>
                <w:rStyle w:val="Strong"/>
              </w:rPr>
              <w:t>3.1</w:t>
            </w:r>
            <w:r>
              <w:rPr/>
              <w:t xml:space="preserve"> The Purchase Price payments are due and payable at the earliest if </w:t>
            </w:r>
          </w:p>
        </w:tc>
      </w:tr>
      <w:tr>
        <w:trPr>
          <w:cantSplit/>
        </w:trPr>
        <w:tc>
          <w:tcPr>
            <w:tcW w:w="7914" w:type="dxa"/>
            <w:tcBorders/>
            <w:vAlign w:val="center"/>
          </w:tcPr>
          <w:p>
            <w:pPr>
              <w:pStyle w:val="TableContents"/>
              <w:widowControl/>
              <w:bidi w:val="0"/>
              <w:spacing w:before="0" w:after="283"/>
              <w:rPr/>
            </w:pPr>
            <w:r>
              <w:rPr/>
              <w:t>3.1.1 der Notar den Parteien schriftlich mitgeteilt hat, dass</w:t>
            </w:r>
          </w:p>
        </w:tc>
        <w:tc>
          <w:tcPr>
            <w:tcW w:w="7620" w:type="dxa"/>
            <w:tcBorders/>
            <w:vAlign w:val="center"/>
          </w:tcPr>
          <w:p>
            <w:pPr>
              <w:pStyle w:val="TableContents"/>
              <w:widowControl/>
              <w:bidi w:val="0"/>
              <w:spacing w:before="0" w:after="283"/>
              <w:rPr/>
            </w:pPr>
            <w:r>
              <w:rPr/>
              <w:t xml:space="preserve">3.1.1 the Notary has informed the parties in writing that </w:t>
            </w:r>
          </w:p>
        </w:tc>
      </w:tr>
      <w:tr>
        <w:trPr>
          <w:cantSplit/>
        </w:trPr>
        <w:tc>
          <w:tcPr>
            <w:tcW w:w="7914" w:type="dxa"/>
            <w:tcBorders/>
            <w:vAlign w:val="center"/>
          </w:tcPr>
          <w:p>
            <w:pPr>
              <w:pStyle w:val="TableContents"/>
              <w:widowControl/>
              <w:numPr>
                <w:ilvl w:val="0"/>
                <w:numId w:val="2"/>
              </w:numPr>
              <w:tabs>
                <w:tab w:val="clear" w:pos="1134"/>
                <w:tab w:val="left" w:pos="709" w:leader="none"/>
              </w:tabs>
              <w:bidi w:val="0"/>
              <w:spacing w:before="0" w:after="283"/>
              <w:ind w:hanging="283" w:start="709"/>
              <w:rPr/>
            </w:pPr>
            <w:r>
              <w:rPr/>
              <w:t xml:space="preserve">der Vertrag rechtswirksam zustande gekommen ist, </w:t>
            </w:r>
          </w:p>
        </w:tc>
        <w:tc>
          <w:tcPr>
            <w:tcW w:w="7620" w:type="dxa"/>
            <w:tcBorders/>
            <w:vAlign w:val="center"/>
          </w:tcPr>
          <w:p>
            <w:pPr>
              <w:pStyle w:val="TableContents"/>
              <w:widowControl/>
              <w:bidi w:val="0"/>
              <w:spacing w:before="0" w:after="283"/>
              <w:rPr/>
            </w:pPr>
            <w:r>
              <w:rPr/>
              <w:t>a) the contract has been validly concluded,</w:t>
            </w:r>
          </w:p>
        </w:tc>
      </w:tr>
      <w:tr>
        <w:trPr>
          <w:cantSplit/>
        </w:trPr>
        <w:tc>
          <w:tcPr>
            <w:tcW w:w="7914" w:type="dxa"/>
            <w:tcBorders/>
            <w:vAlign w:val="center"/>
          </w:tcPr>
          <w:p>
            <w:pPr>
              <w:pStyle w:val="TableContents"/>
              <w:widowControl/>
              <w:numPr>
                <w:ilvl w:val="0"/>
                <w:numId w:val="3"/>
              </w:numPr>
              <w:tabs>
                <w:tab w:val="clear" w:pos="1134"/>
                <w:tab w:val="left" w:pos="709" w:leader="none"/>
              </w:tabs>
              <w:bidi w:val="0"/>
              <w:spacing w:before="0" w:after="283"/>
              <w:ind w:hanging="283" w:start="709"/>
              <w:rPr/>
            </w:pPr>
            <w:r>
              <w:rPr/>
              <w:t xml:space="preserve">die Eintragung der Auflassungsvormerkung zugunsten des Käufers im Grundbuch eingetragen oder eintragungsbereit beantragt ist, </w:t>
            </w:r>
          </w:p>
        </w:tc>
        <w:tc>
          <w:tcPr>
            <w:tcW w:w="7620" w:type="dxa"/>
            <w:tcBorders/>
            <w:vAlign w:val="center"/>
          </w:tcPr>
          <w:p>
            <w:pPr>
              <w:pStyle w:val="TableContents"/>
              <w:widowControl/>
              <w:bidi w:val="0"/>
              <w:spacing w:before="0" w:after="283"/>
              <w:rPr/>
            </w:pPr>
            <w:r>
              <w:rPr/>
              <w:t>b) the priority notice securing the Buyer's claim to conveyance has been entered in the Land Register, or an application ready for registration has been submitted,</w:t>
            </w:r>
          </w:p>
        </w:tc>
      </w:tr>
      <w:tr>
        <w:trPr>
          <w:cantSplit/>
        </w:trPr>
        <w:tc>
          <w:tcPr>
            <w:tcW w:w="7914" w:type="dxa"/>
            <w:tcBorders/>
            <w:vAlign w:val="center"/>
          </w:tcPr>
          <w:p>
            <w:pPr>
              <w:pStyle w:val="TableContents"/>
              <w:widowControl/>
              <w:numPr>
                <w:ilvl w:val="0"/>
                <w:numId w:val="4"/>
              </w:numPr>
              <w:tabs>
                <w:tab w:val="clear" w:pos="1134"/>
                <w:tab w:val="left" w:pos="709" w:leader="none"/>
              </w:tabs>
              <w:bidi w:val="0"/>
              <w:spacing w:before="0" w:after="283"/>
              <w:ind w:hanging="283" w:start="709"/>
              <w:rPr/>
            </w:pPr>
            <w:r>
              <w:rPr/>
              <w:t xml:space="preserve">die Lastenfreistellungserklärung der Pommersche Hypotheken-Bank AG für den Kaufgegenstand vorliegt oder die Vorlage zugesichert ist, </w:t>
            </w:r>
          </w:p>
        </w:tc>
        <w:tc>
          <w:tcPr>
            <w:tcW w:w="7620" w:type="dxa"/>
            <w:tcBorders/>
            <w:vAlign w:val="center"/>
          </w:tcPr>
          <w:p>
            <w:pPr>
              <w:pStyle w:val="TableContents"/>
              <w:widowControl/>
              <w:bidi w:val="0"/>
              <w:spacing w:before="0" w:after="283"/>
              <w:rPr/>
            </w:pPr>
            <w:r>
              <w:rPr/>
              <w:t>c) Pommersche Hypotheken-Bank AG's undertaking to release the Purchased Property from encumbrances is available, or its provision has been promised,</w:t>
            </w:r>
          </w:p>
        </w:tc>
      </w:tr>
      <w:tr>
        <w:trPr>
          <w:cantSplit/>
        </w:trPr>
        <w:tc>
          <w:tcPr>
            <w:tcW w:w="7914" w:type="dxa"/>
            <w:tcBorders/>
            <w:vAlign w:val="center"/>
          </w:tcPr>
          <w:p>
            <w:pPr>
              <w:pStyle w:val="TableContents"/>
              <w:widowControl/>
              <w:bidi w:val="0"/>
              <w:spacing w:before="0" w:after="283"/>
              <w:rPr/>
            </w:pPr>
            <w:r>
              <w:rPr/>
              <w:t>3.1.2 sowie die Baugenehmigung für Haus 4 vorliegt oder, wenn eine Baugenehmigung nicht oder nicht rechtzeitig erforderlich ist, mit dem Bau begonnen werden darf.</w:t>
            </w:r>
          </w:p>
        </w:tc>
        <w:tc>
          <w:tcPr>
            <w:tcW w:w="7620" w:type="dxa"/>
            <w:tcBorders/>
            <w:vAlign w:val="center"/>
          </w:tcPr>
          <w:p>
            <w:pPr>
              <w:pStyle w:val="TableContents"/>
              <w:widowControl/>
              <w:bidi w:val="0"/>
              <w:spacing w:before="0" w:after="283"/>
              <w:rPr/>
            </w:pPr>
            <w:r>
              <w:rPr/>
              <w:t>3.1.2 and the building permit for building 4 is available or, if a building permit is not required or is not required at that time, construction may lawfully commence.</w:t>
            </w:r>
          </w:p>
        </w:tc>
      </w:tr>
      <w:tr>
        <w:trPr>
          <w:cantSplit/>
        </w:trPr>
        <w:tc>
          <w:tcPr>
            <w:tcW w:w="7914" w:type="dxa"/>
            <w:tcBorders/>
            <w:vAlign w:val="center"/>
          </w:tcPr>
          <w:p>
            <w:pPr>
              <w:pStyle w:val="TableContents"/>
              <w:widowControl/>
              <w:bidi w:val="0"/>
              <w:spacing w:before="0" w:after="283"/>
              <w:rPr/>
            </w:pPr>
            <w:r>
              <w:rPr>
                <w:rStyle w:val="Strong"/>
              </w:rPr>
              <w:t>3.2</w:t>
            </w:r>
            <w:r>
              <w:rPr/>
              <w:t xml:space="preserve"> Der Käufer hat den Kaufpreis nach folgendem Ratenplan zu zahlen, wobei der Verkäufer die Raten entsprechend dem tatsächlichen Bauablauf in sieben Teilbeträgen anfordern wird:</w:t>
            </w:r>
          </w:p>
          <w:p>
            <w:pPr>
              <w:pStyle w:val="TableHeading"/>
              <w:widowControl/>
              <w:spacing w:before="0" w:after="80"/>
            </w:pPr>
            <w:r>
              <w:rPr>
                <w:b/>
              </w:rPr>
              <w:t>Rate · Stichmonat · Anteil</w:t>
            </w:r>
          </w:p>
          <w:p>
            <w:pPr>
              <w:pStyle w:val="TableContents"/>
              <w:widowControl/>
              <w:spacing w:before="0" w:after="80"/>
            </w:pPr>
            <w:r>
              <w:t>1. Rate · nach Beginn der Erdarbeiten · 30,0 %</w:t>
            </w:r>
          </w:p>
          <w:p>
            <w:pPr>
              <w:pStyle w:val="TableContents"/>
              <w:widowControl/>
              <w:spacing w:before="0" w:after="80"/>
            </w:pPr>
            <w:r>
              <w:t>2. Rate · nach Rohbaufertigstellung einschließlich Zimmererarbeiten · 28,0 %</w:t>
            </w:r>
          </w:p>
          <w:p>
            <w:pPr>
              <w:pStyle w:val="TableContents"/>
              <w:widowControl/>
              <w:spacing w:before="0" w:after="80"/>
            </w:pPr>
            <w:r>
              <w:t>3. Rate · nach Herstellung der Dachflächen und Dachrinnen, Ausführung der Rohinstallation der Heizungs-, Sanitär- und Elektroanlagen sowie Fenstereinbau einschließlich Verglasung · 18,9 %</w:t>
            </w:r>
          </w:p>
          <w:p>
            <w:pPr>
              <w:pStyle w:val="TableContents"/>
              <w:widowControl/>
              <w:spacing w:before="0" w:after="80"/>
            </w:pPr>
            <w:r>
              <w:t>4. Rate · nach Innenputz, Estrich und Fliesenarbeiten im Sanitärbereich · 9,1 %</w:t>
            </w:r>
          </w:p>
          <w:p>
            <w:pPr>
              <w:pStyle w:val="TableContents"/>
              <w:widowControl/>
              <w:spacing w:before="0" w:after="80"/>
            </w:pPr>
            <w:r>
              <w:t>5. Rate · nach Bezugsfertigkeit Zug um Zug gegen Besitzübergabe · 8,4 %</w:t>
            </w:r>
          </w:p>
          <w:p>
            <w:pPr>
              <w:pStyle w:val="TableContents"/>
              <w:widowControl/>
              <w:spacing w:before="0" w:after="80"/>
            </w:pPr>
            <w:r>
              <w:t>6. Rate · nach Fassadenarbeiten · 2,1 %</w:t>
            </w:r>
          </w:p>
          <w:p>
            <w:pPr>
              <w:pStyle w:val="TableContents"/>
              <w:widowControl/>
              <w:spacing w:before="0" w:after="80"/>
            </w:pPr>
            <w:r>
              <w:t>7. Rate · nach vollständiger Fertigstellung · 3,5 %</w:t>
            </w:r>
          </w:p>
        </w:tc>
        <w:tc>
          <w:tcPr>
            <w:tcW w:w="7620" w:type="dxa"/>
            <w:tcBorders/>
            <w:vAlign w:val="center"/>
          </w:tcPr>
          <w:p>
            <w:pPr>
              <w:pStyle w:val="TableContents"/>
              <w:widowControl/>
              <w:bidi w:val="0"/>
              <w:spacing w:before="0" w:after="0"/>
              <w:rPr/>
            </w:pPr>
            <w:r>
              <w:rPr>
                <w:rStyle w:val="Strong"/>
              </w:rPr>
              <w:t>3.2</w:t>
            </w:r>
            <w:r>
              <w:rPr/>
              <w:t xml:space="preserve"> The Buyer has to pay the Purchase Price according to the following installment plan, whereby the Seller will request the installments according to the actual construction process in seven instalments: </w:t>
            </w:r>
          </w:p>
          <w:p>
            <w:pPr>
              <w:pStyle w:val="TableContents"/>
              <w:widowControl/>
              <w:bidi w:val="0"/>
              <w:spacing w:before="0" w:after="283"/>
              <w:rPr/>
            </w:pPr>
            <w:r>
              <w:rPr/>
            </w:r>
          </w:p>
          <w:p>
            <w:pPr>
              <w:pStyle w:val="TableHeading"/>
              <w:widowControl/>
              <w:spacing w:before="0" w:after="80"/>
            </w:pPr>
            <w:r>
              <w:rPr>
                <w:b/>
              </w:rPr>
              <w:t>Instalment · Reference month · Share</w:t>
            </w:r>
          </w:p>
          <w:p>
            <w:pPr>
              <w:pStyle w:val="TableContents"/>
              <w:widowControl/>
              <w:spacing w:before="0" w:after="80"/>
            </w:pPr>
            <w:r>
              <w:t>1st instalment · after commencement of earthworks · 30.0 %</w:t>
            </w:r>
          </w:p>
          <w:p>
            <w:pPr>
              <w:pStyle w:val="TableContents"/>
              <w:widowControl/>
              <w:spacing w:before="0" w:after="80"/>
            </w:pPr>
            <w:r>
              <w:t>2nd instalment · after completion of the structural shell, including carpentry · 28.0 %</w:t>
            </w:r>
          </w:p>
          <w:p>
            <w:pPr>
              <w:pStyle w:val="TableContents"/>
              <w:widowControl/>
              <w:spacing w:before="0" w:after="80"/>
            </w:pPr>
            <w:r>
              <w:t>3rd instalment · after completion of roof surfaces and gutters, rough installation of heating, plumbing and electrical systems, and installation of windows including glazing · 18.9 %</w:t>
            </w:r>
          </w:p>
          <w:p>
            <w:pPr>
              <w:pStyle w:val="TableContents"/>
              <w:widowControl/>
              <w:spacing w:before="0" w:after="80"/>
            </w:pPr>
            <w:r>
              <w:t>4th instalment · after internal plastering, screed and tiling in sanitary areas · 9.1 %</w:t>
            </w:r>
          </w:p>
          <w:p>
            <w:pPr>
              <w:pStyle w:val="TableContents"/>
              <w:widowControl/>
              <w:spacing w:before="0" w:after="80"/>
            </w:pPr>
            <w:r>
              <w:t>5th instalment · after readiness for occupancy, concurrently with handover of possession · 8.4 %</w:t>
            </w:r>
          </w:p>
          <w:p>
            <w:pPr>
              <w:pStyle w:val="TableContents"/>
              <w:widowControl/>
              <w:spacing w:before="0" w:after="80"/>
            </w:pPr>
            <w:r>
              <w:t>6th instalment · after facade works · 2.1 %</w:t>
            </w:r>
          </w:p>
          <w:p>
            <w:pPr>
              <w:pStyle w:val="TableContents"/>
              <w:widowControl/>
              <w:spacing w:before="0" w:after="80"/>
            </w:pPr>
            <w:r>
              <w:t>7th instalment · after full completion · 3.5 %</w:t>
            </w:r>
          </w:p>
        </w:tc>
      </w:tr>
      <w:tr>
        <w:trPr>
          <w:cantSplit/>
        </w:trPr>
        <w:tc>
          <w:tcPr>
            <w:tcW w:w="7914" w:type="dxa"/>
            <w:tcBorders/>
            <w:vAlign w:val="center"/>
          </w:tcPr>
          <w:p>
            <w:pPr>
              <w:pStyle w:val="TableContents"/>
              <w:widowControl/>
              <w:bidi w:val="0"/>
              <w:spacing w:before="0" w:after="283"/>
              <w:rPr/>
            </w:pPr>
            <w:r>
              <w:rPr/>
              <w:t>Die Raten sind jeweils zur Zahlung fällig, wenn der Verkäufer den Käufer unter Vorlage einer Bestätigung des für Haus 4 eingesetzten Bauleiters, des Projektcontrollers „BQ-Controlling” oder eines mit der Objektüberwachung befassten Planungsbeteiligten über den erreichten Baufortschritt schriftlich zur Zahlung auffordert. Die Bestätigung darf sich auf den Bauabschnitt Haus 4, die Tiefgaragenspange Nord und die für die Einheit 4.27 relevanten Ausbaugewerke beziehen; eine bauteilgenaue Einzelaufstellung zu fremden Einheiten ist nicht geschuldet. Eine ergänzende Prüfung des Bautenstandes durch den Käufer oder eine von ihm beauftragte Person bleibt nach Maßgabe von § 8 möglich. Einwendungen gegen den bestätigten Bautenstand sind innerhalb von fünf Bankarbeitstagen nach Zugang der Zahlungsaufforderung unter Vorlage eines prüffähigen, auf den konkreten Ratenmeilenstein bezogenen Sachverständigenvermerks in Textform geltend zu machen.</w:t>
            </w:r>
          </w:p>
        </w:tc>
        <w:tc>
          <w:tcPr>
            <w:tcW w:w="7620" w:type="dxa"/>
            <w:tcBorders/>
            <w:vAlign w:val="center"/>
          </w:tcPr>
          <w:p>
            <w:pPr>
              <w:pStyle w:val="TableContents"/>
              <w:widowControl/>
              <w:bidi w:val="0"/>
              <w:spacing w:before="0" w:after="283"/>
              <w:rPr/>
            </w:pPr>
            <w:r>
              <w:rPr/>
              <w:t>Each instalment becomes due when the Seller requests payment from the Buyer in writing and provides confirmation of the construction progress achieved from the site manager appointed for building 4, the project controller “BQ-Controlling”, or a design consultant involved in site supervision. The confirmation may cover the building 4 construction phase, the northern underground-parking section and the fit-out trades relevant to unit 4.27; no component-by-component breakdown for other units is required. The Buyer or a person appointed by the Buyer may carry out an additional inspection of progress subject to § 8. Objections to the confirmed construction progress must be raised in text form within five banking days after receipt of the payment demand, accompanied by an expert's report capable of verification and relating to the particular instalment milestone.</w:t>
            </w:r>
          </w:p>
        </w:tc>
      </w:tr>
      <w:tr>
        <w:trPr>
          <w:cantSplit/>
        </w:trPr>
        <w:tc>
          <w:tcPr>
            <w:tcW w:w="7914" w:type="dxa"/>
            <w:tcBorders/>
            <w:vAlign w:val="center"/>
          </w:tcPr>
          <w:p>
            <w:pPr>
              <w:pStyle w:val="TableContents"/>
              <w:widowControl/>
              <w:bidi w:val="0"/>
              <w:spacing w:before="0" w:after="283"/>
              <w:rPr/>
            </w:pPr>
            <w:r>
              <w:rPr/>
              <w:t>Der Käufer kommt in Verzug, sobald der Verkäufer ihn nach Fälligkeit der Rate schriftlich unter Einhaltung einer Frist von 30 Kalendertagen per Einwurf-Einschreiben gemahnt hat und die Frist erfolglos verstrichen ist. Der Zugang einer bloßen Rechnung oder einer einfachen E-Mail begründet keinen Verzug.</w:t>
            </w:r>
          </w:p>
        </w:tc>
        <w:tc>
          <w:tcPr>
            <w:tcW w:w="7620" w:type="dxa"/>
            <w:tcBorders/>
            <w:vAlign w:val="center"/>
          </w:tcPr>
          <w:p>
            <w:pPr>
              <w:pStyle w:val="TableContents"/>
              <w:widowControl/>
              <w:bidi w:val="0"/>
              <w:spacing w:before="0" w:after="283"/>
              <w:rPr/>
            </w:pPr>
            <w:r>
              <w:rPr/>
              <w:t>The Buyer will be in default once, after the instalment has become due, the Seller has sent a written payment reminder by registered mail with proof of delivery to the letterbox, allowing 30 calendar days, and that period has expired without payment. Receipt of an invoice alone or an ordinary email does not place the Buyer in default.</w:t>
            </w:r>
          </w:p>
        </w:tc>
      </w:tr>
      <w:tr>
        <w:trPr>
          <w:cantSplit/>
        </w:trPr>
        <w:tc>
          <w:tcPr>
            <w:tcW w:w="7914" w:type="dxa"/>
            <w:tcBorders/>
            <w:vAlign w:val="center"/>
          </w:tcPr>
          <w:p>
            <w:pPr>
              <w:pStyle w:val="TableContents"/>
              <w:widowControl/>
              <w:bidi w:val="0"/>
              <w:spacing w:before="0" w:after="283"/>
              <w:rPr/>
            </w:pPr>
            <w:r>
              <w:rPr/>
              <w:t>Im Verzugsfall hat der Käufer diejenigen Umstände darzulegen und nachzuweisen, aus denen sich eine fehlende Verantwortlichkeit für die Nichtzahlung oder ein nicht vom Verkäufer zu vertretendes Ausbleiben der Zahlung ergeben soll. Der Verkäufer ist nach Eintritt eines länger als 45 Kalendertage andauernden Zahlungsverzuges berechtigt, den amtierenden Notar unter Vorlage einer Verzugsaufstellung und einer Rücktritts- oder Aufhebungsanzeige um Vollzug der in § 10 geregelten Vormerkungsfreigabe zu ersuchen.</w:t>
            </w:r>
          </w:p>
        </w:tc>
        <w:tc>
          <w:tcPr>
            <w:tcW w:w="7620" w:type="dxa"/>
            <w:tcBorders/>
            <w:vAlign w:val="center"/>
          </w:tcPr>
          <w:p>
            <w:pPr>
              <w:pStyle w:val="TableContents"/>
              <w:widowControl/>
              <w:bidi w:val="0"/>
              <w:spacing w:before="0" w:after="283"/>
              <w:rPr/>
            </w:pPr>
            <w:r>
              <w:rPr/>
              <w:t>In the event of payment default, the Buyer must set out and prove the circumstances said to show that the Buyer is not responsible for the non-payment or that the failure of payment is not attributable to the Seller. Once payment default has continued for more than 45 calendar days, the Seller may ask the acting Notary to implement the release of the priority notice provided for in § 10, submitting a statement of default and a notice of rescission or cancellation.</w:t>
            </w:r>
          </w:p>
        </w:tc>
      </w:tr>
      <w:tr>
        <w:trPr>
          <w:cantSplit/>
        </w:trPr>
        <w:tc>
          <w:tcPr>
            <w:tcW w:w="7914" w:type="dxa"/>
            <w:tcBorders/>
            <w:vAlign w:val="center"/>
          </w:tcPr>
          <w:p>
            <w:pPr>
              <w:pStyle w:val="TableContents"/>
              <w:keepNext/>
              <w:widowControl/>
              <w:bidi w:val="0"/>
              <w:spacing w:before="0" w:after="283"/>
              <w:rPr/>
            </w:pPr>
            <w:r>
              <w:rPr>
                <w:rStyle w:val="Strong"/>
              </w:rPr>
              <w:t>3.3</w:t>
            </w:r>
            <w:r>
              <w:rPr/>
              <w:t xml:space="preserve"> Sicherungsmechanik</w:t>
            </w:r>
          </w:p>
          <w:p>
            <w:pPr>
              <w:pStyle w:val="TableContents"/>
              <w:widowControl/>
              <w:bidi w:val="0"/>
              <w:spacing w:before="0" w:after="283"/>
              <w:rPr/>
            </w:pPr>
            <w:r>
              <w:rPr/>
              <w:t>Die Parteien gehen davon aus, dass die in dieser Urkunde vorgesehene Abwicklung über Auflassungsvormerkung für Blatt 18 442, die Lastenfreistellung der Pommersche Hypotheken-Bank AG, den siebenstufigen MaBV-Ratenplan und die Baufortschrittsbestätigung für Haus 4 die Interessen des Käufers wahrt. Eine gesonderte Vertragserfüllungssicherheit für die rechtzeitige Herstellung der Einheit 4.27 ohne wesentliche Mängel wird nicht vereinbart. Soweit zwingende gesetzliche Sicherungsrechte bestehen, bleiben diese unberührt; ihre praktische Abwicklung erfolgt im Rahmen der ersten für Haus 4 fälligen Rate nach Abstimmung mit dem Verkäufer und der globalfinanzierenden Bank.</w:t>
            </w:r>
          </w:p>
        </w:tc>
        <w:tc>
          <w:tcPr>
            <w:tcW w:w="7620" w:type="dxa"/>
            <w:tcBorders/>
            <w:vAlign w:val="center"/>
          </w:tcPr>
          <w:p>
            <w:pPr>
              <w:pStyle w:val="TableContents"/>
              <w:keepNext/>
              <w:widowControl/>
              <w:bidi w:val="0"/>
              <w:spacing w:before="0" w:after="283"/>
              <w:rPr/>
            </w:pPr>
            <w:r>
              <w:rPr>
                <w:rStyle w:val="Strong"/>
              </w:rPr>
              <w:t>3.3</w:t>
            </w:r>
            <w:r>
              <w:rPr/>
              <w:t xml:space="preserve"> Security arrangements</w:t>
            </w:r>
          </w:p>
          <w:p>
            <w:pPr>
              <w:pStyle w:val="TableContents"/>
              <w:widowControl/>
              <w:bidi w:val="0"/>
              <w:spacing w:before="0" w:after="283"/>
              <w:rPr/>
            </w:pPr>
            <w:r>
              <w:rPr/>
              <w:t>The parties assume that the arrangements in this deed—namely the priority notice securing conveyance for folio 18 442, release from encumbrances by Pommersche Hypotheken-Bank AG, the seven-instalment MaBV payment schedule and confirmation of construction progress for building 4—protect the Buyer's interests. No separate performance security for timely construction of unit 4.27 without material defects is agreed. Any mandatory statutory rights to security remain unaffected; their practical implementation will be arranged in connection with the first instalment due for building 4, in consultation with the Seller and the bank financing the overall project.</w:t>
            </w:r>
          </w:p>
        </w:tc>
      </w:tr>
      <w:tr>
        <w:trPr>
          <w:cantSplit/>
        </w:trPr>
        <w:tc>
          <w:tcPr>
            <w:tcW w:w="7914" w:type="dxa"/>
            <w:tcBorders/>
            <w:vAlign w:val="center"/>
          </w:tcPr>
          <w:p>
            <w:pPr>
              <w:pStyle w:val="TableContents"/>
              <w:widowControl/>
              <w:bidi w:val="0"/>
              <w:spacing w:before="0" w:after="283"/>
              <w:rPr/>
            </w:pPr>
            <w:r>
              <w:rPr>
                <w:rStyle w:val="Strong"/>
              </w:rPr>
              <w:t>3.4</w:t>
            </w:r>
            <w:r>
              <w:rPr/>
              <w:t xml:space="preserve"> Reservierungsentgelt. Die Parteien erklären, dass der Käufer vor der Beurkundung an den Verkäufer ein Reservierungsentgelt in Höhe von 22 000,00 EUR gezahlt hat. Das Entgelt betrifft nach Angabe des Verkäufers die zeitweise Herausnahme der Einheit aus dem Vertrieb, die Datenraumbereitstellung, Koordination der Finanzierungsunterlagen und projektbezogene Bearbeitung. Eine Verrechnung mit Kaufpreisraten erfolgt nur, wenn der Verkäufer dies bei Fälligstellung der ersten Rate ausdrücklich bestätigt.</w:t>
            </w:r>
          </w:p>
        </w:tc>
        <w:tc>
          <w:tcPr>
            <w:tcW w:w="7620" w:type="dxa"/>
            <w:tcBorders/>
            <w:vAlign w:val="center"/>
          </w:tcPr>
          <w:p>
            <w:pPr>
              <w:pStyle w:val="TableContents"/>
              <w:widowControl/>
              <w:bidi w:val="0"/>
              <w:spacing w:before="0" w:after="283"/>
              <w:rPr/>
            </w:pPr>
            <w:r>
              <w:rPr>
                <w:rStyle w:val="Strong"/>
              </w:rPr>
              <w:t>3.4</w:t>
            </w:r>
            <w:r>
              <w:rPr/>
              <w:t xml:space="preserve"> Reservation fee. The parties declare that, before notarisation, the Buyer paid the Seller a reservation fee of EUR 22,000.00. According to the Seller, the fee covers temporarily withdrawing the unit from sale, providing the data room, coordinating financing documents and project-related administrative work. It will be credited against Purchase Price instalments only if the Seller expressly confirms this when requesting the first instalment.</w:t>
            </w:r>
          </w:p>
        </w:tc>
      </w:tr>
      <w:tr>
        <w:trPr>
          <w:cantSplit/>
        </w:trPr>
        <w:tc>
          <w:tcPr>
            <w:tcW w:w="7914" w:type="dxa"/>
            <w:tcBorders/>
            <w:vAlign w:val="center"/>
          </w:tcPr>
          <w:p>
            <w:pPr>
              <w:pStyle w:val="TableContents"/>
              <w:widowControl/>
              <w:bidi w:val="0"/>
              <w:spacing w:before="0" w:after="283"/>
              <w:rPr/>
            </w:pPr>
            <w:r>
              <w:rPr>
                <w:rStyle w:val="Strong"/>
              </w:rPr>
              <w:t>3.5</w:t>
            </w:r>
            <w:r>
              <w:rPr/>
              <w:t xml:space="preserve"> Sonderwünsche. Sonderwünsche des Käufers außerhalb der Ausstattungslinie „Birkenpfuhl Komfort B4” — insbesondere abweichende Bodenbeläge, Sanitärserien, Duschabtrennungen, zusätzliche Elektropunkte, Medienanschlüsse, Küchenvorbereitungen, Änderungen an nichttragenden Innenwänden oder Sonderausstattung des Stellplatzes TG-127 — sind gesondert zu beauftragen und vor Beginn der jeweils betroffenen Bauleistung auf Grundlage des Nachtragsangebots vollständig zu zahlen. Die Vergütung für individuelle Beratungen im Bemusterungszentrum beträgt 180,00 EUR netto je angefangener Beratungsstunde ab der vierten Stunde. Die Parteien sind sich einig, dass Sonderwunschentgelte gesonderte Zusatzleistungen betreffen und nicht in den MaBV-Ratenplan einzustellen sind.</w:t>
            </w:r>
          </w:p>
        </w:tc>
        <w:tc>
          <w:tcPr>
            <w:tcW w:w="7620" w:type="dxa"/>
            <w:tcBorders/>
            <w:vAlign w:val="center"/>
          </w:tcPr>
          <w:p>
            <w:pPr>
              <w:pStyle w:val="TableContents"/>
              <w:widowControl/>
              <w:bidi w:val="0"/>
              <w:spacing w:before="0" w:after="283"/>
              <w:rPr/>
            </w:pPr>
            <w:r>
              <w:rPr>
                <w:rStyle w:val="Strong"/>
              </w:rPr>
              <w:t>3.5</w:t>
            </w:r>
            <w:r>
              <w:rPr/>
              <w:t xml:space="preserve"> Special requests. The Buyer's special requests outside the “Birkenpfuhl Komfort B4” range—in particular different flooring, sanitary-fitting ranges, shower screens, additional electrical outlets, communications connections, kitchen service preparations, alterations to non-load-bearing internal walls or special equipment for parking space TG-127—must be ordered separately and paid in full on the basis of the supplementary offer before the relevant construction work begins. Individual consultations at the selection centre are charged at EUR 180.00 net for each commenced consultation hour from the fourth hour onwards. The parties agree that charges for special requests concern separate additional services and are not to be included in the MaBV instalment schedule.</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17" w:name="belastungsvollmacht-kaufpreisfinanzierun"/>
            <w:bookmarkEnd w:id="17"/>
            <w:r>
              <w:rPr/>
              <w:t>§ 4 Belastungsvollmacht, Kaufpreisfinanzierung</w:t>
            </w:r>
          </w:p>
          <w:p>
            <w:pPr>
              <w:pStyle w:val="TableContents"/>
              <w:widowControl/>
              <w:bidi w:val="0"/>
              <w:spacing w:before="0" w:after="283"/>
              <w:rPr/>
            </w:pPr>
            <w:r>
              <w:rPr>
                <w:rStyle w:val="Strong"/>
              </w:rPr>
              <w:t>4.1</w:t>
            </w:r>
            <w:r>
              <w:rPr/>
              <w:t xml:space="preserve"> Der Verkäufer bevollmächtigt und ermächtigt hiermit den Käufer, mit der Befugnis zur Erteilung von Untervollmachten, an dem Kaufgegenstand Grundpfandrechte zugunsten von Banken, Sparkassen oder sonstigen Kreditgebern zu bestellen und in das Grundbuch eintragen zu lassen.</w:t>
            </w:r>
          </w:p>
        </w:tc>
        <w:tc>
          <w:tcPr>
            <w:tcW w:w="7620" w:type="dxa"/>
            <w:tcBorders/>
            <w:vAlign w:val="center"/>
          </w:tcPr>
          <w:p>
            <w:pPr>
              <w:pStyle w:val="Heading1"/>
              <w:keepNext/>
              <w:widowControl/>
              <w:pBdr/>
              <w:bidi w:val="0"/>
              <w:spacing w:before="240" w:after="283"/>
              <w:rPr/>
            </w:pPr>
            <w:r>
              <w:rPr/>
              <w:t>§ 4 Power to Encumber the Property; Purchase Price Financing</w:t>
            </w:r>
          </w:p>
          <w:p>
            <w:pPr>
              <w:pStyle w:val="TableContents"/>
              <w:widowControl/>
              <w:bidi w:val="0"/>
              <w:spacing w:before="0" w:after="283"/>
              <w:rPr/>
            </w:pPr>
            <w:r>
              <w:rPr>
                <w:rStyle w:val="Strong"/>
              </w:rPr>
              <w:t>4.1</w:t>
            </w:r>
            <w:r>
              <w:rPr/>
              <w:t xml:space="preserve"> The Seller hereby authorises and empowers the Buyer, with authority to appoint substitutes, to create mortgages or land charges over the Purchased Property in favour of banks, savings banks or other lenders and to have them entered in the Land Register.</w:t>
            </w:r>
          </w:p>
        </w:tc>
      </w:tr>
      <w:tr>
        <w:trPr>
          <w:cantSplit/>
        </w:trPr>
        <w:tc>
          <w:tcPr>
            <w:tcW w:w="7914" w:type="dxa"/>
            <w:tcBorders/>
            <w:vAlign w:val="center"/>
          </w:tcPr>
          <w:p>
            <w:pPr>
              <w:pStyle w:val="TableContents"/>
              <w:widowControl/>
              <w:bidi w:val="0"/>
              <w:spacing w:before="0" w:after="283"/>
              <w:rPr/>
            </w:pPr>
            <w:r>
              <w:rPr>
                <w:rStyle w:val="Strong"/>
              </w:rPr>
              <w:t>4.2</w:t>
            </w:r>
            <w:r>
              <w:rPr/>
              <w:t xml:space="preserve"> Eine persönliche Haftung des Käufers darf dabei bis zu einem Grundschuldbetrag von 1 050 000,00 EUR nebst bis zu 18 % Jahreszinsen und 10 % einmaliger Nebenleistung begründet werden, wenn die finanzierende Bank dies nach ihren Beleihungs- und Auszahlungsvorgaben verlangt. Die Beteiligten gehen davon aus, dass die persönliche Haftungsübernahme der Finanzierung der Wohnung 4.27, des Kellerabteils K-4.27, der Terrasse T-4.27 und des Stellplatzes TG-127 dient.</w:t>
            </w:r>
          </w:p>
        </w:tc>
        <w:tc>
          <w:tcPr>
            <w:tcW w:w="7620" w:type="dxa"/>
            <w:tcBorders/>
            <w:vAlign w:val="center"/>
          </w:tcPr>
          <w:p>
            <w:pPr>
              <w:pStyle w:val="TableContents"/>
              <w:widowControl/>
              <w:bidi w:val="0"/>
              <w:spacing w:before="0" w:after="283"/>
              <w:rPr/>
            </w:pPr>
            <w:r>
              <w:rPr>
                <w:rStyle w:val="Strong"/>
              </w:rPr>
              <w:t>4.2</w:t>
            </w:r>
            <w:r>
              <w:rPr/>
              <w:t xml:space="preserve"> The Buyer may assume personal liability up to a land-charge principal of EUR 1,050,000.00, plus up to 18 % annual interest and a one-off ancillary amount of 10 %, if required by the financing bank under its lending and disbursement conditions. The parties assume that this personal undertaking serves to finance apartment 4.27, cellar compartment K-4.27, terrace T-4.27 and parking space TG-127.</w:t>
            </w:r>
          </w:p>
        </w:tc>
      </w:tr>
      <w:tr>
        <w:trPr>
          <w:cantSplit/>
        </w:trPr>
        <w:tc>
          <w:tcPr>
            <w:tcW w:w="7914" w:type="dxa"/>
            <w:tcBorders/>
            <w:vAlign w:val="center"/>
          </w:tcPr>
          <w:p>
            <w:pPr>
              <w:pStyle w:val="TableContents"/>
              <w:widowControl/>
              <w:bidi w:val="0"/>
              <w:spacing w:before="0" w:after="283"/>
              <w:rPr/>
            </w:pPr>
            <w:r>
              <w:rPr>
                <w:rStyle w:val="Strong"/>
              </w:rPr>
              <w:t>4.3</w:t>
            </w:r>
            <w:r>
              <w:rPr/>
              <w:t xml:space="preserve"> Die Grundpfandrechte können einschließlich Zinsen, Nebenleistungen, sofortiger Zwangsvollstreckungsunterwerfung in das belastete Wohnungseigentum und persönlicher Zwangsvollstreckungsunterwerfung des Käufers bestellt werden. Eine interne Begrenzung auf den Finanzierungszweck bleibt dem Käufer und seiner Bank vorbehalten. Der Käufer trägt sämtliche mit Bestellung, Rangbeschaffung hinter der Globalgrundschuld, Treuhandabwicklung und Löschung verbundenen Kosten.</w:t>
            </w:r>
          </w:p>
        </w:tc>
        <w:tc>
          <w:tcPr>
            <w:tcW w:w="7620" w:type="dxa"/>
            <w:tcBorders/>
            <w:vAlign w:val="center"/>
          </w:tcPr>
          <w:p>
            <w:pPr>
              <w:pStyle w:val="TableContents"/>
              <w:widowControl/>
              <w:bidi w:val="0"/>
              <w:spacing w:before="0" w:after="283"/>
              <w:rPr/>
            </w:pPr>
            <w:r>
              <w:rPr>
                <w:rStyle w:val="Strong"/>
              </w:rPr>
              <w:t>4.3</w:t>
            </w:r>
            <w:r>
              <w:rPr/>
              <w:t xml:space="preserve"> The mortgages or land charges may include interest, ancillary amounts, submission to immediate enforcement against the encumbered condominium property and the Buyer's personal submission to immediate enforcement. Any restriction, as between the Buyer and the bank, to the financing purpose is left to them to agree. The Buyer bears all costs of creating the security, obtaining its ranking behind the project-wide land charge, implementing trust arrangements and deleting the security.</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18" w:name="baupflicht-baubeschreibung"/>
            <w:bookmarkEnd w:id="18"/>
            <w:r>
              <w:rPr/>
              <w:t>§ 5 Baupflicht, Baubeschreibung</w:t>
            </w:r>
          </w:p>
          <w:p>
            <w:pPr>
              <w:pStyle w:val="TableContents"/>
              <w:widowControl/>
              <w:bidi w:val="0"/>
              <w:spacing w:before="0" w:after="283"/>
              <w:rPr/>
            </w:pPr>
            <w:r>
              <w:rPr>
                <w:rStyle w:val="Strong"/>
              </w:rPr>
              <w:t>5.1</w:t>
            </w:r>
            <w:r>
              <w:rPr/>
              <w:t xml:space="preserve"> Der Verkäufer verpflichtet sich, den Kaufgegenstand nach Maßgabe der Baubeschreibung in der Fassung Februar 2026, Version 7.2, der Bezugsurkunden und der diesem Vertrag zugrunde liegenden Pläne herzustellen.</w:t>
            </w:r>
          </w:p>
        </w:tc>
        <w:tc>
          <w:tcPr>
            <w:tcW w:w="7620" w:type="dxa"/>
            <w:tcBorders/>
            <w:vAlign w:val="center"/>
          </w:tcPr>
          <w:p>
            <w:pPr>
              <w:pStyle w:val="Heading1"/>
              <w:keepNext/>
              <w:widowControl/>
              <w:bidi w:val="0"/>
              <w:spacing w:before="240" w:after="283"/>
              <w:ind w:hanging="0" w:start="0" w:end="0"/>
              <w:rPr/>
            </w:pPr>
            <w:bookmarkStart w:id="19" w:name="construction-obligation-building-specifi"/>
            <w:bookmarkEnd w:id="19"/>
            <w:r>
              <w:rPr/>
              <w:t xml:space="preserve">§ 5 Construction obligation, Building Specification </w:t>
            </w:r>
          </w:p>
          <w:p>
            <w:pPr>
              <w:pStyle w:val="TableContents"/>
              <w:widowControl/>
              <w:bidi w:val="0"/>
              <w:spacing w:before="0" w:after="283"/>
              <w:rPr/>
            </w:pPr>
            <w:r>
              <w:rPr>
                <w:rStyle w:val="Strong"/>
              </w:rPr>
              <w:t>5.1</w:t>
            </w:r>
            <w:r>
              <w:rPr/>
              <w:t xml:space="preserve"> The Seller undertakes to produce the Purchased Property in accordance with the specification in the version February 2026, version 7.2, the referenced deeds and the plans underlying this contract. </w:t>
            </w:r>
          </w:p>
        </w:tc>
      </w:tr>
      <w:tr>
        <w:trPr>
          <w:cantSplit/>
        </w:trPr>
        <w:tc>
          <w:tcPr>
            <w:tcW w:w="7914" w:type="dxa"/>
            <w:tcBorders/>
            <w:vAlign w:val="center"/>
          </w:tcPr>
          <w:p>
            <w:pPr>
              <w:pStyle w:val="TableContents"/>
              <w:keepNext/>
              <w:widowControl/>
              <w:bidi w:val="0"/>
              <w:spacing w:before="0" w:after="283"/>
              <w:rPr/>
            </w:pPr>
            <w:r>
              <w:rPr>
                <w:rStyle w:val="Strong"/>
              </w:rPr>
              <w:t>5.2</w:t>
            </w:r>
            <w:r>
              <w:rPr/>
              <w:t xml:space="preserve"> Planung, Projektsteuerung und Objektüberwachung</w:t>
            </w:r>
          </w:p>
          <w:p>
            <w:pPr>
              <w:pStyle w:val="TableContents"/>
              <w:widowControl/>
              <w:bidi w:val="0"/>
              <w:spacing w:before="0" w:after="283"/>
              <w:rPr/>
            </w:pPr>
            <w:r>
              <w:rPr/>
              <w:t>Der Verkäufer organisiert Planung, Fachplanung, Projektsteuerung und Objektüberwachung des Bauvorhabens in eigener Verantwortung. Für Haus 4 sind nach Angaben des Verkäufers die Objektplanung, die TGA-Planung Heizung/Lüftung/Sanitär/Elektro, die Tragwerksplanung, die Freianlagenplanung und die brandschutztechnische Begleitung jeweils projektbezogen beauftragt; die Einzelheiten der Beauftragung, Leistungsphasen, Honorierung und Berichtspflichten bleiben dem Innenverhältnis des Verkäufers vorbehalten. Soweit für das Bauvorhaben Leistungen erbracht werden, die ihrer Art nach Leistungsphasen der Honorarordnung für Architekten und Ingenieure entsprechen, dienen diese Leistungen ausschließlich dem Verhältnis des Verkäufers zu seinen Planern und Fachplanern. Aus der Beauftragung oder Nichtbeauftragung einzelner Leistungsphasen, insbesondere der Ausführungsplanung, der Mitwirkung bei der Vergabe, der Objektüberwachung oder der Objektbetreuung, werden keine eigenen Rechte des Käufers gegen Planer, Fachplaner, Projektsteuerer, Bauleiter oder sonstige Baubeteiligte begründet.</w:t>
            </w:r>
          </w:p>
        </w:tc>
        <w:tc>
          <w:tcPr>
            <w:tcW w:w="7620" w:type="dxa"/>
            <w:tcBorders/>
            <w:vAlign w:val="center"/>
          </w:tcPr>
          <w:p>
            <w:pPr>
              <w:pStyle w:val="TableContents"/>
              <w:keepNext/>
              <w:widowControl/>
              <w:bidi w:val="0"/>
              <w:spacing w:before="0" w:after="283"/>
              <w:rPr/>
            </w:pPr>
            <w:r>
              <w:rPr>
                <w:rStyle w:val="Strong"/>
              </w:rPr>
              <w:t>5.2</w:t>
            </w:r>
            <w:r>
              <w:rPr/>
              <w:t xml:space="preserve"> Planning, project management and site supervision </w:t>
            </w:r>
          </w:p>
          <w:p>
            <w:pPr>
              <w:pStyle w:val="TableContents"/>
              <w:widowControl/>
              <w:bidi w:val="0"/>
              <w:spacing w:before="0" w:after="283"/>
              <w:rPr/>
            </w:pPr>
            <w:r>
              <w:rPr/>
              <w:t>The Seller is responsible for organising the design, specialist design, project management and site supervision of the development. According to the Seller, building design, heating/ventilation/plumbing/electrical services design, structural design, landscape design and fire-protection consultancy for building 4 have each been commissioned for the project; details of the appointments, service phases, fees and reporting duties are confined to the Seller's internal contractual relationships. Insofar as services correspond by their nature to service phases under the German fee regulations for architects and engineers, those services concern solely the relationship between the Seller and its designers and specialist designers. The commissioning or non-commissioning of individual service phases, particularly detailed design, assistance with awarding contracts, site supervision or post-completion services, creates no independent rights for the Buyer against designers, specialist designers, project managers, site managers or other project participants.</w:t>
            </w:r>
          </w:p>
        </w:tc>
      </w:tr>
      <w:tr>
        <w:trPr>
          <w:cantSplit/>
        </w:trPr>
        <w:tc>
          <w:tcPr>
            <w:tcW w:w="7914" w:type="dxa"/>
            <w:tcBorders/>
            <w:vAlign w:val="center"/>
          </w:tcPr>
          <w:p>
            <w:pPr>
              <w:pStyle w:val="TableContents"/>
              <w:widowControl/>
              <w:bidi w:val="0"/>
              <w:spacing w:before="0" w:after="283"/>
              <w:rPr/>
            </w:pPr>
            <w:r>
              <w:rPr/>
              <w:t>Die laufenden Berichte der Objektüberwachung, Bautagebücher, Prüfvermerke, Mängellisten, Kostenberichte und Terminfortschreibungen sind interne Arbeitsunterlagen des Verkäufers. Der Käufer erhält hieraus Auszüge nur, soweit sie nach zwingendem Recht zur Finanzierung, Förderung, öffentlich-rechtlichen Nachweisführung oder Abnahme erforderlich sind oder der Verkäufer dies aus Gründen einer geordneten Projektkommunikation für zweckmäßig hält. Der Käufer erkennt an, dass die technische Qualitätssicherung des Verkäufers im Interesse einer einheitlichen Projektdurchführung zentralisiert erfolgt und nicht durch Einzelweisungen einzelner Erwerber ersetzt werden kann.</w:t>
            </w:r>
          </w:p>
        </w:tc>
        <w:tc>
          <w:tcPr>
            <w:tcW w:w="7620" w:type="dxa"/>
            <w:tcBorders/>
            <w:vAlign w:val="center"/>
          </w:tcPr>
          <w:p>
            <w:pPr>
              <w:pStyle w:val="TableContents"/>
              <w:widowControl/>
              <w:bidi w:val="0"/>
              <w:spacing w:before="0" w:after="283"/>
              <w:rPr/>
            </w:pPr>
            <w:r>
              <w:rPr/>
              <w:t>Ongoing site-supervision reports, site diaries, inspection records, defect lists, cost reports and schedule updates are the Seller's internal working documents. The Buyer will receive extracts only insofar as mandatory law requires them for financing, funding, demonstrating compliance with public-law requirements or acceptance, or the Seller considers disclosure appropriate for orderly project communication. The Buyer acknowledges that the Seller's technical quality assurance is centralised in the interests of coordinated project delivery and cannot be replaced by separate instructions from individual purchasers.</w:t>
            </w:r>
          </w:p>
        </w:tc>
      </w:tr>
      <w:tr>
        <w:trPr>
          <w:cantSplit/>
        </w:trPr>
        <w:tc>
          <w:tcPr>
            <w:tcW w:w="7914" w:type="dxa"/>
            <w:tcBorders/>
            <w:vAlign w:val="center"/>
          </w:tcPr>
          <w:p>
            <w:pPr>
              <w:pStyle w:val="TableContents"/>
              <w:widowControl/>
              <w:bidi w:val="0"/>
              <w:spacing w:before="0" w:after="283"/>
              <w:rPr/>
            </w:pPr>
            <w:r>
              <w:rPr>
                <w:rStyle w:val="Strong"/>
              </w:rPr>
              <w:t>5.3</w:t>
            </w:r>
            <w:r>
              <w:rPr/>
              <w:t xml:space="preserve"> Soweit die Baubeschreibung Wahlmöglichkeiten bei Material, Farbe oder Form vorsieht, erhält der Käufer im Rahmen einer Bemusterung die Möglichkeit, sofern der Baufortschritt es noch zulässt, eine entsprechende Auswahl zu treffen.</w:t>
            </w:r>
          </w:p>
        </w:tc>
        <w:tc>
          <w:tcPr>
            <w:tcW w:w="7620" w:type="dxa"/>
            <w:tcBorders/>
            <w:vAlign w:val="center"/>
          </w:tcPr>
          <w:p>
            <w:pPr>
              <w:pStyle w:val="TableContents"/>
              <w:widowControl/>
              <w:bidi w:val="0"/>
              <w:spacing w:before="0" w:after="283"/>
              <w:rPr/>
            </w:pPr>
            <w:r>
              <w:rPr>
                <w:rStyle w:val="Strong"/>
              </w:rPr>
              <w:t>5.3</w:t>
            </w:r>
            <w:r>
              <w:rPr/>
              <w:t xml:space="preserve"> Insofar as the Building Specification provides for choices in terms of material, colour or shape, the Buyer is given the opportunity to make a corresponding selection within the selection process, provided the construction progress still allows. </w:t>
            </w:r>
          </w:p>
        </w:tc>
      </w:tr>
      <w:tr>
        <w:trPr>
          <w:cantSplit/>
        </w:trPr>
        <w:tc>
          <w:tcPr>
            <w:tcW w:w="7914" w:type="dxa"/>
            <w:tcBorders/>
            <w:vAlign w:val="center"/>
          </w:tcPr>
          <w:p>
            <w:pPr>
              <w:pStyle w:val="TableContents"/>
              <w:widowControl/>
              <w:bidi w:val="0"/>
              <w:spacing w:before="0" w:after="283"/>
              <w:rPr/>
            </w:pPr>
            <w:r>
              <w:rPr/>
              <w:t>Die Bemusterung erfolgt im Bemusterungszentrum „Birkenpfuhl Auswahlwelt”, Tempelhofer Weg 41, 10829 Berlin, Raum B4. Im Kaufpreis enthalten sind drei Beratungsstunden für Boden, Fliesen, Sanitär, Türen, Elektro-Mehrpunkte und Oberflächen der Einheit 4.27. Darüber hinausgehender Beratungsaufwand des Verkäufers ist durch den Käufer mit einem Stundensatz von 180,00 EUR netto zu vergüten.</w:t>
            </w:r>
          </w:p>
        </w:tc>
        <w:tc>
          <w:tcPr>
            <w:tcW w:w="7620" w:type="dxa"/>
            <w:tcBorders/>
            <w:vAlign w:val="center"/>
          </w:tcPr>
          <w:p>
            <w:pPr>
              <w:pStyle w:val="TableContents"/>
              <w:widowControl/>
              <w:bidi w:val="0"/>
              <w:spacing w:before="0" w:after="283"/>
              <w:rPr/>
            </w:pPr>
            <w:r>
              <w:rPr/>
              <w:t>The selection of finishes takes place at the “Birkenpfuhl Auswahlwelt” selection centre, Tempelhofer Weg 41, 10829 Berlin, room B4. The Purchase Price includes three hours of consultation on flooring, tiles, sanitary fittings, doors, additional electrical outlets and finishes for unit 4.27. The Buyer must pay for any additional consultation provided by the Seller at EUR 180.00 net per hour.</w:t>
            </w:r>
          </w:p>
        </w:tc>
      </w:tr>
      <w:tr>
        <w:trPr>
          <w:cantSplit/>
        </w:trPr>
        <w:tc>
          <w:tcPr>
            <w:tcW w:w="7914" w:type="dxa"/>
            <w:tcBorders/>
            <w:vAlign w:val="center"/>
          </w:tcPr>
          <w:p>
            <w:pPr>
              <w:pStyle w:val="TableContents"/>
              <w:widowControl/>
              <w:bidi w:val="0"/>
              <w:spacing w:before="0" w:after="283"/>
              <w:rPr/>
            </w:pPr>
            <w:r>
              <w:rPr/>
              <w:t>Die Bemusterung hat spätestens vier Wochen nach Aufforderung des Verkäufers stattzufinden. Reagiert der Käufer auf die Aufforderung nicht oder nicht rechtzeitig, wählt der Verkäufer für die Einheit 4.27 aus der Ausstattungslinie „Birkenpfuhl Komfort B4” diejenigen Boden-, Fliesen-, Sanitär-, Tür- und Beschlagsvarianten aus, die mit der laufenden Bestellung für Haus 4 gebündelt werden können; ein Anspruch auf nachträgliche Änderung besteht nicht.</w:t>
            </w:r>
          </w:p>
        </w:tc>
        <w:tc>
          <w:tcPr>
            <w:tcW w:w="7620" w:type="dxa"/>
            <w:tcBorders/>
            <w:vAlign w:val="center"/>
          </w:tcPr>
          <w:p>
            <w:pPr>
              <w:pStyle w:val="TableContents"/>
              <w:widowControl/>
              <w:bidi w:val="0"/>
              <w:spacing w:before="0" w:after="283"/>
              <w:rPr/>
            </w:pPr>
            <w:r>
              <w:rPr/>
              <w:t>The selection appointment must take place no later than four weeks after the Seller's request. If the Buyer fails to respond, or does not respond in time, the Seller will select flooring, tile, sanitary-fitting, door and hardware options for unit 4.27 from the “Birkenpfuhl Komfort B4” range that can be combined with the current order for building 4; there is no entitlement to a subsequent change.</w:t>
            </w:r>
          </w:p>
        </w:tc>
      </w:tr>
      <w:tr>
        <w:trPr>
          <w:cantSplit/>
        </w:trPr>
        <w:tc>
          <w:tcPr>
            <w:tcW w:w="7914" w:type="dxa"/>
            <w:tcBorders/>
            <w:vAlign w:val="center"/>
          </w:tcPr>
          <w:p>
            <w:pPr>
              <w:pStyle w:val="TableContents"/>
              <w:widowControl/>
              <w:bidi w:val="0"/>
              <w:spacing w:before="0" w:after="283"/>
              <w:rPr/>
            </w:pPr>
            <w:r>
              <w:rPr>
                <w:rStyle w:val="Strong"/>
              </w:rPr>
              <w:t>5.4</w:t>
            </w:r>
            <w:r>
              <w:rPr/>
              <w:t xml:space="preserve"> Auf eine von den Bauplänen, der Baubeschreibung und dem Kaufvertrag abweichende Ausführung und Ausstattung des Vertragsgegenstandes hat der Käufer keinen Anspruch. Visualisierungen, Renderings, Vertriebsbroschüren, die Show-Wohnung sowie sonstige Verkaufsunterlagen sind ausdrücklich nicht Bestandteil dieses Vertrages und begründen keine Beschaffenheitsvereinbarung.</w:t>
            </w:r>
          </w:p>
        </w:tc>
        <w:tc>
          <w:tcPr>
            <w:tcW w:w="7620" w:type="dxa"/>
            <w:tcBorders/>
            <w:vAlign w:val="center"/>
          </w:tcPr>
          <w:p>
            <w:pPr>
              <w:pStyle w:val="TableContents"/>
              <w:widowControl/>
              <w:bidi w:val="0"/>
              <w:spacing w:before="0" w:after="283"/>
              <w:rPr/>
            </w:pPr>
            <w:r>
              <w:rPr>
                <w:rStyle w:val="Strong"/>
              </w:rPr>
              <w:t>5.4</w:t>
            </w:r>
            <w:r>
              <w:rPr/>
              <w:t xml:space="preserve"> The Buyer has no entitlement to construction or fittings that differ from the building plans, the Building Specification and the purchase contract. Visualisations, renderings, sales brochures, the show apartment and other sales materials are expressly excluded from this contract and do not establish an agreement on quality or characteristics.</w:t>
            </w:r>
          </w:p>
        </w:tc>
      </w:tr>
      <w:tr>
        <w:trPr>
          <w:cantSplit/>
        </w:trPr>
        <w:tc>
          <w:tcPr>
            <w:tcW w:w="7914" w:type="dxa"/>
            <w:tcBorders/>
            <w:vAlign w:val="center"/>
          </w:tcPr>
          <w:p>
            <w:pPr>
              <w:pStyle w:val="TableContents"/>
              <w:widowControl/>
              <w:bidi w:val="0"/>
              <w:spacing w:before="0" w:after="283"/>
              <w:rPr/>
            </w:pPr>
            <w:r>
              <w:rPr>
                <w:rStyle w:val="Strong"/>
              </w:rPr>
              <w:t>5.5</w:t>
            </w:r>
            <w:r>
              <w:rPr/>
              <w:t xml:space="preserve"> Soweit die Baubeschreibung für Haus 4, Wohnung 4.27 oder TG-127 keine oder unbestimmte Angaben hinsichtlich notwendiger Leistungen enthält, ist der Verkäufer gemäß § 315 BGB zur Leistungsbestimmung berechtigt. Maßgeblich ist die Einordnung der Einheit in die Ausstattungslinie „Birkenpfuhl Komfort B4”, wobei die Schacht- und Fassadenlogik von Haus 4, die gebündelten Bestellungen für die Gewerke Boden/Fliese/Sanitär/Tür, die Wartbarkeit der TGA-Komponenten und das einheitliche Erscheinungsbild des Quartiers zu berücksichtigen sind.</w:t>
            </w:r>
          </w:p>
        </w:tc>
        <w:tc>
          <w:tcPr>
            <w:tcW w:w="7620" w:type="dxa"/>
            <w:tcBorders/>
            <w:vAlign w:val="center"/>
          </w:tcPr>
          <w:p>
            <w:pPr>
              <w:pStyle w:val="TableContents"/>
              <w:widowControl/>
              <w:bidi w:val="0"/>
              <w:spacing w:before="0" w:after="283"/>
              <w:rPr/>
            </w:pPr>
            <w:r>
              <w:rPr>
                <w:rStyle w:val="Strong"/>
              </w:rPr>
              <w:t>5.5</w:t>
            </w:r>
            <w:r>
              <w:rPr/>
              <w:t xml:space="preserve"> Where the Building Specification for building 4, apartment 4.27 or TG-127 omits or leaves unspecified details of necessary works, the Seller is entitled to determine the required performance pursuant to § 315 BGB. The unit's classification within the “Birkenpfuhl Komfort B4” range is decisive, taking account of the arrangement of shafts and facades in building 4, combined orders for flooring/tiles/sanitary fittings/doors, maintainability of the building-services components and the development's uniform appearance.</w:t>
            </w:r>
          </w:p>
        </w:tc>
      </w:tr>
      <w:tr>
        <w:trPr>
          <w:cantSplit/>
        </w:trPr>
        <w:tc>
          <w:tcPr>
            <w:tcW w:w="7914" w:type="dxa"/>
            <w:tcBorders/>
            <w:vAlign w:val="center"/>
          </w:tcPr>
          <w:p>
            <w:pPr>
              <w:pStyle w:val="TableContents"/>
              <w:widowControl/>
              <w:bidi w:val="0"/>
              <w:spacing w:before="0" w:after="283"/>
              <w:rPr/>
            </w:pPr>
            <w:r>
              <w:rPr>
                <w:rStyle w:val="Strong"/>
              </w:rPr>
              <w:t>5.6</w:t>
            </w:r>
            <w:r>
              <w:rPr/>
              <w:t xml:space="preserve"> Der Verkäufer hat die Leistungen nach den anerkannten Regeln der Technik </w:t>
            </w:r>
            <w:r>
              <w:rPr>
                <w:rStyle w:val="Strong"/>
              </w:rPr>
              <w:t>zum Tag der Erteilung der Baugenehmigung</w:t>
            </w:r>
            <w:r>
              <w:rPr/>
              <w:t xml:space="preserve"> zu errichten. Spätere Änderungen der anerkannten Regeln der Technik wirken sich auf die geschuldete Leistung nicht aus.</w:t>
            </w:r>
          </w:p>
        </w:tc>
        <w:tc>
          <w:tcPr>
            <w:tcW w:w="7620" w:type="dxa"/>
            <w:tcBorders/>
            <w:vAlign w:val="center"/>
          </w:tcPr>
          <w:p>
            <w:pPr>
              <w:pStyle w:val="TableContents"/>
              <w:widowControl/>
              <w:bidi w:val="0"/>
              <w:spacing w:before="0" w:after="283"/>
              <w:rPr/>
            </w:pPr>
            <w:r>
              <w:rPr>
                <w:rStyle w:val="Strong"/>
              </w:rPr>
              <w:t>5.6</w:t>
            </w:r>
            <w:r>
              <w:rPr/>
              <w:t xml:space="preserve"> The Seller must carry out the works in accordance with the generally accepted technical rules </w:t>
            </w:r>
            <w:r>
              <w:rPr>
                <w:rStyle w:val="Strong"/>
              </w:rPr>
              <w:t>as at the date the building permit is granted</w:t>
            </w:r>
            <w:r>
              <w:rPr/>
              <w:t>. Subsequent changes to those rules do not affect the performance owed.</w:t>
            </w:r>
          </w:p>
        </w:tc>
      </w:tr>
      <w:tr>
        <w:trPr>
          <w:cantSplit/>
        </w:trPr>
        <w:tc>
          <w:tcPr>
            <w:tcW w:w="7914" w:type="dxa"/>
            <w:tcBorders/>
            <w:vAlign w:val="center"/>
          </w:tcPr>
          <w:p>
            <w:pPr>
              <w:pStyle w:val="TableContents"/>
              <w:widowControl/>
              <w:bidi w:val="0"/>
              <w:spacing w:before="0" w:after="283"/>
              <w:rPr/>
            </w:pPr>
            <w:r>
              <w:rPr>
                <w:rStyle w:val="Strong"/>
              </w:rPr>
              <w:t>5.7</w:t>
            </w:r>
            <w:r>
              <w:rPr/>
              <w:t xml:space="preserve"> Änderungen in Planung und Ausführung durch den Verkäufer sind zulässig, wenn sie aufgrund behördlicher Vorgaben oder Auflagen, Gesetzesänderungen, statischer Notwendigkeit, Bauablauf-Erfordernissen oder sonstigen Rechtsgründen erforderlich sind.</w:t>
            </w:r>
          </w:p>
        </w:tc>
        <w:tc>
          <w:tcPr>
            <w:tcW w:w="7620" w:type="dxa"/>
            <w:tcBorders/>
            <w:vAlign w:val="center"/>
          </w:tcPr>
          <w:p>
            <w:pPr>
              <w:pStyle w:val="TableContents"/>
              <w:widowControl/>
              <w:bidi w:val="0"/>
              <w:spacing w:before="0" w:after="283"/>
              <w:rPr/>
            </w:pPr>
            <w:r>
              <w:rPr>
                <w:rStyle w:val="Strong"/>
              </w:rPr>
              <w:t>5.7</w:t>
            </w:r>
            <w:r>
              <w:rPr/>
              <w:t xml:space="preserve"> Changes to design and construction by the Seller are permissible if required because of official directions or conditions, legislative changes, structural necessity, construction-sequencing requirements or other legal grounds.</w:t>
            </w:r>
          </w:p>
        </w:tc>
      </w:tr>
      <w:tr>
        <w:trPr>
          <w:cantSplit/>
        </w:trPr>
        <w:tc>
          <w:tcPr>
            <w:tcW w:w="7914" w:type="dxa"/>
            <w:tcBorders/>
            <w:vAlign w:val="center"/>
          </w:tcPr>
          <w:p>
            <w:pPr>
              <w:pStyle w:val="TableContents"/>
              <w:widowControl/>
              <w:bidi w:val="0"/>
              <w:spacing w:before="0" w:after="283"/>
              <w:rPr/>
            </w:pPr>
            <w:r>
              <w:rPr/>
              <w:t>Änderungen sind ferner zulässig, wenn sie aufgrund der Fortschreibung der Ausführungsplanung für Haus 4, der Schacht- und Leitungskoordination in den Steigzonen B4-S1 bis B4-S4, der Anschlussplanung an die Tiefgaragenspange Nord, der Lieferbarkeit von Fenstern, Fliesen, Sanitärgegenständen oder technischen Komponenten oder der wirtschaftlichen Gesamtsteuerung des Quartiers zweckmäßig erscheinen und die gewöhnliche Nutzbarkeit des Kaufgegenstandes nicht wesentlich beeinträchtigen. Gleichwertige Ausführungen gelten nicht als Abweichung vom Bausoll.</w:t>
            </w:r>
          </w:p>
        </w:tc>
        <w:tc>
          <w:tcPr>
            <w:tcW w:w="7620" w:type="dxa"/>
            <w:tcBorders/>
            <w:vAlign w:val="center"/>
          </w:tcPr>
          <w:p>
            <w:pPr>
              <w:pStyle w:val="TableContents"/>
              <w:widowControl/>
              <w:bidi w:val="0"/>
              <w:spacing w:before="0" w:after="283"/>
              <w:rPr/>
            </w:pPr>
            <w:r>
              <w:rPr/>
              <w:t>Changes are also permitted if they appear expedient due to updates to the detailed design for building 4, coordination of shafts and service routes in riser zones B4-S1 to B4-S4, the design of connections to the northern underground-parking section, the availability of windows, tiles, sanitary fittings or technical components, or the overall financial management of the development, provided they do not materially impair ordinary use of the Purchased Property. Equivalent construction is not treated as a departure from the agreed construction requirements.</w:t>
            </w:r>
          </w:p>
        </w:tc>
      </w:tr>
      <w:tr>
        <w:trPr>
          <w:cantSplit/>
        </w:trPr>
        <w:tc>
          <w:tcPr>
            <w:tcW w:w="7914" w:type="dxa"/>
            <w:tcBorders/>
            <w:vAlign w:val="center"/>
          </w:tcPr>
          <w:p>
            <w:pPr>
              <w:pStyle w:val="TableContents"/>
              <w:keepNext/>
              <w:widowControl/>
              <w:bidi w:val="0"/>
              <w:spacing w:before="0" w:after="283"/>
              <w:rPr/>
            </w:pPr>
            <w:r>
              <w:rPr>
                <w:rStyle w:val="Strong"/>
              </w:rPr>
              <w:t>5.8</w:t>
            </w:r>
            <w:r>
              <w:rPr/>
              <w:t xml:space="preserve"> Termine</w:t>
            </w:r>
          </w:p>
          <w:p>
            <w:pPr>
              <w:pStyle w:val="TableContents"/>
              <w:widowControl/>
              <w:bidi w:val="0"/>
              <w:spacing w:before="0" w:after="283"/>
              <w:rPr/>
            </w:pPr>
            <w:r>
              <w:rPr/>
              <w:t>5.8.1 Der Verkäufer wird die gemäß § 5.1 geschuldeten Bauleistungen voraussichtlich bis 30.09.2027 bezugsfertig herstellen.</w:t>
            </w:r>
          </w:p>
        </w:tc>
        <w:tc>
          <w:tcPr>
            <w:tcW w:w="7620" w:type="dxa"/>
            <w:tcBorders/>
            <w:vAlign w:val="center"/>
          </w:tcPr>
          <w:p>
            <w:pPr>
              <w:pStyle w:val="TableContents"/>
              <w:keepNext/>
              <w:widowControl/>
              <w:bidi w:val="0"/>
              <w:spacing w:before="0" w:after="283"/>
              <w:rPr/>
            </w:pPr>
            <w:r>
              <w:rPr>
                <w:rStyle w:val="Strong"/>
              </w:rPr>
              <w:t>5.8</w:t>
            </w:r>
            <w:r>
              <w:rPr/>
              <w:t xml:space="preserve"> Dates </w:t>
            </w:r>
          </w:p>
          <w:p>
            <w:pPr>
              <w:pStyle w:val="TableContents"/>
              <w:widowControl/>
              <w:bidi w:val="0"/>
              <w:spacing w:before="0" w:after="283"/>
              <w:rPr/>
            </w:pPr>
            <w:r>
              <w:rPr/>
              <w:t>5.8.1 The Seller expects to complete the construction works owed under § 5.1 to a condition ready for occupancy by 30.09.2027.</w:t>
            </w:r>
          </w:p>
        </w:tc>
      </w:tr>
      <w:tr>
        <w:trPr>
          <w:cantSplit/>
        </w:trPr>
        <w:tc>
          <w:tcPr>
            <w:tcW w:w="7914" w:type="dxa"/>
            <w:tcBorders/>
            <w:vAlign w:val="center"/>
          </w:tcPr>
          <w:p>
            <w:pPr>
              <w:pStyle w:val="TableContents"/>
              <w:widowControl/>
              <w:bidi w:val="0"/>
              <w:spacing w:before="0" w:after="283"/>
              <w:rPr/>
            </w:pPr>
            <w:r>
              <w:rPr/>
              <w:t>Behinderungen bei der Herstellung des Bauvorhabens aus Umständen, die vom Verkäufer nicht zu vertreten sind, z. B. höhere Gewalt, Pandemielagen, Lieferengpässe bei Aufzug, Fenstern, Wärmepumpenkomponenten oder Mittelspannungstechnik, Streik, Aussperrung, Witterungsverhältnisse einschließlich Hitze- und Kälteperioden, Wasserhaltung im Bereich der Tiefgaragenspange Nord, Wechselkursbewegungen bei Baustoffen, Personalengpässe bei Nachunternehmern oder verspätete Abstimmungen mit Versorgungsunternehmen, verlängern die jeweils betroffene Herstellungsfrist um die Dauer der Behinderung zuzüglich eines Zuschlags von bis zu sechs Wochen für Umplanung, Wiederanlauf und Neuabstimmung der Gewerke.</w:t>
            </w:r>
          </w:p>
        </w:tc>
        <w:tc>
          <w:tcPr>
            <w:tcW w:w="7620" w:type="dxa"/>
            <w:tcBorders/>
            <w:vAlign w:val="center"/>
          </w:tcPr>
          <w:p>
            <w:pPr>
              <w:pStyle w:val="TableContents"/>
              <w:widowControl/>
              <w:bidi w:val="0"/>
              <w:spacing w:before="0" w:after="283"/>
              <w:rPr/>
            </w:pPr>
            <w:r>
              <w:rPr/>
              <w:t>Obstructions to construction arising from circumstances for which the Seller is not responsible—for example force majeure, pandemics, supply shortages affecting lifts, windows, heat-pump components or medium-voltage equipment, strikes, lockouts, weather conditions including hot and cold spells, dewatering in the northern underground-parking section, exchange-rate movements affecting building materials, subcontractor staffing shortages or delayed coordination with utilities—extend the affected completion period by the duration of the obstruction plus an allowance of up to six weeks for redesign, remobilisation and renewed coordination of the trades.</w:t>
            </w:r>
          </w:p>
        </w:tc>
      </w:tr>
      <w:tr>
        <w:trPr>
          <w:cantSplit/>
        </w:trPr>
        <w:tc>
          <w:tcPr>
            <w:tcW w:w="7914" w:type="dxa"/>
            <w:tcBorders/>
            <w:vAlign w:val="center"/>
          </w:tcPr>
          <w:p>
            <w:pPr>
              <w:pStyle w:val="TableContents"/>
              <w:widowControl/>
              <w:bidi w:val="0"/>
              <w:spacing w:before="0" w:after="283"/>
              <w:rPr/>
            </w:pPr>
            <w:r>
              <w:rPr/>
              <w:t>5.8.2 Bei vom Verkäufer zu vertretender Überschreitung des Spätesttermins für die Bezugsfertigkeit schuldet der Verkäufer dem Käufer als Vertragsstrafe einen Betrag von 0,5 ‰ der Sondereigentumsteilbetragssumme pro angefangenen Tag, gedeckelt auf insgesamt 12 % der Sondereigentumsteilbetragssumme. Die Geltendmachung weitergehender Schadensersatzansprüche ist ausgeschlossen, soweit nicht Vorsatz oder grobe Fahrlässigkeit vorliegen.</w:t>
            </w:r>
          </w:p>
        </w:tc>
        <w:tc>
          <w:tcPr>
            <w:tcW w:w="7620" w:type="dxa"/>
            <w:tcBorders/>
            <w:vAlign w:val="center"/>
          </w:tcPr>
          <w:p>
            <w:pPr>
              <w:pStyle w:val="TableContents"/>
              <w:widowControl/>
              <w:bidi w:val="0"/>
              <w:spacing w:before="0" w:after="283"/>
              <w:rPr/>
            </w:pPr>
            <w:r>
              <w:rPr/>
              <w:t>5.8.2 If the latest date for readiness for occupancy is exceeded for reasons attributable to the Seller, the Seller owes the Buyer a contractual penalty of 0.5 ‰ of the separately owned unit component amount (Sondereigentumsteilbetragssumme) for each commenced day, capped at a total of 12 % of that component amount. Claims for further damages are excluded except in cases of intent or gross negligence.</w:t>
            </w:r>
          </w:p>
        </w:tc>
      </w:tr>
      <w:tr>
        <w:trPr>
          <w:cantSplit/>
        </w:trPr>
        <w:tc>
          <w:tcPr>
            <w:tcW w:w="7914" w:type="dxa"/>
            <w:tcBorders/>
            <w:vAlign w:val="center"/>
          </w:tcPr>
          <w:p>
            <w:pPr>
              <w:pStyle w:val="TableContents"/>
              <w:keepNext/>
              <w:widowControl/>
              <w:bidi w:val="0"/>
              <w:spacing w:before="0" w:after="283"/>
              <w:rPr/>
            </w:pPr>
            <w:r>
              <w:rPr>
                <w:rStyle w:val="Strong"/>
              </w:rPr>
              <w:t>5.9</w:t>
            </w:r>
            <w:r>
              <w:rPr/>
              <w:t xml:space="preserve"> Wohnfläche</w:t>
            </w:r>
          </w:p>
          <w:p>
            <w:pPr>
              <w:pStyle w:val="TableContents"/>
              <w:widowControl/>
              <w:bidi w:val="0"/>
              <w:spacing w:before="0" w:after="283"/>
              <w:rPr/>
            </w:pPr>
            <w:r>
              <w:rPr/>
              <w:t>5.9.1 Die nach Maßgabe des § 5.1 herzustellende Wohnfläche beträgt ca. 118,4 m². Die Flächenberechnung erfolgt nach DIN 277.</w:t>
            </w:r>
          </w:p>
        </w:tc>
        <w:tc>
          <w:tcPr>
            <w:tcW w:w="7620" w:type="dxa"/>
            <w:tcBorders/>
            <w:vAlign w:val="center"/>
          </w:tcPr>
          <w:p>
            <w:pPr>
              <w:pStyle w:val="TableContents"/>
              <w:keepNext/>
              <w:widowControl/>
              <w:bidi w:val="0"/>
              <w:spacing w:before="0" w:after="283"/>
              <w:rPr/>
            </w:pPr>
            <w:r>
              <w:rPr>
                <w:rStyle w:val="Strong"/>
              </w:rPr>
              <w:t>5.9</w:t>
            </w:r>
            <w:r>
              <w:rPr/>
              <w:t xml:space="preserve"> Living area </w:t>
            </w:r>
          </w:p>
          <w:p>
            <w:pPr>
              <w:pStyle w:val="TableContents"/>
              <w:widowControl/>
              <w:bidi w:val="0"/>
              <w:spacing w:before="0" w:after="283"/>
              <w:rPr/>
            </w:pPr>
            <w:r>
              <w:rPr/>
              <w:t>5.9.1 The living area to be constructed under § 5.1 is approximately 118.4 m². The area is calculated in accordance with DIN 277.</w:t>
            </w:r>
          </w:p>
        </w:tc>
      </w:tr>
      <w:tr>
        <w:trPr>
          <w:cantSplit/>
        </w:trPr>
        <w:tc>
          <w:tcPr>
            <w:tcW w:w="7914" w:type="dxa"/>
            <w:tcBorders/>
            <w:vAlign w:val="center"/>
          </w:tcPr>
          <w:p>
            <w:pPr>
              <w:pStyle w:val="TableContents"/>
              <w:widowControl/>
              <w:bidi w:val="0"/>
              <w:spacing w:before="0" w:after="283"/>
              <w:rPr/>
            </w:pPr>
            <w:r>
              <w:rPr/>
              <w:t>5.9.2 Aus einer Unterschreitung der vorstehenden Wohnfläche kann der Käufer nur Rechte herleiten, wenn die Unterschreitung 8 % der vorstehenden Wohnfläche übersteigt.</w:t>
            </w:r>
          </w:p>
        </w:tc>
        <w:tc>
          <w:tcPr>
            <w:tcW w:w="7620" w:type="dxa"/>
            <w:tcBorders/>
            <w:vAlign w:val="center"/>
          </w:tcPr>
          <w:p>
            <w:pPr>
              <w:pStyle w:val="TableContents"/>
              <w:widowControl/>
              <w:bidi w:val="0"/>
              <w:spacing w:before="0" w:after="283"/>
              <w:rPr/>
            </w:pPr>
            <w:r>
              <w:rPr/>
              <w:t>5.9.2 The Buyer may assert rights arising from a shortfall in the above living area only if that shortfall exceeds 8 % of the stated living area.</w:t>
            </w:r>
          </w:p>
        </w:tc>
      </w:tr>
      <w:tr>
        <w:trPr>
          <w:cantSplit/>
        </w:trPr>
        <w:tc>
          <w:tcPr>
            <w:tcW w:w="7914" w:type="dxa"/>
            <w:tcBorders/>
            <w:vAlign w:val="center"/>
          </w:tcPr>
          <w:p>
            <w:pPr>
              <w:pStyle w:val="TableContents"/>
              <w:widowControl/>
              <w:bidi w:val="0"/>
              <w:spacing w:before="0" w:after="283"/>
              <w:rPr/>
            </w:pPr>
            <w:r>
              <w:rPr>
                <w:rStyle w:val="Strong"/>
              </w:rPr>
              <w:t>5.10</w:t>
            </w:r>
            <w:r>
              <w:rPr/>
              <w:t xml:space="preserve"> Energiestandard. Haus 4 wird nach den zum Tag der Baugenehmigung geltenden energetischen Anforderungen errichtet und an das für das Quartier vorgesehene Wärmeversorgungskonzept angeschlossen. Eine bestimmte KfW-Effizienzhausklasse, Förderfähigkeit, ein bestimmter Primärenergiebedarf oder ein bestimmter GEG-Standard über den öffentlich-rechtlich geschuldeten Mindeststandard hinaus wird nicht geschuldet.</w:t>
            </w:r>
          </w:p>
        </w:tc>
        <w:tc>
          <w:tcPr>
            <w:tcW w:w="7620" w:type="dxa"/>
            <w:tcBorders/>
            <w:vAlign w:val="center"/>
          </w:tcPr>
          <w:p>
            <w:pPr>
              <w:pStyle w:val="TableContents"/>
              <w:widowControl/>
              <w:bidi w:val="0"/>
              <w:spacing w:before="0" w:after="283"/>
              <w:rPr/>
            </w:pPr>
            <w:r>
              <w:rPr>
                <w:rStyle w:val="Strong"/>
              </w:rPr>
              <w:t>5.10</w:t>
            </w:r>
            <w:r>
              <w:rPr/>
              <w:t xml:space="preserve"> Energy standard. Building 4 will be constructed in accordance with the energy requirements applicable on the date of the building permit and connected to the heat-supply system envisaged for the development. No specific KfW efficiency-house class, eligibility for funding, primary-energy demand or GEG standard exceeding the minimum required by public law is owed.</w:t>
            </w:r>
          </w:p>
        </w:tc>
      </w:tr>
      <w:tr>
        <w:trPr>
          <w:cantSplit/>
        </w:trPr>
        <w:tc>
          <w:tcPr>
            <w:tcW w:w="7914" w:type="dxa"/>
            <w:tcBorders/>
            <w:vAlign w:val="center"/>
          </w:tcPr>
          <w:p>
            <w:pPr>
              <w:pStyle w:val="TableContents"/>
              <w:widowControl/>
              <w:bidi w:val="0"/>
              <w:spacing w:before="0" w:after="283"/>
              <w:rPr/>
            </w:pPr>
            <w:r>
              <w:rPr>
                <w:rStyle w:val="Strong"/>
              </w:rPr>
              <w:t>5.11</w:t>
            </w:r>
            <w:r>
              <w:rPr/>
              <w:t xml:space="preserve"> Baugrund, Grundwasser und Baugrube. Dem Verkäufer liegt der geotechnische Kurzbericht „BQ-KNW-4/2026” der TerraSond GmbH vom 17.02.2026 vor. Die darin enthaltenen Annahmen beruhen auf punktuellen Aufschlüssen im Bereich Haus 4, Tiefgaragenspange Nord und Baufeld Q1 und weisen wechselnde Auffüllungen, bindige Schichten, zeitweise Schichtenwasserführung sowie mögliche Entsorgungsmehrkosten aus. Abweichungen des tatsächlichen Baugrunds, Grundwasserstände, Wasserhaltungsmaßnahmen, Kampfmittel-, Altlasten- oder Entsorgungsbefunde sowie hierdurch erforderliche technische Anpassungen gelten nicht als Abweichung von der vereinbarten Beschaffenheit, sofern die Gebrauchstauglichkeit der Wohnung 4.27 nach Fertigstellung nicht wesentlich beeinträchtigt wird. Die hierdurch verursachten Bauzeitverlängerungen gelten als vom Verkäufer nicht zu vertreten.</w:t>
            </w:r>
          </w:p>
        </w:tc>
        <w:tc>
          <w:tcPr>
            <w:tcW w:w="7620" w:type="dxa"/>
            <w:tcBorders/>
            <w:vAlign w:val="center"/>
          </w:tcPr>
          <w:p>
            <w:pPr>
              <w:pStyle w:val="TableContents"/>
              <w:widowControl/>
              <w:bidi w:val="0"/>
              <w:spacing w:before="0" w:after="283"/>
              <w:rPr/>
            </w:pPr>
            <w:r>
              <w:rPr>
                <w:rStyle w:val="Strong"/>
              </w:rPr>
              <w:t>5.11</w:t>
            </w:r>
            <w:r>
              <w:rPr/>
              <w:t xml:space="preserve"> Ground conditions, groundwater and excavation. The Seller holds the brief geotechnical report “BQ-KNW-4/2026” by TerraSond GmbH dated 17.02.2026. Its assumptions are based on investigations at individual locations around building 4, the northern underground-parking section and construction area Q1, and identify varying made ground, cohesive strata, intermittent perched water and possible additional disposal costs. Deviations in actual ground conditions, groundwater levels, dewatering measures, findings relating to unexploded ordnance, contamination or disposal, and resulting technical adjustments are not considered departures from the agreed characteristics, provided that the usability of apartment 4.27 after completion is not materially impaired. Resulting extensions of the construction period are deemed not to be attributable to the Seller.</w:t>
            </w:r>
          </w:p>
        </w:tc>
      </w:tr>
      <w:tr>
        <w:trPr>
          <w:cantSplit/>
        </w:trPr>
        <w:tc>
          <w:tcPr>
            <w:tcW w:w="7914" w:type="dxa"/>
            <w:tcBorders/>
            <w:vAlign w:val="center"/>
          </w:tcPr>
          <w:p>
            <w:pPr>
              <w:pStyle w:val="TableContents"/>
              <w:widowControl/>
              <w:bidi w:val="0"/>
              <w:spacing w:before="0" w:after="283"/>
              <w:rPr/>
            </w:pPr>
            <w:r>
              <w:rPr>
                <w:rStyle w:val="Strong"/>
              </w:rPr>
              <w:t>5.12</w:t>
            </w:r>
            <w:r>
              <w:rPr/>
              <w:t xml:space="preserve"> Schall-, Wärme-, Feuchte- und Brandschutz. Die öffentlich-rechtlich erforderlichen Nachweise werden durch den Verkäufer eingeholt. Eine darüberhinausgehende Beschaffenheit, insbesondere ein erhöhter Schallschutz, eine bestimmte Behaglichkeitsklasse, eine bestimmte Raumluftqualität oder eine bestimmte sommerliche Kühlleistung, wird nur geschuldet, soweit dies in der Baubeschreibung ausdrücklich mit Zahlenwerten vereinbart ist. Kondensat-, Schimmel- oder Feuchteschäden, die auf ein nicht den jeweiligen Nutzungshinweisen entsprechendes Heizungs-, Lüftungs- oder Möblierungsverhalten zurückzuführen sind, stellen keinen Mangel dar.</w:t>
            </w:r>
          </w:p>
        </w:tc>
        <w:tc>
          <w:tcPr>
            <w:tcW w:w="7620" w:type="dxa"/>
            <w:tcBorders/>
            <w:vAlign w:val="center"/>
          </w:tcPr>
          <w:p>
            <w:pPr>
              <w:pStyle w:val="TableContents"/>
              <w:widowControl/>
              <w:bidi w:val="0"/>
              <w:spacing w:before="0" w:after="283"/>
              <w:rPr/>
            </w:pPr>
            <w:r>
              <w:rPr>
                <w:rStyle w:val="Strong"/>
              </w:rPr>
              <w:t>5.12</w:t>
            </w:r>
            <w:r>
              <w:rPr/>
              <w:t xml:space="preserve"> Sound insulation, thermal insulation, moisture protection and fire protection. The Seller will obtain the evidence required by public law. Higher standards—in particular enhanced sound insulation, a specific comfort class, indoor-air quality or summer cooling capacity—are owed only if expressly agreed by numerical values in the Building Specification. Condensation, mould or moisture damage caused by heating, ventilation or furniture placement contrary to the relevant user instructions does not constitute a defect.</w:t>
            </w:r>
          </w:p>
        </w:tc>
      </w:tr>
      <w:tr>
        <w:trPr>
          <w:cantSplit/>
        </w:trPr>
        <w:tc>
          <w:tcPr>
            <w:tcW w:w="7914" w:type="dxa"/>
            <w:tcBorders/>
            <w:vAlign w:val="center"/>
          </w:tcPr>
          <w:p>
            <w:pPr>
              <w:pStyle w:val="TableContents"/>
              <w:widowControl/>
              <w:bidi w:val="0"/>
              <w:spacing w:before="0" w:after="283"/>
              <w:rPr/>
            </w:pPr>
            <w:r>
              <w:rPr>
                <w:rStyle w:val="Strong"/>
              </w:rPr>
              <w:t>5.13</w:t>
            </w:r>
            <w:r>
              <w:rPr/>
              <w:t xml:space="preserve"> Technische Anlagen, Wartung, Betrieb. Der Käufer nimmt zur Kenntnis, dass die beiden Aufzüge in Haus 4, die Dach- und Badlüfter, die Entwässerungs- und Hebeanlagen der Tiefgarage, die Tiefgaragenentlüftung, die Rauchabzugseinrichtungen, die Heizungs- und Warmwassertechnik, Zähler- und Messsysteme sowie etwaige Lade- oder Photovoltaikinfrastruktur regelmäßiger Wartung bedürfen. Der Verkäufer oder der Erstverwalter ist berechtigt, zur Sicherstellung der Erstbetriebsphase Wartungs-, Betriebsführungs-, Mess- und Energielieferungsverträge insbesondere mit der Kannenberg Wärme GmbH, der Lift &amp; Service Nordost GmbH, der ParkTec Garage GmbH und Messdienstleistern mit einer anfänglichen Laufzeit von bis zu sieben Jahren abzuschließen. Die daraus entstehenden Kosten tragen die Eigentümer nach Maßgabe der Teilungserklärung.</w:t>
            </w:r>
          </w:p>
        </w:tc>
        <w:tc>
          <w:tcPr>
            <w:tcW w:w="7620" w:type="dxa"/>
            <w:tcBorders/>
            <w:vAlign w:val="center"/>
          </w:tcPr>
          <w:p>
            <w:pPr>
              <w:pStyle w:val="TableContents"/>
              <w:widowControl/>
              <w:bidi w:val="0"/>
              <w:spacing w:before="0" w:after="283"/>
              <w:rPr/>
            </w:pPr>
            <w:r>
              <w:rPr>
                <w:rStyle w:val="Strong"/>
              </w:rPr>
              <w:t>5.13</w:t>
            </w:r>
            <w:r>
              <w:rPr/>
              <w:t xml:space="preserve"> Technical systems, maintenance and operation. The Buyer acknowledges that the two lifts in building 4, roof and bathroom fans, underground-car-park drainage and wastewater-lifting systems, car-park ventilation, smoke extraction, heating and hot-water systems, meters and measuring systems, and any charging or photovoltaic infrastructure require regular maintenance. To ensure initial operation, the Seller or the initial property manager may enter into maintenance, operations-management, metering and energy-supply contracts, in particular with Kannenberg Wärme GmbH, Lift &amp; Service Nordost GmbH, ParkTec Garage GmbH and metering-service providers, for initial terms of up to seven years. The owners bear the resulting costs in accordance with the declaration of division.</w:t>
            </w:r>
          </w:p>
        </w:tc>
      </w:tr>
      <w:tr>
        <w:trPr>
          <w:cantSplit/>
        </w:trPr>
        <w:tc>
          <w:tcPr>
            <w:tcW w:w="7914" w:type="dxa"/>
            <w:tcBorders/>
            <w:vAlign w:val="center"/>
          </w:tcPr>
          <w:p>
            <w:pPr>
              <w:pStyle w:val="TableContents"/>
              <w:widowControl/>
              <w:bidi w:val="0"/>
              <w:spacing w:before="0" w:after="283"/>
              <w:rPr/>
            </w:pPr>
            <w:r>
              <w:rPr>
                <w:rStyle w:val="Strong"/>
              </w:rPr>
              <w:t>5.14</w:t>
            </w:r>
            <w:r>
              <w:rPr/>
              <w:t xml:space="preserve"> Kostenanpassung bei nachträglichen Anforderungen. Werden nach Beurkundung aufgrund öffentlich-rechtlicher Vorgaben für Haus 4, Förderbedingungen, geänderter Anforderungen der Wärmeversorgung, Ladeinfrastruktur, Entwässerung, Brandschutztechnik, Tiefgaragenlüftung oder infolge der Fortschreibung der Fachplanung Maßnahmen erforderlich oder für die Fertigstellung von Haus 4 und TG-127 technisch veranlasst, die in der Kalkulation des Verkäufers nicht enthalten waren, kann der Verkäufer eine Anpassung der hierdurch betroffenen Kostenpositionen verlangen. Der Verkäufer wird dem Käufer die Anpassung in Textform bezogen auf das betroffene Gewerk erläutern; eine Offenlegung der Gesamtkalkulation des Projekts ist nicht geschuldet.</w:t>
            </w:r>
          </w:p>
        </w:tc>
        <w:tc>
          <w:tcPr>
            <w:tcW w:w="7620" w:type="dxa"/>
            <w:tcBorders/>
            <w:vAlign w:val="center"/>
          </w:tcPr>
          <w:p>
            <w:pPr>
              <w:pStyle w:val="TableContents"/>
              <w:widowControl/>
              <w:bidi w:val="0"/>
              <w:spacing w:before="0" w:after="283"/>
              <w:rPr/>
            </w:pPr>
            <w:r>
              <w:rPr>
                <w:rStyle w:val="Strong"/>
              </w:rPr>
              <w:t>5.14</w:t>
            </w:r>
            <w:r>
              <w:rPr/>
              <w:t xml:space="preserve"> Cost adjustments for subsequent requirements. If, after notarisation, measures not included in the Seller's costing become necessary, or are technically called for to complete building 4 and TG-127, as a result of public-law requirements for building 4, funding conditions, changed requirements for heat supply, charging infrastructure, drainage, fire protection or underground-car-park ventilation, or updates to specialist designs, the Seller may demand adjustment of the affected cost items. The Seller will explain the adjustment to the Buyer in text form by reference to the trade concerned; disclosure of the project's overall costing is not required.</w:t>
            </w:r>
          </w:p>
        </w:tc>
      </w:tr>
      <w:tr>
        <w:trPr>
          <w:cantSplit/>
        </w:trPr>
        <w:tc>
          <w:tcPr>
            <w:tcW w:w="7914" w:type="dxa"/>
            <w:tcBorders/>
            <w:vAlign w:val="center"/>
          </w:tcPr>
          <w:p>
            <w:pPr>
              <w:pStyle w:val="TableContents"/>
              <w:widowControl/>
              <w:bidi w:val="0"/>
              <w:spacing w:before="0" w:after="283"/>
              <w:rPr/>
            </w:pPr>
            <w:r>
              <w:rPr>
                <w:rStyle w:val="Strong"/>
              </w:rPr>
              <w:t>5.15</w:t>
            </w:r>
            <w:r>
              <w:rPr/>
              <w:t xml:space="preserve"> Der Käufer erklärt, dass ihm von Vertriebsmitarbeitern oder anderen Beauftragten oder Mitarbeitern des Verkäufers keinerlei Zusagen zur Ausgestaltung des Kaufgegenstandes gemacht wurden, die nicht Gegenstand des vorliegenden Vertrages oder der diesem Vertrag in Bezug genommenen Urkunden sind.</w:t>
            </w:r>
          </w:p>
        </w:tc>
        <w:tc>
          <w:tcPr>
            <w:tcW w:w="7620" w:type="dxa"/>
            <w:tcBorders/>
            <w:vAlign w:val="center"/>
          </w:tcPr>
          <w:p>
            <w:pPr>
              <w:pStyle w:val="TableContents"/>
              <w:widowControl/>
              <w:bidi w:val="0"/>
              <w:spacing w:before="0" w:after="283"/>
              <w:rPr/>
            </w:pPr>
            <w:r>
              <w:rPr>
                <w:rStyle w:val="Strong"/>
              </w:rPr>
              <w:t>5.15</w:t>
            </w:r>
            <w:r>
              <w:rPr/>
              <w:t xml:space="preserve"> The Buyer declares that he has not been given any commitments by sales representatives or other agents or employees of the Seller regarding the design of the Purchased Property that are not the subject of this contract or the documents referred to in this contract.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20" w:name="wirtschaftlicher-besitzübergang-abnahme-"/>
            <w:bookmarkEnd w:id="20"/>
            <w:r>
              <w:rPr/>
              <w:t>§ 6 Wirtschaftlicher Besitzübergang, Abnahme, Schlüsselübergabe</w:t>
            </w:r>
          </w:p>
          <w:p>
            <w:pPr>
              <w:pStyle w:val="TableContents"/>
              <w:widowControl/>
              <w:bidi w:val="0"/>
              <w:spacing w:before="0" w:after="283"/>
              <w:rPr/>
            </w:pPr>
            <w:r>
              <w:rPr>
                <w:rStyle w:val="Strong"/>
              </w:rPr>
              <w:t>6.1</w:t>
            </w:r>
            <w:r>
              <w:rPr/>
              <w:t xml:space="preserve"> Besitz, Nutzen, Lasten, Steuern, Abgaben und Gefahren des Kaufgegenstandes gehen mit dem Tag der Übergabe der Sondereigentumseinheit auf den Käufer über. Die Schlüsselübergabe setzt voraus, dass die bis dahin fälligen Kaufpreis- und Sonderwunschbeträge ausgeglichen sind oder eine vom Verkäufer akzeptierte Treuhand- oder Sicherungsabrede vorliegt. Restarbeiten und Mängel, die der Wohnnutzung nicht entgegenstehen, werden im Übergabeprotokoll erfasst und nach Maßgabe der technischen Abläufe beseitigt.</w:t>
            </w:r>
          </w:p>
        </w:tc>
        <w:tc>
          <w:tcPr>
            <w:tcW w:w="7620" w:type="dxa"/>
            <w:tcBorders/>
            <w:vAlign w:val="center"/>
          </w:tcPr>
          <w:p>
            <w:pPr>
              <w:pStyle w:val="Heading1"/>
              <w:keepNext/>
              <w:widowControl/>
              <w:pBdr/>
              <w:bidi w:val="0"/>
              <w:spacing w:before="240" w:after="283"/>
              <w:rPr/>
            </w:pPr>
            <w:r>
              <w:rPr/>
              <w:t>§ 6 Transfer of Possession and Economic Benefits and Burdens; Acceptance; Handover of Keys</w:t>
            </w:r>
          </w:p>
          <w:p>
            <w:pPr>
              <w:pStyle w:val="TableContents"/>
              <w:widowControl/>
              <w:bidi w:val="0"/>
              <w:spacing w:before="0" w:after="283"/>
              <w:rPr/>
            </w:pPr>
            <w:r>
              <w:rPr>
                <w:rStyle w:val="Strong"/>
              </w:rPr>
              <w:t>6.1</w:t>
            </w:r>
            <w:r>
              <w:rPr/>
              <w:t xml:space="preserve"> Possession, benefits, burdens, taxes, levies and risks relating to the Purchased Property pass to the Buyer on the day the separately owned unit is handed over. Handover of the keys requires payment of the Purchase Price and special-request amounts then due, or a trust or security arrangement accepted by the Seller. Outstanding works and defects that do not prevent residential use will be recorded in the handover report and remedied in accordance with the technical work sequence.</w:t>
            </w:r>
          </w:p>
        </w:tc>
      </w:tr>
      <w:tr>
        <w:trPr>
          <w:cantSplit/>
        </w:trPr>
        <w:tc>
          <w:tcPr>
            <w:tcW w:w="7914" w:type="dxa"/>
            <w:tcBorders/>
            <w:vAlign w:val="center"/>
          </w:tcPr>
          <w:p>
            <w:pPr>
              <w:pStyle w:val="TableContents"/>
              <w:keepNext/>
              <w:widowControl/>
              <w:bidi w:val="0"/>
              <w:spacing w:before="0" w:after="283"/>
              <w:rPr/>
            </w:pPr>
            <w:r>
              <w:rPr>
                <w:rStyle w:val="Strong"/>
              </w:rPr>
              <w:t>6.2</w:t>
            </w:r>
            <w:r>
              <w:rPr/>
              <w:t xml:space="preserve"> Abnahme der Sondereigentumseinheit</w:t>
            </w:r>
          </w:p>
          <w:p>
            <w:pPr>
              <w:pStyle w:val="TableContents"/>
              <w:widowControl/>
              <w:bidi w:val="0"/>
              <w:spacing w:before="0" w:after="283"/>
              <w:rPr/>
            </w:pPr>
            <w:r>
              <w:rPr/>
              <w:t>6.2.1 Die Sondereigentumseinheit wird vor Bezug nach einer gemeinsamen Begehung abgenommen. Hierzu teilt der Verkäufer dem Käufer schriftlich die bezugsfertige Herstellung mit und fordert ihn unter Setzung einer Frist von zehn Tagen zur Begehung und Abnahme auf.</w:t>
            </w:r>
          </w:p>
        </w:tc>
        <w:tc>
          <w:tcPr>
            <w:tcW w:w="7620" w:type="dxa"/>
            <w:tcBorders/>
            <w:vAlign w:val="center"/>
          </w:tcPr>
          <w:p>
            <w:pPr>
              <w:pStyle w:val="TableContents"/>
              <w:keepNext/>
              <w:widowControl/>
              <w:bidi w:val="0"/>
              <w:spacing w:before="0" w:after="283"/>
              <w:rPr/>
            </w:pPr>
            <w:r>
              <w:rPr>
                <w:rStyle w:val="Strong"/>
              </w:rPr>
              <w:t>6.2</w:t>
            </w:r>
            <w:r>
              <w:rPr/>
              <w:t xml:space="preserve"> Acceptance of the Separately Owned Unit</w:t>
            </w:r>
          </w:p>
          <w:p>
            <w:pPr>
              <w:pStyle w:val="TableContents"/>
              <w:widowControl/>
              <w:bidi w:val="0"/>
              <w:spacing w:before="0" w:after="283"/>
              <w:rPr/>
            </w:pPr>
            <w:r>
              <w:rPr/>
              <w:t>6.2.1 The separately owned unit will be accepted before occupation following a joint inspection. For this purpose, the Seller will notify the Buyer in writing that the unit is ready for occupancy and request an inspection and acceptance within a period of ten days.</w:t>
            </w:r>
          </w:p>
        </w:tc>
      </w:tr>
      <w:tr>
        <w:trPr>
          <w:cantSplit/>
        </w:trPr>
        <w:tc>
          <w:tcPr>
            <w:tcW w:w="7914" w:type="dxa"/>
            <w:tcBorders/>
            <w:vAlign w:val="center"/>
          </w:tcPr>
          <w:p>
            <w:pPr>
              <w:pStyle w:val="TableContents"/>
              <w:widowControl/>
              <w:bidi w:val="0"/>
              <w:spacing w:before="0" w:after="283"/>
              <w:rPr/>
            </w:pPr>
            <w:r>
              <w:rPr/>
              <w:t>Erscheint der Käufer zum mitgeteilten Termin nicht oder verweigert er die Unterzeichnung der Niederschrift, ohne in Textform mindestens einen wesentlichen, der Abnahme entgegenstehenden Mangel konkret zu bezeichnen, gilt die Sondereigentumseinheit mit Ablauf des Termins als abgenommen. Die Aufforderung zur Abnahme darf zur Vermeidung von Wiederholungen auf diese Regelung verweisen.</w:t>
            </w:r>
          </w:p>
        </w:tc>
        <w:tc>
          <w:tcPr>
            <w:tcW w:w="7620" w:type="dxa"/>
            <w:tcBorders/>
            <w:vAlign w:val="center"/>
          </w:tcPr>
          <w:p>
            <w:pPr>
              <w:pStyle w:val="TableContents"/>
              <w:widowControl/>
              <w:bidi w:val="0"/>
              <w:spacing w:before="0" w:after="283"/>
              <w:rPr/>
            </w:pPr>
            <w:r>
              <w:rPr/>
              <w:t>If the Buyer does not attend the notified appointment, or refuses to sign the record without specifically identifying in text form at least one material defect preventing acceptance, the separately owned unit is deemed accepted at the end of that appointment. To avoid repetition, the request for acceptance may refer to this provision.</w:t>
            </w:r>
          </w:p>
        </w:tc>
      </w:tr>
      <w:tr>
        <w:trPr>
          <w:cantSplit/>
        </w:trPr>
        <w:tc>
          <w:tcPr>
            <w:tcW w:w="7914" w:type="dxa"/>
            <w:tcBorders/>
            <w:vAlign w:val="center"/>
          </w:tcPr>
          <w:p>
            <w:pPr>
              <w:pStyle w:val="TableContents"/>
              <w:widowControl/>
              <w:bidi w:val="0"/>
              <w:spacing w:before="0" w:after="283"/>
              <w:rPr/>
            </w:pPr>
            <w:r>
              <w:rPr/>
              <w:t>6.2.2 Geringfügige Unregelmäßigkeiten, optische Abweichungen im Rahmen handwerklicher Toleranzen und Restpunkte, deren Beseitigung die Gebrauchstauglichkeit nicht spürbar beeinträchtigt, stehen der Abnahme nicht entgegen. Die Parteien gehen davon aus, dass solche Punkte im Rahmen der üblichen Nachlaufbearbeitung abgearbeitet werden.</w:t>
            </w:r>
          </w:p>
        </w:tc>
        <w:tc>
          <w:tcPr>
            <w:tcW w:w="7620" w:type="dxa"/>
            <w:tcBorders/>
            <w:vAlign w:val="center"/>
          </w:tcPr>
          <w:p>
            <w:pPr>
              <w:pStyle w:val="TableContents"/>
              <w:widowControl/>
              <w:bidi w:val="0"/>
              <w:spacing w:before="0" w:after="283"/>
              <w:rPr/>
            </w:pPr>
            <w:r>
              <w:rPr/>
              <w:t>6.2.2 Minor irregularities, visual deviations within workmanship tolerances and outstanding items whose rectification does not noticeably impair usability do not prevent acceptance. The parties assume that these items will be addressed as part of the usual follow-up works.</w:t>
            </w:r>
          </w:p>
        </w:tc>
      </w:tr>
      <w:tr>
        <w:trPr>
          <w:cantSplit/>
        </w:trPr>
        <w:tc>
          <w:tcPr>
            <w:tcW w:w="7914" w:type="dxa"/>
            <w:tcBorders/>
            <w:vAlign w:val="center"/>
          </w:tcPr>
          <w:p>
            <w:pPr>
              <w:pStyle w:val="TableContents"/>
              <w:keepNext/>
              <w:widowControl/>
              <w:bidi w:val="0"/>
              <w:spacing w:before="0" w:after="283"/>
              <w:rPr/>
            </w:pPr>
            <w:r>
              <w:rPr>
                <w:rStyle w:val="Strong"/>
              </w:rPr>
              <w:t>6.3</w:t>
            </w:r>
            <w:r>
              <w:rPr/>
              <w:t xml:space="preserve"> Abnahme des Gemeinschaftseigentums</w:t>
            </w:r>
          </w:p>
          <w:p>
            <w:pPr>
              <w:pStyle w:val="TableContents"/>
              <w:widowControl/>
              <w:bidi w:val="0"/>
              <w:spacing w:before="0" w:after="283"/>
              <w:rPr/>
            </w:pPr>
            <w:r>
              <w:rPr/>
              <w:t>6.3.1 Zur Sicherstellung einer einheitlichen und fachlich koordinierten Abnahme des Gemeinschaftseigentums wird die vom Verkäufer bestellte Erstverwaltung die Abnahme organisatorisch vorbereiten und die Erwerber hierüber informieren. Sie ist berechtigt, die Abnahmeerklärung für die Gemeinschaft abzugeben, soweit die Erwerbergemeinschaft nicht vor dem Abnahmetermin einen abweichenden Vertreter benennt.</w:t>
            </w:r>
          </w:p>
        </w:tc>
        <w:tc>
          <w:tcPr>
            <w:tcW w:w="7620" w:type="dxa"/>
            <w:tcBorders/>
            <w:vAlign w:val="center"/>
          </w:tcPr>
          <w:p>
            <w:pPr>
              <w:pStyle w:val="TableContents"/>
              <w:keepNext/>
              <w:widowControl/>
              <w:bidi w:val="0"/>
              <w:spacing w:before="0" w:after="283"/>
              <w:rPr/>
            </w:pPr>
            <w:r>
              <w:rPr>
                <w:rStyle w:val="Strong"/>
              </w:rPr>
              <w:t>6.3</w:t>
            </w:r>
            <w:r>
              <w:rPr/>
              <w:t xml:space="preserve"> Acceptance of Common Property </w:t>
            </w:r>
          </w:p>
          <w:p>
            <w:pPr>
              <w:pStyle w:val="TableContents"/>
              <w:widowControl/>
              <w:bidi w:val="0"/>
              <w:spacing w:before="0" w:after="283"/>
              <w:rPr/>
            </w:pPr>
            <w:r>
              <w:rPr/>
              <w:t>6.3.1 To ensure uniform and technically coordinated acceptance of the Common Property, the initial property manager appointed by the Seller will organise acceptance and inform the purchasers. That manager is entitled to declare acceptance on behalf of the community unless the group of purchasers appoints a different representative before the acceptance appointment.</w:t>
            </w:r>
          </w:p>
        </w:tc>
      </w:tr>
      <w:tr>
        <w:trPr>
          <w:cantSplit/>
        </w:trPr>
        <w:tc>
          <w:tcPr>
            <w:tcW w:w="7914" w:type="dxa"/>
            <w:tcBorders/>
            <w:vAlign w:val="center"/>
          </w:tcPr>
          <w:p>
            <w:pPr>
              <w:pStyle w:val="TableContents"/>
              <w:widowControl/>
              <w:bidi w:val="0"/>
              <w:spacing w:before="0" w:after="283"/>
              <w:rPr/>
            </w:pPr>
            <w:r>
              <w:rPr/>
              <w:t>6.3.2 Die Erstverwaltung wird hierzu einen öffentlich bestellten und vereidigten oder vergleichbar qualifizierten Sachverständigen hinzuziehen, der aus einer vom Verkäufer vorgeschlagenen Liste beauftragt wird. Die Kosten des Sachverständigen werden als Kosten der erstmaligen Inbetriebnahme des Gemeinschaftseigentums behandelt.</w:t>
            </w:r>
          </w:p>
        </w:tc>
        <w:tc>
          <w:tcPr>
            <w:tcW w:w="7620" w:type="dxa"/>
            <w:tcBorders/>
            <w:vAlign w:val="center"/>
          </w:tcPr>
          <w:p>
            <w:pPr>
              <w:pStyle w:val="TableContents"/>
              <w:widowControl/>
              <w:bidi w:val="0"/>
              <w:spacing w:before="0" w:after="283"/>
              <w:rPr/>
            </w:pPr>
            <w:r>
              <w:rPr/>
              <w:t>6.3.2 For this purpose, the initial property manager will engage an officially appointed and sworn expert, or an expert with comparable qualifications, selected from a list proposed by the Seller. The expert's fees will be treated as costs of bringing the Common Property into initial use.</w:t>
            </w:r>
          </w:p>
        </w:tc>
      </w:tr>
      <w:tr>
        <w:trPr>
          <w:cantSplit/>
        </w:trPr>
        <w:tc>
          <w:tcPr>
            <w:tcW w:w="7914" w:type="dxa"/>
            <w:tcBorders/>
            <w:vAlign w:val="center"/>
          </w:tcPr>
          <w:p>
            <w:pPr>
              <w:pStyle w:val="TableContents"/>
              <w:widowControl/>
              <w:bidi w:val="0"/>
              <w:spacing w:before="0" w:after="283"/>
              <w:rPr/>
            </w:pPr>
            <w:r>
              <w:rPr/>
              <w:t>6.3.3 Nach Übermittlung des Sachverständigenprotokolls und der Abnahmeerklärung an die Erstverwaltung gilt die Abnahme des Gemeinschaftseigentums gegenüber den Erwerbern als erfolgt, soweit nicht innerhalb von zehn Bankarbeitstagen schriftlich wesentliche, im Protokoll nicht berücksichtigte Abnahmehindernisse benannt werden.</w:t>
            </w:r>
          </w:p>
        </w:tc>
        <w:tc>
          <w:tcPr>
            <w:tcW w:w="7620" w:type="dxa"/>
            <w:tcBorders/>
            <w:vAlign w:val="center"/>
          </w:tcPr>
          <w:p>
            <w:pPr>
              <w:pStyle w:val="TableContents"/>
              <w:widowControl/>
              <w:bidi w:val="0"/>
              <w:spacing w:before="0" w:after="283"/>
              <w:rPr/>
            </w:pPr>
            <w:r>
              <w:rPr/>
              <w:t>6.3.3 Once the expert's report and declaration of acceptance have been sent to the initial property manager, acceptance of the Common Property is deemed effective against the purchasers unless material obstacles to acceptance not addressed in the report are identified in writing within ten banking days.</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21" w:name="erschließungskosten"/>
            <w:bookmarkEnd w:id="21"/>
            <w:r>
              <w:rPr/>
              <w:t>§ 7 Erschließungskosten</w:t>
            </w:r>
          </w:p>
          <w:p>
            <w:pPr>
              <w:pStyle w:val="TableContents"/>
              <w:widowControl/>
              <w:bidi w:val="0"/>
              <w:spacing w:before="0" w:after="283"/>
              <w:rPr/>
            </w:pPr>
            <w:r>
              <w:rPr>
                <w:rStyle w:val="Strong"/>
              </w:rPr>
              <w:t>7.1</w:t>
            </w:r>
            <w:r>
              <w:rPr/>
              <w:t xml:space="preserve"> Sämtliche Kosten der Erschließung sowie der erstmaligen Anschlüsse des Kaufgegenstandes an Ver- und Entsorgungsanlagen einschließlich Trinkwasser, Schmutzwasser, Niederschlagswasser, Strom, Wärmeversorgung, Telekommunikation, Zufahrt „Am Birkenpfuhl”, Gehwegwiederherstellung, Straßenbeleuchtung, Herstellungsbeiträge und Abgaben nach den einschlägigen kommunalen Satzungen und landesrechtlichen Abgabenvorschriften trägt der Käufer anteilig nach seinem Miteigentumsanteil von 184/100 000.</w:t>
            </w:r>
          </w:p>
        </w:tc>
        <w:tc>
          <w:tcPr>
            <w:tcW w:w="7620" w:type="dxa"/>
            <w:tcBorders/>
            <w:vAlign w:val="center"/>
          </w:tcPr>
          <w:p>
            <w:pPr>
              <w:pStyle w:val="Heading1"/>
              <w:keepNext/>
              <w:widowControl/>
              <w:bidi w:val="0"/>
              <w:spacing w:before="240" w:after="283"/>
              <w:ind w:hanging="0" w:start="0" w:end="0"/>
              <w:rPr/>
            </w:pPr>
            <w:bookmarkStart w:id="22" w:name="development-costs"/>
            <w:bookmarkEnd w:id="22"/>
            <w:r>
              <w:rPr/>
              <w:t xml:space="preserve">§ 7 Development costs </w:t>
            </w:r>
          </w:p>
          <w:p>
            <w:pPr>
              <w:pStyle w:val="TableContents"/>
              <w:widowControl/>
              <w:bidi w:val="0"/>
              <w:spacing w:before="0" w:after="283"/>
              <w:rPr/>
            </w:pPr>
            <w:r>
              <w:rPr>
                <w:rStyle w:val="Strong"/>
              </w:rPr>
              <w:t>7.1</w:t>
            </w:r>
            <w:r>
              <w:rPr/>
              <w:t xml:space="preserve"> The Buyer bears all costs of site infrastructure and initial connections of the Purchased Property to supply and disposal systems, including drinking water, foul water, rainwater, electricity, heat supply, telecommunications, the “Am Birkenpfuhl” access road, reinstatement of pavements, street lighting, infrastructure contributions and levies under the relevant municipal by-laws and state legislation, in proportion to the Buyer's co-ownership share of 184/100 000.</w:t>
            </w:r>
          </w:p>
        </w:tc>
      </w:tr>
      <w:tr>
        <w:trPr>
          <w:cantSplit/>
        </w:trPr>
        <w:tc>
          <w:tcPr>
            <w:tcW w:w="7914" w:type="dxa"/>
            <w:tcBorders/>
            <w:vAlign w:val="center"/>
          </w:tcPr>
          <w:p>
            <w:pPr>
              <w:pStyle w:val="TableContents"/>
              <w:widowControl/>
              <w:bidi w:val="0"/>
              <w:spacing w:before="0" w:after="283"/>
              <w:rPr/>
            </w:pPr>
            <w:r>
              <w:rPr>
                <w:rStyle w:val="Strong"/>
              </w:rPr>
              <w:t>7.2</w:t>
            </w:r>
            <w:r>
              <w:rPr/>
              <w:t xml:space="preserve"> Die Höhe der auf den Käufer entfallenden Erschließungs- und Anschlusskosten kann zum Zeitpunkt der Beurkundung nicht abschließend beziffert werden. Vorbehaltlich abschließender Abrechnung schätzt der Verkäufer die Belastung auf voraussichtlich 28 000,00 EUR bis 42 000,00 EUR.</w:t>
            </w:r>
          </w:p>
        </w:tc>
        <w:tc>
          <w:tcPr>
            <w:tcW w:w="7620" w:type="dxa"/>
            <w:tcBorders/>
            <w:vAlign w:val="center"/>
          </w:tcPr>
          <w:p>
            <w:pPr>
              <w:pStyle w:val="TableContents"/>
              <w:widowControl/>
              <w:bidi w:val="0"/>
              <w:spacing w:before="0" w:after="283"/>
              <w:rPr/>
            </w:pPr>
            <w:r>
              <w:rPr>
                <w:rStyle w:val="Strong"/>
              </w:rPr>
              <w:t>7.2</w:t>
            </w:r>
            <w:r>
              <w:rPr/>
              <w:t xml:space="preserve"> The amount of site-infrastructure and connection costs attributable to the Buyer cannot be finally quantified at notarisation. Subject to final accounting, the Seller estimates the amount at approximately EUR 28,000.00 to EUR 42,000.00.</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23" w:name="zutritt-zur-baustelle"/>
            <w:bookmarkEnd w:id="23"/>
            <w:r>
              <w:rPr/>
              <w:t>§ 8 Zutritt zur Baustelle</w:t>
            </w:r>
          </w:p>
          <w:p>
            <w:pPr>
              <w:pStyle w:val="TableContents"/>
              <w:widowControl/>
              <w:bidi w:val="0"/>
              <w:spacing w:before="0" w:after="283"/>
              <w:rPr/>
            </w:pPr>
            <w:r>
              <w:rPr>
                <w:rStyle w:val="Strong"/>
              </w:rPr>
              <w:t>8.1</w:t>
            </w:r>
            <w:r>
              <w:rPr/>
              <w:t xml:space="preserve"> Der Käufer darf das Grundstück während der Bauzeit aus Gründen der Verkehrssicherheit, des Arbeitsschutzes und der geordneten Bauabwicklung nur nach vorheriger Abstimmung mit dem Verkäufer über den Zugang „Bauzaun Tor West” betreten. Der Verkäufer bietet dem Käufer bis zu zwei begleitete Besichtigungstermine vor Bezugsfertigkeit von Haus 4 sowie einen Termin zur Abnahme der Sondereigentumseinheit an; Regelzeitfenster sind dienstags und donnerstags zwischen 09:00 Uhr und 12:00 Uhr, soweit Kran- und Lieferverkehr dies zulassen. Weitere Termine können insbesondere bei den Ratenmeilensteinen Rohbau, Fenstereinbau, Estrich und Bezugsfertigkeit ermöglicht werden, sofern Bauablauf, Kran- und Lieferverkehr, Sicherheitsvorgaben, Nachunternehmerinteressen, Datenschutz und der Vertrieb anderer Einheiten nicht beeinträchtigt werden.</w:t>
            </w:r>
          </w:p>
        </w:tc>
        <w:tc>
          <w:tcPr>
            <w:tcW w:w="7620" w:type="dxa"/>
            <w:tcBorders/>
            <w:vAlign w:val="center"/>
          </w:tcPr>
          <w:p>
            <w:pPr>
              <w:pStyle w:val="Heading1"/>
              <w:keepNext/>
              <w:widowControl/>
              <w:bidi w:val="0"/>
              <w:spacing w:before="240" w:after="283"/>
              <w:ind w:hanging="0" w:start="0" w:end="0"/>
              <w:rPr/>
            </w:pPr>
            <w:bookmarkStart w:id="24" w:name="access-to-the-construction-site"/>
            <w:bookmarkEnd w:id="24"/>
            <w:r>
              <w:rPr/>
              <w:t xml:space="preserve">§ 8 Access to the construction site </w:t>
            </w:r>
          </w:p>
          <w:p>
            <w:pPr>
              <w:pStyle w:val="TableContents"/>
              <w:widowControl/>
              <w:bidi w:val="0"/>
              <w:spacing w:before="0" w:after="283"/>
              <w:rPr/>
            </w:pPr>
            <w:r>
              <w:rPr>
                <w:rStyle w:val="Strong"/>
              </w:rPr>
              <w:t>8.1</w:t>
            </w:r>
            <w:r>
              <w:rPr/>
              <w:t xml:space="preserve"> For reasons of site safety, occupational safety and orderly construction, the Buyer may enter the site during construction only by prior arrangement with the Seller, through the entrance “Bauzaun Tor West”. The Seller offers the Buyer up to two accompanied inspections before building 4 is ready for occupancy and one appointment for acceptance of the separately owned unit; the normal time slots are Tuesdays and Thursdays from 09:00 to 12:00, subject to crane and delivery traffic. Additional appointments may be made available, particularly at the instalment milestones for the structural shell, window installation, screed and readiness for occupancy, provided that construction sequencing, crane and delivery traffic, safety requirements, subcontractor interests, data protection and sales of other units are not affected.</w:t>
            </w:r>
          </w:p>
        </w:tc>
      </w:tr>
      <w:tr>
        <w:trPr>
          <w:cantSplit/>
        </w:trPr>
        <w:tc>
          <w:tcPr>
            <w:tcW w:w="7914" w:type="dxa"/>
            <w:tcBorders/>
            <w:vAlign w:val="center"/>
          </w:tcPr>
          <w:p>
            <w:pPr>
              <w:pStyle w:val="TableContents"/>
              <w:widowControl/>
              <w:bidi w:val="0"/>
              <w:spacing w:before="0" w:after="283"/>
              <w:rPr/>
            </w:pPr>
            <w:r>
              <w:rPr>
                <w:rStyle w:val="Strong"/>
              </w:rPr>
              <w:t>8.2</w:t>
            </w:r>
            <w:r>
              <w:rPr/>
              <w:t xml:space="preserve"> Der Käufer kann zu den nach § 8.1 zugelassenen Terminen einen privaten Sachverständigen hinzuziehen, sofern dieser dem Verkäufer spätestens fünf Bankarbeitstage vor dem Termin benannt wird, einen geeigneten Versicherungsschutz nachweist und sich verpflichtet, keine Weisungen an Baubeteiligte zu erteilen, keine Bauteilöffnungen vorzunehmen und keine Fotos von fremden Einheiten, Beschäftigten, Nachunternehmerleistungen oder sicherheitsrelevanten Einrichtungen anzufertigen. Feststellungen des privaten Sachverständigen werden vom Verkäufer geprüft, entfalten jedoch keine Bindungswirkung für die Objektüberwachung des Verkäufers und berühren die Fälligkeit angeforderter Raten nur bei rechtzeitigem, prüffähigem und auf den konkreten Ratenmeilenstein bezogenem Gegenvermerk.</w:t>
            </w:r>
          </w:p>
        </w:tc>
        <w:tc>
          <w:tcPr>
            <w:tcW w:w="7620" w:type="dxa"/>
            <w:tcBorders/>
            <w:vAlign w:val="center"/>
          </w:tcPr>
          <w:p>
            <w:pPr>
              <w:pStyle w:val="TableContents"/>
              <w:widowControl/>
              <w:bidi w:val="0"/>
              <w:spacing w:before="0" w:after="283"/>
              <w:rPr/>
            </w:pPr>
            <w:r>
              <w:rPr>
                <w:rStyle w:val="Strong"/>
              </w:rPr>
              <w:t>8.2</w:t>
            </w:r>
            <w:r>
              <w:rPr/>
              <w:t xml:space="preserve"> The Buyer may bring an independent expert to the appointments permitted under § 8.1, provided the expert is named to the Seller no later than five banking days before the appointment, demonstrates suitable insurance cover and agrees not to issue instructions to project participants, open up building components or photograph other units, employees, subcontractors' works or safety-sensitive facilities. The Seller will examine the independent expert's findings, but they do not bind the Seller's site supervisors and affect the due date of requested instalments only if submitted in a timely, verifiable counter-report relating to the specific instalment milestone.</w:t>
            </w:r>
          </w:p>
        </w:tc>
      </w:tr>
      <w:tr>
        <w:trPr>
          <w:cantSplit/>
        </w:trPr>
        <w:tc>
          <w:tcPr>
            <w:tcW w:w="7914" w:type="dxa"/>
            <w:tcBorders/>
            <w:vAlign w:val="center"/>
          </w:tcPr>
          <w:p>
            <w:pPr>
              <w:pStyle w:val="TableContents"/>
              <w:widowControl/>
              <w:bidi w:val="0"/>
              <w:spacing w:before="0" w:after="283"/>
              <w:rPr/>
            </w:pPr>
            <w:r>
              <w:rPr>
                <w:rStyle w:val="Strong"/>
              </w:rPr>
              <w:t>8.3</w:t>
            </w:r>
            <w:r>
              <w:rPr/>
              <w:t xml:space="preserve"> Bei Verstößen gegen die Zutritts- und Verhaltensregelungen kann der Verkäufer weitere Baustellentermine von zusätzlichen Sicherheitsauflagen abhängig machen und für jeden schuldhaften Verstoß eine pauschale Bearbeitungs- und Sicherheitskostenbeteiligung in Höhe von 2 500,00 EUR geltend machen. Dem Käufer bleibt der Nachweis eines geringeren Aufwandes vorbehalten.</w:t>
            </w:r>
          </w:p>
        </w:tc>
        <w:tc>
          <w:tcPr>
            <w:tcW w:w="7620" w:type="dxa"/>
            <w:tcBorders/>
            <w:vAlign w:val="center"/>
          </w:tcPr>
          <w:p>
            <w:pPr>
              <w:pStyle w:val="TableContents"/>
              <w:widowControl/>
              <w:bidi w:val="0"/>
              <w:spacing w:before="0" w:after="283"/>
              <w:rPr/>
            </w:pPr>
            <w:r>
              <w:rPr>
                <w:rStyle w:val="Strong"/>
              </w:rPr>
              <w:t>8.3</w:t>
            </w:r>
            <w:r>
              <w:rPr/>
              <w:t xml:space="preserve"> If the access or conduct rules are breached, the Seller may impose additional safety conditions on further site visits and claim a flat-rate contribution of EUR 2,500.00 towards administration and safety costs for each culpable breach. The Buyer retains the right to prove that the actual expense was lower.</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25" w:name="haftung-mängelrechte-verzug-verjährung"/>
            <w:bookmarkEnd w:id="25"/>
            <w:r>
              <w:rPr/>
              <w:t>§ 9 Haftung, Mängelrechte, Verzug, Verjährung</w:t>
            </w:r>
          </w:p>
          <w:p>
            <w:pPr>
              <w:pStyle w:val="TableContents"/>
              <w:widowControl/>
              <w:bidi w:val="0"/>
              <w:spacing w:before="0" w:after="283"/>
              <w:rPr/>
            </w:pPr>
            <w:r>
              <w:rPr>
                <w:rStyle w:val="Strong"/>
              </w:rPr>
              <w:t>9.1</w:t>
            </w:r>
            <w:r>
              <w:rPr/>
              <w:t xml:space="preserve"> Der Verkäufer schuldet den lastenfreien Besitz- und Eigentumsübergang des Vertragsgegenstandes, soweit nicht Lasten und Rechte ausdrücklich übernommen werden.</w:t>
            </w:r>
          </w:p>
        </w:tc>
        <w:tc>
          <w:tcPr>
            <w:tcW w:w="7620" w:type="dxa"/>
            <w:tcBorders/>
            <w:vAlign w:val="center"/>
          </w:tcPr>
          <w:p>
            <w:pPr>
              <w:pStyle w:val="Heading1"/>
              <w:keepNext/>
              <w:widowControl/>
              <w:pBdr/>
              <w:bidi w:val="0"/>
              <w:spacing w:before="240" w:after="283"/>
              <w:rPr/>
            </w:pPr>
            <w:r>
              <w:rPr/>
              <w:t>§ 9 Liability, Rights in Respect of Defects, Default and Limitation</w:t>
            </w:r>
          </w:p>
          <w:p>
            <w:pPr>
              <w:pStyle w:val="TableContents"/>
              <w:widowControl/>
              <w:bidi w:val="0"/>
              <w:spacing w:before="0" w:after="283"/>
              <w:rPr/>
            </w:pPr>
            <w:r>
              <w:rPr>
                <w:rStyle w:val="Strong"/>
              </w:rPr>
              <w:t>9.1</w:t>
            </w:r>
            <w:r>
              <w:rPr/>
              <w:t xml:space="preserve"> The Seller owes transfer of possession and ownership of the Purchased Property free from encumbrances, except for burdens and rights expressly assumed by the Buyer.</w:t>
            </w:r>
          </w:p>
        </w:tc>
      </w:tr>
      <w:tr>
        <w:trPr>
          <w:cantSplit/>
        </w:trPr>
        <w:tc>
          <w:tcPr>
            <w:tcW w:w="7914" w:type="dxa"/>
            <w:tcBorders/>
            <w:vAlign w:val="center"/>
          </w:tcPr>
          <w:p>
            <w:pPr>
              <w:pStyle w:val="TableContents"/>
              <w:widowControl/>
              <w:bidi w:val="0"/>
              <w:spacing w:before="0" w:after="283"/>
              <w:rPr/>
            </w:pPr>
            <w:r>
              <w:rPr>
                <w:rStyle w:val="Strong"/>
              </w:rPr>
              <w:t>9.2</w:t>
            </w:r>
            <w:r>
              <w:rPr/>
              <w:t xml:space="preserve"> Der Verkäufer schuldet weder die Verwendbarkeit des Kaufgegenstandes für Zwecke des Käufers noch dessen Eignung zur Erreichung steuerlicher Ziele des Käufers.</w:t>
            </w:r>
          </w:p>
        </w:tc>
        <w:tc>
          <w:tcPr>
            <w:tcW w:w="7620" w:type="dxa"/>
            <w:tcBorders/>
            <w:vAlign w:val="center"/>
          </w:tcPr>
          <w:p>
            <w:pPr>
              <w:pStyle w:val="TableContents"/>
              <w:widowControl/>
              <w:bidi w:val="0"/>
              <w:spacing w:before="0" w:after="283"/>
              <w:rPr/>
            </w:pPr>
            <w:r>
              <w:rPr>
                <w:rStyle w:val="Strong"/>
              </w:rPr>
              <w:t>9.2</w:t>
            </w:r>
            <w:r>
              <w:rPr/>
              <w:t xml:space="preserve"> The Seller owes neither the usability of the Purchased Property for the purposes of the Buyer nor its suitability for achieving the Buyer’s tax objectives. </w:t>
            </w:r>
          </w:p>
        </w:tc>
      </w:tr>
      <w:tr>
        <w:trPr>
          <w:cantSplit/>
        </w:trPr>
        <w:tc>
          <w:tcPr>
            <w:tcW w:w="7914" w:type="dxa"/>
            <w:tcBorders/>
            <w:vAlign w:val="center"/>
          </w:tcPr>
          <w:p>
            <w:pPr>
              <w:pStyle w:val="TableContents"/>
              <w:widowControl/>
              <w:bidi w:val="0"/>
              <w:spacing w:before="0" w:after="283"/>
              <w:rPr/>
            </w:pPr>
            <w:r>
              <w:rPr>
                <w:rStyle w:val="Strong"/>
              </w:rPr>
              <w:t>9.3</w:t>
            </w:r>
            <w:r>
              <w:rPr/>
              <w:t xml:space="preserve"> Alle Ansprüche und Rechte des Käufers wegen eines Sachmangels des Grundstücks sind ausgeschlossen, ausgenommen Schadensersatzansprüche wegen Vorsatzes.</w:t>
            </w:r>
          </w:p>
        </w:tc>
        <w:tc>
          <w:tcPr>
            <w:tcW w:w="7620" w:type="dxa"/>
            <w:tcBorders/>
            <w:vAlign w:val="center"/>
          </w:tcPr>
          <w:p>
            <w:pPr>
              <w:pStyle w:val="TableContents"/>
              <w:widowControl/>
              <w:bidi w:val="0"/>
              <w:spacing w:before="0" w:after="283"/>
              <w:rPr/>
            </w:pPr>
            <w:r>
              <w:rPr>
                <w:rStyle w:val="Strong"/>
              </w:rPr>
              <w:t>9.3</w:t>
            </w:r>
            <w:r>
              <w:rPr/>
              <w:t xml:space="preserve"> All claims and rights of the Buyer arising from defects in the Land are excluded, except claims for damages arising from intentional conduct.</w:t>
            </w:r>
          </w:p>
        </w:tc>
      </w:tr>
      <w:tr>
        <w:trPr>
          <w:cantSplit/>
        </w:trPr>
        <w:tc>
          <w:tcPr>
            <w:tcW w:w="7914" w:type="dxa"/>
            <w:tcBorders/>
            <w:vAlign w:val="center"/>
          </w:tcPr>
          <w:p>
            <w:pPr>
              <w:pStyle w:val="TableContents"/>
              <w:widowControl/>
              <w:bidi w:val="0"/>
              <w:spacing w:before="0" w:after="283"/>
              <w:rPr/>
            </w:pPr>
            <w:r>
              <w:rPr>
                <w:rStyle w:val="Strong"/>
              </w:rPr>
              <w:t>9.4</w:t>
            </w:r>
            <w:r>
              <w:rPr/>
              <w:t xml:space="preserve"> Hinsichtlich des herzustellenden Bauwerks gelten die Regelungen des Werkvertragsrechts gem. §§ 633 ff. BGB mit folgender Maßgabe und zur Sicherung einer geordneten Gewährleistungsabwicklung:</w:t>
            </w:r>
          </w:p>
        </w:tc>
        <w:tc>
          <w:tcPr>
            <w:tcW w:w="7620" w:type="dxa"/>
            <w:tcBorders/>
            <w:vAlign w:val="center"/>
          </w:tcPr>
          <w:p>
            <w:pPr>
              <w:pStyle w:val="TableContents"/>
              <w:widowControl/>
              <w:bidi w:val="0"/>
              <w:spacing w:before="0" w:after="283"/>
              <w:rPr/>
            </w:pPr>
            <w:r>
              <w:rPr>
                <w:rStyle w:val="Strong"/>
              </w:rPr>
              <w:t>9.4</w:t>
            </w:r>
            <w:r>
              <w:rPr/>
              <w:t xml:space="preserve"> The rules governing contracts for work under §§ 633 et seq. BGB apply to the building to be constructed, subject to the following provisions intended to ensure orderly handling of defect claims:</w:t>
            </w:r>
          </w:p>
        </w:tc>
      </w:tr>
      <w:tr>
        <w:trPr>
          <w:cantSplit/>
        </w:trPr>
        <w:tc>
          <w:tcPr>
            <w:tcW w:w="7914" w:type="dxa"/>
            <w:tcBorders/>
            <w:vAlign w:val="center"/>
          </w:tcPr>
          <w:p>
            <w:pPr>
              <w:pStyle w:val="TableContents"/>
              <w:widowControl/>
              <w:numPr>
                <w:ilvl w:val="0"/>
                <w:numId w:val="5"/>
              </w:numPr>
              <w:tabs>
                <w:tab w:val="clear" w:pos="1134"/>
                <w:tab w:val="left" w:pos="709" w:leader="none"/>
              </w:tabs>
              <w:bidi w:val="0"/>
              <w:spacing w:before="0" w:after="0"/>
              <w:ind w:hanging="283" w:start="709"/>
              <w:rPr/>
            </w:pPr>
            <w:r>
              <w:rPr/>
              <w:t xml:space="preserve">Mängelanzeigen sind mit konkreter Beschreibung, Lageangabe innerhalb der Wohnung 4.27, Foto und gewünschter Kontaktaufnahme an die vom Verkäufer benannte Gewährleistungsstelle </w:t>
            </w:r>
            <w:r>
              <w:rPr>
                <w:rStyle w:val="SourceText"/>
              </w:rPr>
              <w:t>gewaehrleistung-birkenpfuhl@hq-projekt.de</w:t>
            </w:r>
            <w:r>
              <w:rPr/>
              <w:t xml:space="preserve"> zu richten. </w:t>
            </w:r>
          </w:p>
          <w:p>
            <w:pPr>
              <w:pStyle w:val="TableContents"/>
              <w:widowControl/>
              <w:numPr>
                <w:ilvl w:val="0"/>
                <w:numId w:val="5"/>
              </w:numPr>
              <w:tabs>
                <w:tab w:val="clear" w:pos="1134"/>
                <w:tab w:val="left" w:pos="709" w:leader="none"/>
              </w:tabs>
              <w:bidi w:val="0"/>
              <w:spacing w:before="0" w:after="0"/>
              <w:ind w:hanging="283" w:start="709"/>
              <w:rPr/>
            </w:pPr>
            <w:r>
              <w:rPr/>
              <w:t xml:space="preserve">Der Käufer wird dem Verkäufer zunächst Gelegenheit zur Prüfung und Nacherfüllung geben; Ersatzvornahmen vor Abschluss dieser Prüfung sind nur bei Gefahr im Verzug oder nach schriftlicher Freigabe des Verkäufers erstattungsfähig. </w:t>
            </w:r>
          </w:p>
          <w:p>
            <w:pPr>
              <w:pStyle w:val="TableContents"/>
              <w:widowControl/>
              <w:numPr>
                <w:ilvl w:val="0"/>
                <w:numId w:val="5"/>
              </w:numPr>
              <w:tabs>
                <w:tab w:val="clear" w:pos="1134"/>
                <w:tab w:val="left" w:pos="709" w:leader="none"/>
              </w:tabs>
              <w:bidi w:val="0"/>
              <w:spacing w:before="0" w:after="0"/>
              <w:ind w:hanging="283" w:start="709"/>
              <w:rPr/>
            </w:pPr>
            <w:r>
              <w:rPr/>
              <w:t xml:space="preserve">Zur Vermeidung von Folgeschäden sollen Mängel binnen 14 Kalendertagen nach Entdeckung in Textform angezeigt werden. Später angezeigte Punkte werden im Rahmen der Gewährleistungsbearbeitung berücksichtigt, soweit eine Zuordnung zum Verantwortungsbereich des Verkäufers noch möglich ist. </w:t>
            </w:r>
          </w:p>
          <w:p>
            <w:pPr>
              <w:pStyle w:val="TableContents"/>
              <w:widowControl/>
              <w:numPr>
                <w:ilvl w:val="0"/>
                <w:numId w:val="5"/>
              </w:numPr>
              <w:tabs>
                <w:tab w:val="clear" w:pos="1134"/>
                <w:tab w:val="left" w:pos="709" w:leader="none"/>
              </w:tabs>
              <w:bidi w:val="0"/>
              <w:spacing w:before="0" w:after="0"/>
              <w:ind w:hanging="283" w:start="709"/>
              <w:rPr/>
            </w:pPr>
            <w:r>
              <w:rPr/>
              <w:t xml:space="preserve">Für Verschleißteile, einstellungsbedürftige Anlagen und wartungsabhängige Bauteile gelten die jeweiligen Wartungs- und Bedienungshinweise. Unterbleibt die nach den Hersteller- oder Betreiberunterlagen vorgesehene Wartung, wird vermutet, dass hierauf beruhende Funktionsstörungen nicht vom Verkäufer zu vertreten sind. </w:t>
            </w:r>
          </w:p>
          <w:p>
            <w:pPr>
              <w:pStyle w:val="TableContents"/>
              <w:widowControl/>
              <w:numPr>
                <w:ilvl w:val="0"/>
                <w:numId w:val="5"/>
              </w:numPr>
              <w:tabs>
                <w:tab w:val="clear" w:pos="1134"/>
                <w:tab w:val="left" w:pos="709" w:leader="none"/>
              </w:tabs>
              <w:bidi w:val="0"/>
              <w:spacing w:before="0" w:after="283"/>
              <w:ind w:hanging="283" w:start="709"/>
              <w:rPr/>
            </w:pPr>
            <w:r>
              <w:rPr/>
              <w:t xml:space="preserve">Die Verjährungsfrist für Mängelansprüche beträgt zwei Jahre ab der vom Verkäufer dokumentierten Abnahmebestätigung, soweit zwingendes Recht keine längere Frist vorschreibt. </w:t>
            </w:r>
          </w:p>
        </w:tc>
        <w:tc>
          <w:tcPr>
            <w:tcW w:w="7620" w:type="dxa"/>
            <w:tcBorders/>
            <w:vAlign w:val="center"/>
          </w:tcPr>
          <w:p>
            <w:pPr>
              <w:pStyle w:val="TableContents"/>
              <w:widowControl/>
              <w:numPr>
                <w:ilvl w:val="0"/>
                <w:numId w:val="6"/>
              </w:numPr>
              <w:tabs>
                <w:tab w:val="clear" w:pos="1134"/>
                <w:tab w:val="left" w:pos="709" w:leader="none"/>
              </w:tabs>
              <w:bidi w:val="0"/>
              <w:spacing w:before="0" w:after="0"/>
              <w:ind w:hanging="283" w:start="709"/>
              <w:rPr/>
            </w:pPr>
            <w:r>
              <w:rPr/>
              <w:t xml:space="preserve">Notices of defects must be sent to the Seller's designated defects department at </w:t>
            </w:r>
            <w:r>
              <w:rPr>
                <w:rStyle w:val="SourceText"/>
              </w:rPr>
              <w:t>gewaehrleistung-birkenpfuhl@hq-projekt.de</w:t>
            </w:r>
            <w:r>
              <w:rPr/>
              <w:t>, including a specific description, the location within apartment 4.27, a photograph and the requested means of contact.</w:t>
            </w:r>
          </w:p>
          <w:p>
            <w:pPr>
              <w:pStyle w:val="TableContents"/>
              <w:widowControl/>
              <w:numPr>
                <w:ilvl w:val="0"/>
                <w:numId w:val="6"/>
              </w:numPr>
              <w:tabs>
                <w:tab w:val="clear" w:pos="1134"/>
                <w:tab w:val="left" w:pos="709" w:leader="none"/>
              </w:tabs>
              <w:bidi w:val="0"/>
              <w:spacing w:before="0" w:after="0"/>
              <w:ind w:hanging="283" w:start="709"/>
              <w:rPr/>
            </w:pPr>
            <w:r>
              <w:rPr/>
              <w:t>The Buyer will first give the Seller an opportunity to investigate and remedy the defect; costs of remedial work arranged by the Buyer before that investigation is completed are reimbursable only where delay would create an imminent danger or the Seller has given written authorisation.</w:t>
            </w:r>
          </w:p>
          <w:p>
            <w:pPr>
              <w:pStyle w:val="TableContents"/>
              <w:widowControl/>
              <w:numPr>
                <w:ilvl w:val="0"/>
                <w:numId w:val="6"/>
              </w:numPr>
              <w:tabs>
                <w:tab w:val="clear" w:pos="1134"/>
                <w:tab w:val="left" w:pos="709" w:leader="none"/>
              </w:tabs>
              <w:bidi w:val="0"/>
              <w:spacing w:before="0" w:after="0"/>
              <w:ind w:hanging="283" w:start="709"/>
              <w:rPr/>
            </w:pPr>
            <w:r>
              <w:rPr/>
              <w:t>To avoid consequential damage, defects should be reported in text form within 14 calendar days of discovery. Items reported later will be considered in the handling of defect claims insofar as they can still be attributed to the Seller's sphere of responsibility.</w:t>
            </w:r>
          </w:p>
          <w:p>
            <w:pPr>
              <w:pStyle w:val="TableContents"/>
              <w:widowControl/>
              <w:numPr>
                <w:ilvl w:val="0"/>
                <w:numId w:val="6"/>
              </w:numPr>
              <w:tabs>
                <w:tab w:val="clear" w:pos="1134"/>
                <w:tab w:val="left" w:pos="709" w:leader="none"/>
              </w:tabs>
              <w:bidi w:val="0"/>
              <w:spacing w:before="0" w:after="0"/>
              <w:ind w:hanging="283" w:start="709"/>
              <w:rPr/>
            </w:pPr>
            <w:r>
              <w:rPr/>
              <w:t>The applicable maintenance and operating instructions apply to wearing parts, systems requiring adjustment and components dependent on maintenance. If maintenance specified in the manufacturer's or operator's documents is omitted, it is presumed that resulting malfunctions are not attributable to the Seller.</w:t>
            </w:r>
          </w:p>
          <w:p>
            <w:pPr>
              <w:pStyle w:val="TableContents"/>
              <w:widowControl/>
              <w:numPr>
                <w:ilvl w:val="0"/>
                <w:numId w:val="6"/>
              </w:numPr>
              <w:tabs>
                <w:tab w:val="clear" w:pos="1134"/>
                <w:tab w:val="left" w:pos="709" w:leader="none"/>
              </w:tabs>
              <w:bidi w:val="0"/>
              <w:spacing w:before="0" w:after="283"/>
              <w:ind w:hanging="283" w:start="709"/>
              <w:rPr/>
            </w:pPr>
            <w:r>
              <w:rPr/>
              <w:t>The limitation period for defect claims is two years from the confirmation of acceptance documented by the Seller, unless mandatory law prescribes a longer period.</w:t>
            </w:r>
          </w:p>
        </w:tc>
      </w:tr>
      <w:tr>
        <w:trPr>
          <w:cantSplit/>
        </w:trPr>
        <w:tc>
          <w:tcPr>
            <w:tcW w:w="7914" w:type="dxa"/>
            <w:tcBorders/>
            <w:vAlign w:val="center"/>
          </w:tcPr>
          <w:p>
            <w:pPr>
              <w:pStyle w:val="TableContents"/>
              <w:widowControl/>
              <w:bidi w:val="0"/>
              <w:spacing w:before="0" w:after="283"/>
              <w:rPr/>
            </w:pPr>
            <w:r>
              <w:rPr>
                <w:rStyle w:val="Strong"/>
              </w:rPr>
              <w:t>9.5</w:t>
            </w:r>
            <w:r>
              <w:rPr/>
              <w:t xml:space="preserve"> Schäden an Gebrauchsteilen und sonstigen Bauteilen, die aufgrund bestimmungsgemäßen Gebrauches über eine nur begrenzte Nutzungsdauer verfügen und/oder ständiger Wartung bedürfen, stellen keinen Mangel dar.</w:t>
            </w:r>
          </w:p>
        </w:tc>
        <w:tc>
          <w:tcPr>
            <w:tcW w:w="7620" w:type="dxa"/>
            <w:tcBorders/>
            <w:vAlign w:val="center"/>
          </w:tcPr>
          <w:p>
            <w:pPr>
              <w:pStyle w:val="TableContents"/>
              <w:widowControl/>
              <w:bidi w:val="0"/>
              <w:spacing w:before="0" w:after="283"/>
              <w:rPr/>
            </w:pPr>
            <w:r>
              <w:rPr>
                <w:rStyle w:val="Strong"/>
              </w:rPr>
              <w:t>9.5</w:t>
            </w:r>
            <w:r>
              <w:rPr/>
              <w:t xml:space="preserve"> Damage to parts in use and other components that, owing to their intended use, have only a limited service life and/or require ongoing maintenance does not constitute a defect.</w:t>
            </w:r>
          </w:p>
        </w:tc>
      </w:tr>
      <w:tr>
        <w:trPr>
          <w:cantSplit/>
        </w:trPr>
        <w:tc>
          <w:tcPr>
            <w:tcW w:w="7914" w:type="dxa"/>
            <w:tcBorders/>
            <w:vAlign w:val="center"/>
          </w:tcPr>
          <w:p>
            <w:pPr>
              <w:pStyle w:val="TableContents"/>
              <w:widowControl/>
              <w:bidi w:val="0"/>
              <w:spacing w:before="0" w:after="283"/>
              <w:rPr/>
            </w:pPr>
            <w:r>
              <w:rPr>
                <w:rStyle w:val="Strong"/>
              </w:rPr>
              <w:t>9.6</w:t>
            </w:r>
            <w:r>
              <w:rPr/>
              <w:t xml:space="preserve"> Werden bei Übergabe oder Abnahme unwesentliche Mängel oder Restarbeiten festgestellt, kann der Verkäufer zur Beschleunigung der Übergabe einen Restarbeitenplan für die Wohnung 4.27 mit Kostenbewertung je Position oder eine Bürgschaft eines Bürgen gemäß § 2 Abs. 2 MaBV stellen. Die Parteien werden den Einbehalt auf den nach dem Restarbeitenplan verbleibenden voraussichtlichen Aufwand begrenzen; nach Anzeige der Abarbeitung ist eine gestellte Sicherheit freizugeben, sofern der Käufer nicht binnen zehn Bankarbeitstagen substantiiert widerspricht.</w:t>
            </w:r>
          </w:p>
        </w:tc>
        <w:tc>
          <w:tcPr>
            <w:tcW w:w="7620" w:type="dxa"/>
            <w:tcBorders/>
            <w:vAlign w:val="center"/>
          </w:tcPr>
          <w:p>
            <w:pPr>
              <w:pStyle w:val="TableContents"/>
              <w:widowControl/>
              <w:bidi w:val="0"/>
              <w:spacing w:before="0" w:after="283"/>
              <w:rPr/>
            </w:pPr>
            <w:r>
              <w:rPr>
                <w:rStyle w:val="Strong"/>
              </w:rPr>
              <w:t>9.6</w:t>
            </w:r>
            <w:r>
              <w:rPr/>
              <w:t xml:space="preserve"> If minor defects or outstanding works are identified at handover or acceptance, the Seller may, to expedite handover, provide a schedule of outstanding works for apartment 4.27 with estimated costs for each item, or a guarantee from a guarantor meeting § 2(2) MaBV. The parties will limit the retention to the estimated remaining cost under that schedule; after notification that the works have been completed, any security provided must be released unless the Buyer raises a substantiated objection within ten banking days.</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26" w:name="vormerkung"/>
            <w:bookmarkEnd w:id="26"/>
            <w:r>
              <w:rPr/>
              <w:t>§ 10 Vormerkung</w:t>
            </w:r>
          </w:p>
          <w:p>
            <w:pPr>
              <w:pStyle w:val="TableContents"/>
              <w:widowControl/>
              <w:bidi w:val="0"/>
              <w:spacing w:before="0" w:after="283"/>
              <w:rPr/>
            </w:pPr>
            <w:r>
              <w:rPr>
                <w:rStyle w:val="Strong"/>
              </w:rPr>
              <w:t>10.1</w:t>
            </w:r>
            <w:r>
              <w:rPr/>
              <w:t xml:space="preserve"> Zur Sicherung des Anspruchs des Käufers auf Verschaffung des Eigentums an dem Kaufgegenstand wird die Eintragung einer Eigentumsvormerkung nach § 883 BGB zugunsten des Käufers im Wohnungsgrundbuch durch den Verkäufer bewilligt und durch die Parteien beantragt.</w:t>
            </w:r>
          </w:p>
        </w:tc>
        <w:tc>
          <w:tcPr>
            <w:tcW w:w="7620" w:type="dxa"/>
            <w:tcBorders/>
            <w:vAlign w:val="center"/>
          </w:tcPr>
          <w:p>
            <w:pPr>
              <w:pStyle w:val="Heading1"/>
              <w:keepNext/>
              <w:widowControl/>
              <w:pBdr/>
              <w:bidi w:val="0"/>
              <w:spacing w:before="240" w:after="283"/>
              <w:rPr/>
            </w:pPr>
            <w:r>
              <w:rPr/>
              <w:t>§ 10 Priority Notice</w:t>
            </w:r>
          </w:p>
          <w:p>
            <w:pPr>
              <w:pStyle w:val="TableContents"/>
              <w:widowControl/>
              <w:bidi w:val="0"/>
              <w:spacing w:before="0" w:after="283"/>
              <w:rPr/>
            </w:pPr>
            <w:r>
              <w:rPr>
                <w:rStyle w:val="Strong"/>
              </w:rPr>
              <w:t>10.1</w:t>
            </w:r>
            <w:r>
              <w:rPr/>
              <w:t xml:space="preserve"> To secure the Buyer's claim to ownership of the Purchased Property, the Seller consents, and the parties apply, to the registration of a priority notice in the Buyer's favour under § 883 BGB in the residential Land Register.</w:t>
            </w:r>
          </w:p>
        </w:tc>
      </w:tr>
      <w:tr>
        <w:trPr>
          <w:cantSplit/>
        </w:trPr>
        <w:tc>
          <w:tcPr>
            <w:tcW w:w="7914" w:type="dxa"/>
            <w:tcBorders/>
            <w:vAlign w:val="center"/>
          </w:tcPr>
          <w:p>
            <w:pPr>
              <w:pStyle w:val="TableContents"/>
              <w:widowControl/>
              <w:bidi w:val="0"/>
              <w:spacing w:before="0" w:after="283"/>
              <w:rPr/>
            </w:pPr>
            <w:r>
              <w:rPr>
                <w:rStyle w:val="Strong"/>
              </w:rPr>
              <w:t>10.2</w:t>
            </w:r>
            <w:r>
              <w:rPr/>
              <w:t xml:space="preserve"> Zur Vermeidung grundbuchlicher Blockaden bewilligt der Käufer bereits heute die Löschung der Vormerkung für den Fall, dass der gesicherte Anspruch infolge Rücktritts, einvernehmlicher Aufhebung, endgültiger Kaufpreisnichtzahlung oder sonstiger Erledigung nicht mehr besteht. Der Notar darf von dieser Bewilligung Gebrauch machen, wenn ihm der Verkäufer die Erledigung des gesicherten Anspruchs in Textform anzeigt und der Käufer nicht binnen zehn Bankarbeitstagen nach notarieller Anhörung widerspricht.</w:t>
            </w:r>
          </w:p>
        </w:tc>
        <w:tc>
          <w:tcPr>
            <w:tcW w:w="7620" w:type="dxa"/>
            <w:tcBorders/>
            <w:vAlign w:val="center"/>
          </w:tcPr>
          <w:p>
            <w:pPr>
              <w:pStyle w:val="TableContents"/>
              <w:widowControl/>
              <w:bidi w:val="0"/>
              <w:spacing w:before="0" w:after="283"/>
              <w:rPr/>
            </w:pPr>
            <w:r>
              <w:rPr>
                <w:rStyle w:val="Strong"/>
              </w:rPr>
              <w:t>10.2</w:t>
            </w:r>
            <w:r>
              <w:rPr/>
              <w:t xml:space="preserve"> To avoid obstacles in the Land Register, the Buyer hereby consents to deletion of the priority notice if the secured claim ceases to exist as a result of rescission, cancellation by agreement, definitive non-payment of the Purchase Price or other extinguishment of the claim. The Notary may act on this consent if the Seller notifies the Notary in text form that the secured claim has ceased to exist and the Buyer does not object within ten banking days after being given an opportunity by the Notary to respond.</w:t>
            </w:r>
          </w:p>
        </w:tc>
      </w:tr>
      <w:tr>
        <w:trPr>
          <w:cantSplit/>
        </w:trPr>
        <w:tc>
          <w:tcPr>
            <w:tcW w:w="7914" w:type="dxa"/>
            <w:tcBorders/>
            <w:vAlign w:val="center"/>
          </w:tcPr>
          <w:p>
            <w:pPr>
              <w:pStyle w:val="TableContents"/>
              <w:widowControl/>
              <w:bidi w:val="0"/>
              <w:spacing w:before="0" w:after="283"/>
              <w:rPr/>
            </w:pPr>
            <w:r>
              <w:rPr>
                <w:rStyle w:val="Strong"/>
              </w:rPr>
              <w:t>10.3</w:t>
            </w:r>
            <w:r>
              <w:rPr/>
              <w:t xml:space="preserve"> Der Käufer beantragt schon heute die Löschung der Eigentumsvormerkung Zug um Zug mit Vollzug der Auflassung.</w:t>
            </w:r>
          </w:p>
        </w:tc>
        <w:tc>
          <w:tcPr>
            <w:tcW w:w="7620" w:type="dxa"/>
            <w:tcBorders/>
            <w:vAlign w:val="center"/>
          </w:tcPr>
          <w:p>
            <w:pPr>
              <w:pStyle w:val="TableContents"/>
              <w:widowControl/>
              <w:bidi w:val="0"/>
              <w:spacing w:before="0" w:after="283"/>
              <w:rPr/>
            </w:pPr>
            <w:r>
              <w:rPr>
                <w:rStyle w:val="Strong"/>
              </w:rPr>
              <w:t>10.3</w:t>
            </w:r>
            <w:r>
              <w:rPr/>
              <w:t xml:space="preserve"> The Buyer hereby applies for deletion of the priority notice concurrently with completion of the conveyance.</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27" w:name="auflassung"/>
            <w:bookmarkEnd w:id="27"/>
            <w:r>
              <w:rPr/>
              <w:t>§ 11 Auflassung</w:t>
            </w:r>
          </w:p>
          <w:p>
            <w:pPr>
              <w:pStyle w:val="TableContents"/>
              <w:widowControl/>
              <w:bidi w:val="0"/>
              <w:spacing w:before="0" w:after="283"/>
              <w:rPr/>
            </w:pPr>
            <w:r>
              <w:rPr/>
              <w:t>Verkäufer und Käufer sind über den Eigentumsübergang einig. Sie bewilligen und beantragen die Eintragung der Eigentumsänderung im Grundbuch. Der Notar wird angewiesen, die Auflassung erst nach Eingang des vollständigen Kaufpreises sowie Vorlage einer Bestätigung des Verkäufers über die Fertigstellung beim Grundbuchamt zur Eintragung zu bringen.</w:t>
            </w:r>
          </w:p>
        </w:tc>
        <w:tc>
          <w:tcPr>
            <w:tcW w:w="7620" w:type="dxa"/>
            <w:tcBorders/>
            <w:vAlign w:val="center"/>
          </w:tcPr>
          <w:p>
            <w:pPr>
              <w:pStyle w:val="Heading1"/>
              <w:keepNext/>
              <w:widowControl/>
              <w:pBdr/>
              <w:bidi w:val="0"/>
              <w:spacing w:before="240" w:after="283"/>
              <w:rPr/>
            </w:pPr>
            <w:r>
              <w:rPr/>
              <w:t>§ 11 Conveyance (Auflassung)</w:t>
            </w:r>
          </w:p>
          <w:p>
            <w:pPr>
              <w:pStyle w:val="TableContents"/>
              <w:widowControl/>
              <w:bidi w:val="0"/>
              <w:spacing w:before="0" w:after="283"/>
              <w:rPr/>
            </w:pPr>
            <w:r>
              <w:rPr/>
              <w:t>The Seller and Buyer agree that ownership is to pass to the Buyer. They consent to and apply for registration of the change of ownership in the Land Register. The Notary is instructed to submit the conveyance for registration to the Land Registry only after receipt of the full Purchase Price and a confirmation of completion from the Seller.</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28" w:name="vollmachten"/>
            <w:bookmarkEnd w:id="28"/>
            <w:r>
              <w:rPr/>
              <w:t>§ 12 Vollmachten</w:t>
            </w:r>
          </w:p>
          <w:p>
            <w:pPr>
              <w:pStyle w:val="TableContents"/>
              <w:widowControl/>
              <w:bidi w:val="0"/>
              <w:spacing w:before="0" w:after="283"/>
              <w:rPr/>
            </w:pPr>
            <w:r>
              <w:rPr>
                <w:rStyle w:val="Strong"/>
              </w:rPr>
              <w:t>12.1</w:t>
            </w:r>
            <w:r>
              <w:rPr/>
              <w:t xml:space="preserve"> Der Käufer bevollmächtigt den Verkäufer, die Teilungserklärung einschließlich Gemeinschaftsordnung ohne weitere Mitwirkung des Käufers zu ändern, soweit dies zur Durchführung des Gesamtprojekts, zur Anpassung der Aufteilungspläne, zur Berichtigung offenbarer Unrichtigkeiten, zur Bildung oder Anpassung von Untergemeinschaften, zur Verschiebung oder Konkretisierung von Sondernutzungsrechten, zur Änderung technischer Gemeinschaftsflächen oder zur sachgerechten Kostenverteilung erforderlich oder zweckmäßig ist. Die Vollmacht erstreckt sich auch auf die Sondereigentumseinheit des Käufers, soweit deren wirtschaftlicher Zuschnitt nicht wesentlich verändert wird.</w:t>
            </w:r>
          </w:p>
        </w:tc>
        <w:tc>
          <w:tcPr>
            <w:tcW w:w="7620" w:type="dxa"/>
            <w:tcBorders/>
            <w:vAlign w:val="center"/>
          </w:tcPr>
          <w:p>
            <w:pPr>
              <w:pStyle w:val="Heading1"/>
              <w:keepNext/>
              <w:widowControl/>
              <w:bidi w:val="0"/>
              <w:spacing w:before="240" w:after="283"/>
              <w:ind w:hanging="0" w:start="0" w:end="0"/>
              <w:rPr/>
            </w:pPr>
            <w:bookmarkStart w:id="29" w:name="section-12-powers-of-attorney"/>
            <w:bookmarkEnd w:id="29"/>
            <w:r>
              <w:rPr/>
              <w:t xml:space="preserve">Section 12 Powers of Attorney </w:t>
            </w:r>
          </w:p>
          <w:p>
            <w:pPr>
              <w:pStyle w:val="TableContents"/>
              <w:widowControl/>
              <w:bidi w:val="0"/>
              <w:spacing w:before="0" w:after="283"/>
              <w:rPr/>
            </w:pPr>
            <w:r>
              <w:rPr>
                <w:rStyle w:val="Strong"/>
              </w:rPr>
              <w:t>12.1</w:t>
            </w:r>
            <w:r>
              <w:rPr/>
              <w:t xml:space="preserve"> The Buyer authorises the Seller to amend the declaration of division, including the community rules, without the Buyer's further involvement, insofar as this is necessary or expedient to carry out the overall project, amend the partition plans, correct obvious errors, establish or adjust sub-communities, relocate or further define exclusive use rights, alter common technical areas or allocate costs appropriately. The power also extends to the Buyer's separately owned unit provided its economic substance is not materially changed.</w:t>
            </w:r>
          </w:p>
        </w:tc>
      </w:tr>
      <w:tr>
        <w:trPr>
          <w:cantSplit/>
        </w:trPr>
        <w:tc>
          <w:tcPr>
            <w:tcW w:w="7914" w:type="dxa"/>
            <w:tcBorders/>
            <w:vAlign w:val="center"/>
          </w:tcPr>
          <w:p>
            <w:pPr>
              <w:pStyle w:val="TableContents"/>
              <w:widowControl/>
              <w:bidi w:val="0"/>
              <w:spacing w:before="0" w:after="283"/>
              <w:rPr/>
            </w:pPr>
            <w:r>
              <w:rPr>
                <w:rStyle w:val="Strong"/>
              </w:rPr>
              <w:t>12.2</w:t>
            </w:r>
            <w:r>
              <w:rPr/>
              <w:t xml:space="preserve"> Die Vollmacht ist im Außenverhältnis unbeschränkt und von den Beschränkungen des § 181 BGB befreit. Im Innenverhältnis soll sie nur projektbezogen und unter Wahrung der berechtigten Interessen des Käufers ausgeübt werden. Ein Widerruf ist nur aus wichtigem Grund zulässig.</w:t>
            </w:r>
          </w:p>
        </w:tc>
        <w:tc>
          <w:tcPr>
            <w:tcW w:w="7620" w:type="dxa"/>
            <w:tcBorders/>
            <w:vAlign w:val="center"/>
          </w:tcPr>
          <w:p>
            <w:pPr>
              <w:pStyle w:val="TableContents"/>
              <w:widowControl/>
              <w:bidi w:val="0"/>
              <w:spacing w:before="0" w:after="283"/>
              <w:rPr/>
            </w:pPr>
            <w:r>
              <w:rPr>
                <w:rStyle w:val="Strong"/>
              </w:rPr>
              <w:t>12.2</w:t>
            </w:r>
            <w:r>
              <w:rPr/>
              <w:t xml:space="preserve"> The power of attorney is unrestricted in relation to third parties and exempts the holder from the restrictions of § 181 BGB. As between the parties, it is to be exercised only for project-related purposes and with due regard to the Buyer's legitimate interests. It may be revoked only for good cause.</w:t>
            </w:r>
          </w:p>
        </w:tc>
      </w:tr>
      <w:tr>
        <w:trPr>
          <w:cantSplit/>
        </w:trPr>
        <w:tc>
          <w:tcPr>
            <w:tcW w:w="7914" w:type="dxa"/>
            <w:tcBorders/>
            <w:vAlign w:val="center"/>
          </w:tcPr>
          <w:p>
            <w:pPr>
              <w:pStyle w:val="TableContents"/>
              <w:widowControl/>
              <w:bidi w:val="0"/>
              <w:spacing w:before="0" w:after="283"/>
              <w:rPr/>
            </w:pPr>
            <w:r>
              <w:rPr>
                <w:rStyle w:val="Strong"/>
              </w:rPr>
              <w:t>12.3</w:t>
            </w:r>
            <w:r>
              <w:rPr/>
              <w:t xml:space="preserve"> Der Käufer bevollmächtigt den Verkäufer ferner, sämtliche zur Durchführung dieses Vertrages erforderlichen Anträge, Erklärungen und Verzichte beim Grundbuchamt, bei Behörden und gegenüber Dritten abzugeben.</w:t>
            </w:r>
          </w:p>
        </w:tc>
        <w:tc>
          <w:tcPr>
            <w:tcW w:w="7620" w:type="dxa"/>
            <w:tcBorders/>
            <w:vAlign w:val="center"/>
          </w:tcPr>
          <w:p>
            <w:pPr>
              <w:pStyle w:val="TableContents"/>
              <w:widowControl/>
              <w:bidi w:val="0"/>
              <w:spacing w:before="0" w:after="283"/>
              <w:rPr/>
            </w:pPr>
            <w:r>
              <w:rPr>
                <w:rStyle w:val="Strong"/>
              </w:rPr>
              <w:t>12.3</w:t>
            </w:r>
            <w:r>
              <w:rPr/>
              <w:t xml:space="preserve"> The Buyer also authorizes the Seller to submit all applications, declarations and waivers necessary for the implementation of this contract to the Land Registry, to authorities and to third parties.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30" w:name="schlussbestimmungen"/>
            <w:bookmarkEnd w:id="30"/>
            <w:r>
              <w:rPr/>
              <w:t>§ 13 Schlussbestimmungen</w:t>
            </w:r>
          </w:p>
          <w:p>
            <w:pPr>
              <w:pStyle w:val="TableContents"/>
              <w:widowControl/>
              <w:bidi w:val="0"/>
              <w:spacing w:before="0" w:after="283"/>
              <w:rPr/>
            </w:pPr>
            <w:r>
              <w:rPr>
                <w:rStyle w:val="Strong"/>
              </w:rPr>
              <w:t>13.1</w:t>
            </w:r>
            <w:r>
              <w:rPr/>
              <w:t xml:space="preserve"> Mündliche Nebenabreden bestehen nicht. Änderungen und Ergänzungen dieses Vertrages bedürfen der notariellen Beurkundung, soweit gesetzlich vorgeschrieben, im Übrigen der Schriftform.</w:t>
            </w:r>
          </w:p>
        </w:tc>
        <w:tc>
          <w:tcPr>
            <w:tcW w:w="7620" w:type="dxa"/>
            <w:tcBorders/>
            <w:vAlign w:val="center"/>
          </w:tcPr>
          <w:p>
            <w:pPr>
              <w:pStyle w:val="Heading1"/>
              <w:keepNext/>
              <w:widowControl/>
              <w:bidi w:val="0"/>
              <w:spacing w:before="240" w:after="283"/>
              <w:ind w:hanging="0" w:start="0" w:end="0"/>
              <w:rPr/>
            </w:pPr>
            <w:bookmarkStart w:id="31" w:name="final-provisions"/>
            <w:bookmarkEnd w:id="31"/>
            <w:r>
              <w:rPr/>
              <w:t xml:space="preserve">§ 13 Final provisions </w:t>
            </w:r>
          </w:p>
          <w:p>
            <w:pPr>
              <w:pStyle w:val="TableContents"/>
              <w:widowControl/>
              <w:bidi w:val="0"/>
              <w:spacing w:before="0" w:after="283"/>
              <w:rPr/>
            </w:pPr>
            <w:r>
              <w:rPr>
                <w:rStyle w:val="Strong"/>
              </w:rPr>
              <w:t>13.1</w:t>
            </w:r>
            <w:r>
              <w:rPr/>
              <w:t xml:space="preserve"> There are no oral ancillary agreements. Amendments and additions to this contract require notarial recording where prescribed by law, and otherwise require written form.</w:t>
            </w:r>
          </w:p>
        </w:tc>
      </w:tr>
      <w:tr>
        <w:trPr>
          <w:cantSplit/>
        </w:trPr>
        <w:tc>
          <w:tcPr>
            <w:tcW w:w="7914" w:type="dxa"/>
            <w:tcBorders/>
            <w:vAlign w:val="center"/>
          </w:tcPr>
          <w:p>
            <w:pPr>
              <w:pStyle w:val="TableContents"/>
              <w:widowControl/>
              <w:bidi w:val="0"/>
              <w:spacing w:before="0" w:after="283"/>
              <w:rPr/>
            </w:pPr>
            <w:r>
              <w:rPr>
                <w:rStyle w:val="Strong"/>
              </w:rPr>
              <w:t>13.2</w:t>
            </w:r>
            <w:r>
              <w:rPr/>
              <w:t xml:space="preserve"> Sollte eine Bestimmung dieses Vertrages unwirksam sein oder werden, so wird die Wirksamkeit der übrigen Bestimmungen davon nicht berührt.</w:t>
            </w:r>
          </w:p>
        </w:tc>
        <w:tc>
          <w:tcPr>
            <w:tcW w:w="7620" w:type="dxa"/>
            <w:tcBorders/>
            <w:vAlign w:val="center"/>
          </w:tcPr>
          <w:p>
            <w:pPr>
              <w:pStyle w:val="TableContents"/>
              <w:widowControl/>
              <w:bidi w:val="0"/>
              <w:spacing w:before="0" w:after="283"/>
              <w:rPr/>
            </w:pPr>
            <w:r>
              <w:rPr>
                <w:rStyle w:val="Strong"/>
              </w:rPr>
              <w:t>13.2</w:t>
            </w:r>
            <w:r>
              <w:rPr/>
              <w:t xml:space="preserve"> Should a provision of this contract be or become ineffective, the effectiveness of the other provisions shall not be affected. </w:t>
            </w:r>
          </w:p>
        </w:tc>
      </w:tr>
      <w:tr>
        <w:trPr>
          <w:cantSplit/>
        </w:trPr>
        <w:tc>
          <w:tcPr>
            <w:tcW w:w="7914" w:type="dxa"/>
            <w:tcBorders/>
            <w:vAlign w:val="center"/>
          </w:tcPr>
          <w:p>
            <w:pPr>
              <w:pStyle w:val="TableContents"/>
              <w:widowControl/>
              <w:bidi w:val="0"/>
              <w:spacing w:before="0" w:after="283"/>
              <w:rPr/>
            </w:pPr>
            <w:r>
              <w:rPr>
                <w:rStyle w:val="Strong"/>
              </w:rPr>
              <w:t>13.3</w:t>
            </w:r>
            <w:r>
              <w:rPr/>
              <w:t xml:space="preserve"> Gerichtsstand für sämtliche Streitigkeiten aus diesem Vertrag ist Berlin, soweit dies rechtlich zulässig ist.</w:t>
            </w:r>
          </w:p>
        </w:tc>
        <w:tc>
          <w:tcPr>
            <w:tcW w:w="7620" w:type="dxa"/>
            <w:tcBorders/>
            <w:vAlign w:val="center"/>
          </w:tcPr>
          <w:p>
            <w:pPr>
              <w:pStyle w:val="TableContents"/>
              <w:widowControl/>
              <w:bidi w:val="0"/>
              <w:spacing w:before="0" w:after="283"/>
              <w:rPr/>
            </w:pPr>
            <w:r>
              <w:rPr>
                <w:rStyle w:val="Strong"/>
              </w:rPr>
              <w:t>13.3</w:t>
            </w:r>
            <w:r>
              <w:rPr/>
              <w:t xml:space="preserve"> The place of jurisdiction for all disputes arising from this contract is Berlin, as far as this is legally permissible. </w:t>
            </w:r>
          </w:p>
        </w:tc>
      </w:tr>
      <w:tr>
        <w:trPr>
          <w:cantSplit/>
        </w:trPr>
        <w:tc>
          <w:tcPr>
            <w:tcW w:w="7914" w:type="dxa"/>
            <w:tcBorders/>
            <w:vAlign w:val="center"/>
          </w:tcPr>
          <w:p>
            <w:pPr>
              <w:pStyle w:val="TableContents"/>
              <w:widowControl/>
              <w:bidi w:val="0"/>
              <w:spacing w:before="0" w:after="283"/>
              <w:rPr/>
            </w:pPr>
            <w:r>
              <w:rPr>
                <w:rStyle w:val="Strong"/>
              </w:rPr>
              <w:t>13.4</w:t>
            </w:r>
            <w:r>
              <w:rPr/>
              <w:t xml:space="preserve"> Die Kosten dieser Urkunde und ihres Vollzugs trägt der Käufer.</w:t>
            </w:r>
          </w:p>
        </w:tc>
        <w:tc>
          <w:tcPr>
            <w:tcW w:w="7620" w:type="dxa"/>
            <w:tcBorders/>
            <w:vAlign w:val="center"/>
          </w:tcPr>
          <w:p>
            <w:pPr>
              <w:pStyle w:val="TableContents"/>
              <w:widowControl/>
              <w:bidi w:val="0"/>
              <w:spacing w:before="0" w:after="283"/>
              <w:rPr/>
            </w:pPr>
            <w:r>
              <w:rPr>
                <w:rStyle w:val="Strong"/>
              </w:rPr>
              <w:t>13.4</w:t>
            </w:r>
            <w:r>
              <w:rPr/>
              <w:t xml:space="preserve"> The Buyer bears the costs of this deed and implementation of the transaction.</w:t>
            </w:r>
          </w:p>
        </w:tc>
      </w:tr>
      <w:tr>
        <w:trPr>
          <w:cantSplit/>
        </w:trPr>
        <w:tc>
          <w:tcPr>
            <w:tcW w:w="7914" w:type="dxa"/>
            <w:tcBorders/>
            <w:vAlign w:val="center"/>
          </w:tcPr>
          <w:p>
            <w:pPr>
              <w:pStyle w:val="TableContents"/>
              <w:widowControl/>
              <w:bidi w:val="0"/>
              <w:spacing w:before="0" w:after="283"/>
              <w:rPr/>
            </w:pPr>
            <w:r>
              <w:rPr>
                <w:rStyle w:val="Strong"/>
              </w:rPr>
              <w:t>13.5</w:t>
            </w:r>
            <w:r>
              <w:rPr/>
              <w:t xml:space="preserve"> Der Käufer trägt die auf die Einheit 4.27 und den Stellplatz TG-127 entfallenden Kosten der erstmaligen Einrichtung und Übergabe der WEG-Verwaltung, der technischen Betriebsführung, der Einweisung in Aufzug, Tiefgarage, Wärmeversorgung, Rauchabzug und Messsysteme sowie der für die Erstbetriebsphase abgeschlossenen Wartungs- und Dienstleistungsverträge. Eine Überprüfung der Wirtschaftlichkeit dieser Verträge durch einzelne Erwerber ist vor Übergabe des Gemeinschaftseigentums nicht geschuldet.</w:t>
            </w:r>
          </w:p>
        </w:tc>
        <w:tc>
          <w:tcPr>
            <w:tcW w:w="7620" w:type="dxa"/>
            <w:tcBorders/>
            <w:vAlign w:val="center"/>
          </w:tcPr>
          <w:p>
            <w:pPr>
              <w:pStyle w:val="TableContents"/>
              <w:widowControl/>
              <w:bidi w:val="0"/>
              <w:spacing w:before="0" w:after="283"/>
              <w:rPr/>
            </w:pPr>
            <w:r>
              <w:rPr>
                <w:rStyle w:val="Strong"/>
              </w:rPr>
              <w:t>13.5</w:t>
            </w:r>
            <w:r>
              <w:rPr/>
              <w:t xml:space="preserve"> The Buyer bears the costs attributable to unit 4.27 and parking space TG-127 for the initial establishment and handover of condominium management, technical operations management, instruction in the use of the lift, underground car park, heat supply, smoke extraction and metering systems, and the maintenance and service contracts entered into for the initial operating phase. Individual purchasers are not entitled to review the cost-effectiveness of those contracts before handover of the Common Property.</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32" w:name="belehrungen"/>
            <w:bookmarkEnd w:id="32"/>
            <w:r>
              <w:rPr/>
              <w:t>§ 14 Belehrungen</w:t>
            </w:r>
          </w:p>
          <w:p>
            <w:pPr>
              <w:pStyle w:val="TableContents"/>
              <w:widowControl/>
              <w:bidi w:val="0"/>
              <w:spacing w:before="0" w:after="283"/>
              <w:rPr/>
            </w:pPr>
            <w:r>
              <w:rPr/>
              <w:t>Für den Beurkundungstermin sind Belehrungen vorgesehen über:</w:t>
            </w:r>
          </w:p>
        </w:tc>
        <w:tc>
          <w:tcPr>
            <w:tcW w:w="7620" w:type="dxa"/>
            <w:tcBorders/>
            <w:vAlign w:val="center"/>
          </w:tcPr>
          <w:p>
            <w:pPr>
              <w:pStyle w:val="Heading1"/>
              <w:keepNext/>
              <w:widowControl/>
              <w:pBdr/>
              <w:bidi w:val="0"/>
              <w:spacing w:before="240" w:after="283"/>
              <w:rPr/>
            </w:pPr>
            <w:r>
              <w:rPr/>
              <w:t>§ 14 Notarial Explanations</w:t>
            </w:r>
          </w:p>
          <w:p>
            <w:pPr>
              <w:pStyle w:val="TableContents"/>
              <w:widowControl/>
              <w:bidi w:val="0"/>
              <w:spacing w:before="0" w:after="283"/>
              <w:rPr/>
            </w:pPr>
            <w:r>
              <w:rPr/>
              <w:t>At the notarisation appointment, explanations are planned concerning:</w:t>
            </w:r>
          </w:p>
        </w:tc>
      </w:tr>
      <w:tr>
        <w:trPr>
          <w:cantSplit/>
        </w:trPr>
        <w:tc>
          <w:tcPr>
            <w:tcW w:w="7914" w:type="dxa"/>
            <w:tcBorders/>
            <w:vAlign w:val="center"/>
          </w:tcPr>
          <w:p>
            <w:pPr>
              <w:pStyle w:val="TableContents"/>
              <w:widowControl/>
              <w:numPr>
                <w:ilvl w:val="0"/>
                <w:numId w:val="7"/>
              </w:numPr>
              <w:tabs>
                <w:tab w:val="clear" w:pos="1134"/>
                <w:tab w:val="left" w:pos="709" w:leader="none"/>
              </w:tabs>
              <w:bidi w:val="0"/>
              <w:spacing w:before="0" w:after="0"/>
              <w:ind w:hanging="283" w:start="709"/>
              <w:rPr/>
            </w:pPr>
            <w:r>
              <w:rPr/>
              <w:t xml:space="preserve">den Inhalt und die Bedeutung dieses Vertrages, </w:t>
            </w:r>
          </w:p>
          <w:p>
            <w:pPr>
              <w:pStyle w:val="TableContents"/>
              <w:widowControl/>
              <w:numPr>
                <w:ilvl w:val="0"/>
                <w:numId w:val="7"/>
              </w:numPr>
              <w:tabs>
                <w:tab w:val="clear" w:pos="1134"/>
                <w:tab w:val="left" w:pos="709" w:leader="none"/>
              </w:tabs>
              <w:bidi w:val="0"/>
              <w:spacing w:before="0" w:after="0"/>
              <w:ind w:hanging="283" w:start="709"/>
              <w:rPr/>
            </w:pPr>
            <w:r>
              <w:rPr/>
              <w:t xml:space="preserve">die Bedeutung der Bezugnahme nach § 13c BeurkG, </w:t>
            </w:r>
          </w:p>
          <w:p>
            <w:pPr>
              <w:pStyle w:val="TableContents"/>
              <w:widowControl/>
              <w:numPr>
                <w:ilvl w:val="0"/>
                <w:numId w:val="7"/>
              </w:numPr>
              <w:tabs>
                <w:tab w:val="clear" w:pos="1134"/>
                <w:tab w:val="left" w:pos="709" w:leader="none"/>
              </w:tabs>
              <w:bidi w:val="0"/>
              <w:spacing w:before="0" w:after="0"/>
              <w:ind w:hanging="283" w:start="709"/>
              <w:rPr/>
            </w:pPr>
            <w:r>
              <w:rPr/>
              <w:t xml:space="preserve">die Eigentumsübertragung erst mit Eintragung im Grundbuch, </w:t>
            </w:r>
          </w:p>
          <w:p>
            <w:pPr>
              <w:pStyle w:val="TableContents"/>
              <w:widowControl/>
              <w:numPr>
                <w:ilvl w:val="0"/>
                <w:numId w:val="7"/>
              </w:numPr>
              <w:tabs>
                <w:tab w:val="clear" w:pos="1134"/>
                <w:tab w:val="left" w:pos="709" w:leader="none"/>
              </w:tabs>
              <w:bidi w:val="0"/>
              <w:spacing w:before="0" w:after="0"/>
              <w:ind w:hanging="283" w:start="709"/>
              <w:rPr/>
            </w:pPr>
            <w:r>
              <w:rPr/>
              <w:t xml:space="preserve">die Bedeutung der Auflassungsvormerkung, </w:t>
            </w:r>
          </w:p>
          <w:p>
            <w:pPr>
              <w:pStyle w:val="TableContents"/>
              <w:widowControl/>
              <w:numPr>
                <w:ilvl w:val="0"/>
                <w:numId w:val="7"/>
              </w:numPr>
              <w:tabs>
                <w:tab w:val="clear" w:pos="1134"/>
                <w:tab w:val="left" w:pos="709" w:leader="none"/>
              </w:tabs>
              <w:bidi w:val="0"/>
              <w:spacing w:before="0" w:after="0"/>
              <w:ind w:hanging="283" w:start="709"/>
              <w:rPr/>
            </w:pPr>
            <w:r>
              <w:rPr/>
              <w:t xml:space="preserve">die Bedeutung der Belastungsvollmacht, </w:t>
            </w:r>
          </w:p>
          <w:p>
            <w:pPr>
              <w:pStyle w:val="TableContents"/>
              <w:widowControl/>
              <w:numPr>
                <w:ilvl w:val="0"/>
                <w:numId w:val="7"/>
              </w:numPr>
              <w:tabs>
                <w:tab w:val="clear" w:pos="1134"/>
                <w:tab w:val="left" w:pos="709" w:leader="none"/>
              </w:tabs>
              <w:bidi w:val="0"/>
              <w:spacing w:before="0" w:after="0"/>
              <w:ind w:hanging="283" w:start="709"/>
              <w:rPr/>
            </w:pPr>
            <w:r>
              <w:rPr/>
              <w:t xml:space="preserve">die gesetzliche Verjährungsfrist für Mängelansprüche im Werkvertragsrecht, </w:t>
            </w:r>
          </w:p>
          <w:p>
            <w:pPr>
              <w:pStyle w:val="TableContents"/>
              <w:widowControl/>
              <w:numPr>
                <w:ilvl w:val="0"/>
                <w:numId w:val="7"/>
              </w:numPr>
              <w:tabs>
                <w:tab w:val="clear" w:pos="1134"/>
                <w:tab w:val="left" w:pos="709" w:leader="none"/>
              </w:tabs>
              <w:bidi w:val="0"/>
              <w:spacing w:before="0" w:after="283"/>
              <w:ind w:hanging="283" w:start="709"/>
              <w:rPr/>
            </w:pPr>
            <w:r>
              <w:rPr/>
              <w:t xml:space="preserve">die Möglichkeit, eigene technische Berater hinzuzuziehen, wobei der Notar keine technische Prüfung des Baugrunds, der Bauüberwachung, der Fachplanung oder der Wirtschaftlichkeit von Betriebs- und Wartungsverträgen vorgenommen hat. </w:t>
            </w:r>
          </w:p>
        </w:tc>
        <w:tc>
          <w:tcPr>
            <w:tcW w:w="7620" w:type="dxa"/>
            <w:tcBorders/>
            <w:vAlign w:val="center"/>
          </w:tcPr>
          <w:p>
            <w:pPr>
              <w:pStyle w:val="TableContents"/>
              <w:widowControl/>
              <w:numPr>
                <w:ilvl w:val="0"/>
                <w:numId w:val="8"/>
              </w:numPr>
              <w:tabs>
                <w:tab w:val="clear" w:pos="1134"/>
                <w:tab w:val="left" w:pos="709" w:leader="none"/>
              </w:tabs>
              <w:bidi w:val="0"/>
              <w:spacing w:before="0" w:after="0"/>
              <w:ind w:hanging="283" w:start="709"/>
              <w:rPr/>
            </w:pPr>
            <w:r>
              <w:rPr/>
              <w:t>the content and significance of this contract;</w:t>
            </w:r>
          </w:p>
          <w:p>
            <w:pPr>
              <w:pStyle w:val="TableContents"/>
              <w:widowControl/>
              <w:numPr>
                <w:ilvl w:val="0"/>
                <w:numId w:val="8"/>
              </w:numPr>
              <w:tabs>
                <w:tab w:val="clear" w:pos="1134"/>
                <w:tab w:val="left" w:pos="709" w:leader="none"/>
              </w:tabs>
              <w:bidi w:val="0"/>
              <w:spacing w:before="0" w:after="0"/>
              <w:ind w:hanging="283" w:start="709"/>
              <w:rPr/>
            </w:pPr>
            <w:r>
              <w:rPr/>
              <w:t>the significance of incorporation by reference under § 13c BeurkG;</w:t>
            </w:r>
          </w:p>
          <w:p>
            <w:pPr>
              <w:pStyle w:val="TableContents"/>
              <w:widowControl/>
              <w:numPr>
                <w:ilvl w:val="0"/>
                <w:numId w:val="8"/>
              </w:numPr>
              <w:tabs>
                <w:tab w:val="clear" w:pos="1134"/>
                <w:tab w:val="left" w:pos="709" w:leader="none"/>
              </w:tabs>
              <w:bidi w:val="0"/>
              <w:spacing w:before="0" w:after="0"/>
              <w:ind w:hanging="283" w:start="709"/>
              <w:rPr/>
            </w:pPr>
            <w:r>
              <w:rPr/>
              <w:t>the fact that ownership transfers only upon entry in the Land Register;</w:t>
            </w:r>
          </w:p>
          <w:p>
            <w:pPr>
              <w:pStyle w:val="TableContents"/>
              <w:widowControl/>
              <w:numPr>
                <w:ilvl w:val="0"/>
                <w:numId w:val="8"/>
              </w:numPr>
              <w:tabs>
                <w:tab w:val="clear" w:pos="1134"/>
                <w:tab w:val="left" w:pos="709" w:leader="none"/>
              </w:tabs>
              <w:bidi w:val="0"/>
              <w:spacing w:before="0" w:after="0"/>
              <w:ind w:hanging="283" w:start="709"/>
              <w:rPr/>
            </w:pPr>
            <w:r>
              <w:rPr/>
              <w:t>the significance of the priority notice securing the claim to conveyance;</w:t>
            </w:r>
          </w:p>
          <w:p>
            <w:pPr>
              <w:pStyle w:val="TableContents"/>
              <w:widowControl/>
              <w:numPr>
                <w:ilvl w:val="0"/>
                <w:numId w:val="8"/>
              </w:numPr>
              <w:tabs>
                <w:tab w:val="clear" w:pos="1134"/>
                <w:tab w:val="left" w:pos="709" w:leader="none"/>
              </w:tabs>
              <w:bidi w:val="0"/>
              <w:spacing w:before="0" w:after="0"/>
              <w:ind w:hanging="283" w:start="709"/>
              <w:rPr/>
            </w:pPr>
            <w:r>
              <w:rPr/>
              <w:t>the significance of the power to encumber the property;</w:t>
            </w:r>
          </w:p>
          <w:p>
            <w:pPr>
              <w:pStyle w:val="TableContents"/>
              <w:widowControl/>
              <w:numPr>
                <w:ilvl w:val="0"/>
                <w:numId w:val="8"/>
              </w:numPr>
              <w:tabs>
                <w:tab w:val="clear" w:pos="1134"/>
                <w:tab w:val="left" w:pos="709" w:leader="none"/>
              </w:tabs>
              <w:bidi w:val="0"/>
              <w:spacing w:before="0" w:after="0"/>
              <w:ind w:hanging="283" w:start="709"/>
              <w:rPr/>
            </w:pPr>
            <w:r>
              <w:rPr/>
              <w:t>the statutory limitation period for defect claims under the law governing contracts for work;</w:t>
            </w:r>
          </w:p>
          <w:p>
            <w:pPr>
              <w:pStyle w:val="TableContents"/>
              <w:widowControl/>
              <w:numPr>
                <w:ilvl w:val="0"/>
                <w:numId w:val="8"/>
              </w:numPr>
              <w:tabs>
                <w:tab w:val="clear" w:pos="1134"/>
                <w:tab w:val="left" w:pos="709" w:leader="none"/>
              </w:tabs>
              <w:bidi w:val="0"/>
              <w:spacing w:before="0" w:after="283"/>
              <w:ind w:hanging="283" w:start="709"/>
              <w:rPr/>
            </w:pPr>
            <w:r>
              <w:rPr/>
              <w:t>the possibility of engaging one's own technical advisers, noting that the Notary has not assessed ground conditions, site supervision, specialist design or the cost-effectiveness of operating and maintenance contracts.</w:t>
            </w:r>
          </w:p>
        </w:tc>
      </w:tr>
      <w:tr>
        <w:trPr>
          <w:cantSplit/>
        </w:trPr>
        <w:tc>
          <w:tcPr>
            <w:tcW w:w="7914" w:type="dxa"/>
            <w:tcBorders/>
            <w:vAlign w:val="center"/>
          </w:tcPr>
          <w:p>
            <w:pPr>
              <w:pStyle w:val="TableContents"/>
              <w:widowControl/>
              <w:bidi w:val="0"/>
              <w:spacing w:before="0" w:after="283"/>
              <w:rPr/>
            </w:pPr>
            <w:r>
              <w:rPr/>
              <w:t>Der Notar soll darauf hinweisen, dass er als unparteiischer Amtsträger keine wirtschaftliche, steuerliche oder bautechnische Beratung übernimmt und keine Interessenvertretung einer Partei leistet. Fragen der Finanzierung, Rentabilität, technischen Zweckmäßigkeit, Wartungskosten, Förderfähigkeit und individuellen steuerlichen Auswirkungen sind gesondert zu prüfen.</w:t>
            </w:r>
          </w:p>
        </w:tc>
        <w:tc>
          <w:tcPr>
            <w:tcW w:w="7620" w:type="dxa"/>
            <w:tcBorders/>
            <w:vAlign w:val="center"/>
          </w:tcPr>
          <w:p>
            <w:pPr>
              <w:pStyle w:val="TableContents"/>
              <w:widowControl/>
              <w:bidi w:val="0"/>
              <w:spacing w:before="0" w:after="283"/>
              <w:rPr/>
            </w:pPr>
            <w:r>
              <w:rPr/>
              <w:t>The Notary is to explain that, as an impartial public office holder, the Notary does not provide economic, tax or construction advice and does not represent either party’s interests. Financing, profitability, technical suitability, maintenance costs, eligibility for subsidies and individual tax consequences require separate examination.</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33" w:name="bezugsurkunden-anlagen-und-vollzugshinwe"/>
            <w:bookmarkEnd w:id="33"/>
            <w:r>
              <w:rPr/>
              <w:t>Bezugsurkunden, Anlagen und Vollzugshinweise</w:t>
            </w:r>
          </w:p>
          <w:p>
            <w:pPr>
              <w:pStyle w:val="TableContents"/>
              <w:widowControl/>
              <w:bidi w:val="0"/>
              <w:spacing w:before="0" w:after="283"/>
              <w:rPr/>
            </w:pPr>
            <w:r>
              <w:rPr>
                <w:rStyle w:val="Strong"/>
              </w:rPr>
              <w:t>Bezugsurkunde 1</w:t>
            </w:r>
            <w:r>
              <w:rPr/>
              <w:t xml:space="preserve"> — Teilungserklärung einschließlich Gemeinschaftsordnung vom 18. Juli 2024, UR-Nr. 612/2024 W des Notars Egmont Wachtelborn, Berlin, in der Fassung des 1. bis 7. Nachtrags (UR-Nrn. 731/2024 W, 942/2024 W, 28/2025 W, 412/2025 W, 698/2025 W, 1108/2025 W und 187/2026 W). Auf das Verlesen wird gemäß § 13c BeurkG verzichtet (siehe Unterschriftenvermerk).</w:t>
            </w:r>
          </w:p>
        </w:tc>
        <w:tc>
          <w:tcPr>
            <w:tcW w:w="7620" w:type="dxa"/>
            <w:tcBorders/>
            <w:vAlign w:val="center"/>
          </w:tcPr>
          <w:p>
            <w:pPr>
              <w:pStyle w:val="Heading1"/>
              <w:keepNext/>
              <w:widowControl/>
              <w:pBdr/>
              <w:bidi w:val="0"/>
              <w:spacing w:before="240" w:after="283"/>
              <w:rPr/>
            </w:pPr>
            <w:r>
              <w:rPr/>
              <w:t>Referenced Deeds, Annexes and Completion Instructions</w:t>
            </w:r>
          </w:p>
          <w:p>
            <w:pPr>
              <w:pStyle w:val="TableContents"/>
              <w:widowControl/>
              <w:bidi w:val="0"/>
              <w:spacing w:before="0" w:after="283"/>
              <w:rPr/>
            </w:pPr>
            <w:r>
              <w:rPr>
                <w:rStyle w:val="Strong"/>
              </w:rPr>
              <w:t>Referenced Deed 1</w:t>
            </w:r>
            <w:r>
              <w:rPr/>
              <w:t xml:space="preserve"> — Declaration of division including the community rules dated 18 July 2024, deed no. 612/2024 W of Notary Egmont Wachtelborn, Berlin, as amended by the 1st to 7th supplements (deed nos. 731/2024 W, 942/2024 W, 28/2025 W, 412/2025 W, 698/2025 W, 1108/2025 W and 187/2026 W). Reading aloud is waived pursuant to § 13c BeurkG (see the signature note).</w:t>
            </w:r>
          </w:p>
        </w:tc>
      </w:tr>
      <w:tr>
        <w:trPr>
          <w:cantSplit/>
        </w:trPr>
        <w:tc>
          <w:tcPr>
            <w:tcW w:w="7914" w:type="dxa"/>
            <w:tcBorders/>
            <w:vAlign w:val="center"/>
          </w:tcPr>
          <w:p>
            <w:pPr>
              <w:pStyle w:val="TableContents"/>
              <w:widowControl/>
              <w:bidi w:val="0"/>
              <w:spacing w:before="0" w:after="283"/>
              <w:rPr/>
            </w:pPr>
            <w:r>
              <w:rPr>
                <w:rStyle w:val="Strong"/>
              </w:rPr>
              <w:t>Anhang a</w:t>
            </w:r>
            <w:r>
              <w:rPr/>
              <w:t xml:space="preserve"> — beglaubigte Fotokopie der Vollmacht der Erschienenen zu 1. vom 22.10.2025, UR-Nr. 1402/2025 W des Notars Egmont Wachtelborn, Berlin.</w:t>
            </w:r>
          </w:p>
        </w:tc>
        <w:tc>
          <w:tcPr>
            <w:tcW w:w="7620" w:type="dxa"/>
            <w:tcBorders/>
            <w:vAlign w:val="center"/>
          </w:tcPr>
          <w:p>
            <w:pPr>
              <w:pStyle w:val="TableContents"/>
              <w:widowControl/>
              <w:bidi w:val="0"/>
              <w:spacing w:before="0" w:after="283"/>
              <w:rPr/>
            </w:pPr>
            <w:r>
              <w:rPr>
                <w:rStyle w:val="Strong"/>
              </w:rPr>
              <w:t>Annex a</w:t>
            </w:r>
            <w:r>
              <w:rPr/>
              <w:t xml:space="preserve"> — certified photocopy of the power of attorney for appearing party no. 1 dated 22.10.2025, deed no. 1402/2025 W of Notary Egmont Wachtelborn, Berlin.</w:t>
            </w:r>
          </w:p>
        </w:tc>
      </w:tr>
      <w:tr>
        <w:trPr>
          <w:cantSplit/>
        </w:trPr>
        <w:tc>
          <w:tcPr>
            <w:tcW w:w="7914" w:type="dxa"/>
            <w:tcBorders/>
            <w:vAlign w:val="center"/>
          </w:tcPr>
          <w:p>
            <w:pPr>
              <w:pStyle w:val="TableContents"/>
              <w:widowControl/>
              <w:bidi w:val="0"/>
              <w:spacing w:before="0" w:after="283"/>
              <w:rPr/>
            </w:pPr>
            <w:r>
              <w:rPr>
                <w:rStyle w:val="Strong"/>
              </w:rPr>
              <w:t>Lose zu übergebende Unterlagen (nicht Gegenstand der Beurkundung):</w:t>
            </w:r>
            <w:r>
              <w:rPr/>
              <w:t xml:space="preserve"> Baubeschreibung in der Fassung Februar 2026, Version 7.2; Abgeschlossenheitsbescheinigung; Aufteilungsplan-Auszug zur Einheit 4.27. Diese Unterlagen sollen dem Käufer bei Vertragsunterzeichnung in Druckfassung ausgehändigt werden.</w:t>
            </w:r>
          </w:p>
        </w:tc>
        <w:tc>
          <w:tcPr>
            <w:tcW w:w="7620" w:type="dxa"/>
            <w:tcBorders/>
            <w:vAlign w:val="center"/>
          </w:tcPr>
          <w:p>
            <w:pPr>
              <w:pStyle w:val="TableContents"/>
              <w:widowControl/>
              <w:bidi w:val="0"/>
              <w:spacing w:before="0" w:after="283"/>
              <w:rPr/>
            </w:pPr>
            <w:r>
              <w:rPr>
                <w:rStyle w:val="Strong"/>
              </w:rPr>
              <w:t>Documents to be handed over separately (outside the scope of notarisation):</w:t>
            </w:r>
            <w:r>
              <w:rPr/>
              <w:t xml:space="preserve"> Building Specification dated February 2026, version 7.2; certificate confirming that the units are self-contained (Abgeschlossenheitsbescheinigung); extract from the partition plan for unit 4.27. These documents are to be handed to the Buyer in printed form when the contract is signed.</w:t>
            </w:r>
          </w:p>
        </w:tc>
      </w:tr>
      <w:tr>
        <w:trPr>
          <w:cantSplit/>
        </w:trPr>
        <w:tc>
          <w:tcPr>
            <w:tcW w:w="7914" w:type="dxa"/>
            <w:tcBorders/>
            <w:vAlign w:val="center"/>
          </w:tcPr>
          <w:p>
            <w:pPr>
              <w:pStyle w:val="TableContents"/>
              <w:widowControl/>
              <w:bidi w:val="0"/>
              <w:spacing w:before="0" w:after="283"/>
              <w:rPr/>
            </w:pPr>
            <w:r>
              <w:rPr/>
              <w:t>Der Notar wird mit dem Vollzug beauftragt. Er soll Anträge erst stellen, wenn die hierfür erforderlichen Erklärungen und Nachweise vorliegen. Mitteilungen über den Eintritt der Fälligkeitsvoraussetzungen nach § 3 erfolgen schriftlich an beide Parteien.</w:t>
            </w:r>
          </w:p>
        </w:tc>
        <w:tc>
          <w:tcPr>
            <w:tcW w:w="7620" w:type="dxa"/>
            <w:tcBorders/>
            <w:vAlign w:val="center"/>
          </w:tcPr>
          <w:p>
            <w:pPr>
              <w:pStyle w:val="TableContents"/>
              <w:widowControl/>
              <w:bidi w:val="0"/>
              <w:spacing w:before="0" w:after="283"/>
              <w:rPr/>
            </w:pPr>
            <w:r>
              <w:rPr/>
              <w:t>The Notary is instructed to implement the transaction. Applications are to be submitted only once the required declarations and evidence are available. Both parties must be notified in writing when the conditions for payment under § 3 have been met.</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34" w:name="geschäftswert-und-kosten"/>
            <w:bookmarkEnd w:id="34"/>
            <w:r>
              <w:rPr/>
              <w:t>Geschäftswert und Kosten</w:t>
            </w:r>
          </w:p>
          <w:p>
            <w:pPr>
              <w:pStyle w:val="TableContents"/>
              <w:widowControl/>
              <w:bidi w:val="0"/>
              <w:spacing w:before="0" w:after="283"/>
              <w:rPr/>
            </w:pPr>
            <w:r>
              <w:rPr/>
              <w:t>Der Geschäftswert dieser Urkunde wird mit dem Gesamtkaufpreis von 828.000,00 EUR angegeben. Die Kosten dieser Urkunde und ihres Vollzugs trägt nach § 13.4 der Käufer. Auf die zusätzlich anfallende Grunderwerbsteuer sowie die Erschließungs- und Anschlusskosten nach § 7 soll im Beurkundungstermin hingewiesen werden.</w:t>
            </w:r>
          </w:p>
        </w:tc>
        <w:tc>
          <w:tcPr>
            <w:tcW w:w="7620" w:type="dxa"/>
            <w:tcBorders/>
            <w:vAlign w:val="center"/>
          </w:tcPr>
          <w:p>
            <w:pPr>
              <w:pStyle w:val="Heading1"/>
              <w:keepNext/>
              <w:widowControl/>
              <w:pBdr/>
              <w:bidi w:val="0"/>
              <w:spacing w:before="240" w:after="283"/>
              <w:rPr/>
            </w:pPr>
            <w:r>
              <w:rPr/>
              <w:t>Transaction Value and Costs</w:t>
            </w:r>
          </w:p>
          <w:p>
            <w:pPr>
              <w:pStyle w:val="TableContents"/>
              <w:widowControl/>
              <w:bidi w:val="0"/>
              <w:spacing w:before="0" w:after="283"/>
              <w:rPr/>
            </w:pPr>
            <w:r>
              <w:rPr/>
              <w:t>The transaction value of this deed is stated as the total Purchase Price of EUR 828,000.00. Under section 13.4 the Buyer bears the costs of this deed and its implementation. Additional real estate transfer tax and the development and connection costs under section 7 are to be explained at the notarisation appointment.</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35" w:name="unterschriften"/>
            <w:bookmarkEnd w:id="35"/>
            <w:r>
              <w:rPr/>
              <w:t>Unterschriften</w:t>
            </w:r>
          </w:p>
          <w:p>
            <w:pPr>
              <w:pStyle w:val="TableContents"/>
              <w:widowControl/>
              <w:bidi w:val="0"/>
              <w:spacing w:before="0" w:after="283"/>
              <w:rPr/>
            </w:pPr>
            <w:r>
              <w:rPr/>
              <w:t>Für den Beurkundungstermin ist folgende Erklärung vorgesehen: Die Beteiligten verzichten auf das Verlesen der Bezugsurkunden, da ihnen deren Inhalt bekannt ist. Verlesung, Genehmigung und Unterzeichnung dieser Niederschrift stehen noch aus. Die nachstehenden Unterschriftsfelder bleiben im Entwurf frei.</w:t>
            </w:r>
          </w:p>
        </w:tc>
        <w:tc>
          <w:tcPr>
            <w:tcW w:w="7620" w:type="dxa"/>
            <w:tcBorders/>
            <w:vAlign w:val="center"/>
          </w:tcPr>
          <w:p>
            <w:pPr>
              <w:pStyle w:val="Heading1"/>
              <w:keepNext/>
              <w:widowControl/>
              <w:bidi w:val="0"/>
              <w:spacing w:before="240" w:after="283"/>
              <w:ind w:hanging="0" w:start="0" w:end="0"/>
              <w:rPr/>
            </w:pPr>
            <w:bookmarkStart w:id="36" w:name="signatures"/>
            <w:bookmarkEnd w:id="36"/>
            <w:r>
              <w:rPr/>
              <w:t xml:space="preserve">Signatures </w:t>
            </w:r>
          </w:p>
          <w:p>
            <w:pPr>
              <w:pStyle w:val="TableContents"/>
              <w:widowControl/>
              <w:bidi w:val="0"/>
              <w:spacing w:before="0" w:after="283"/>
              <w:rPr/>
            </w:pPr>
            <w:r>
              <w:rPr/>
              <w:t>The following statement is proposed for the notarisation appointment: The parties waive the reading aloud of the referenced deeds because they are familiar with their contents. Reading aloud, approval and signing of this record have not yet taken place. The signature fields below remain blank in this draft.</w:t>
            </w:r>
          </w:p>
        </w:tc>
      </w:tr>
      <w:tr>
        <w:trPr>
          <w:cantSplit/>
        </w:trPr>
        <w:tc>
          <w:tcPr>
            <w:tcW w:w="7914" w:type="dxa"/>
            <w:tcBorders/>
            <w:vAlign w:val="center"/>
          </w:tcPr>
          <w:p>
            <w:pPr>
              <w:pStyle w:val="TableContents"/>
              <w:widowControl/>
              <w:bidi w:val="0"/>
              <w:spacing w:before="0" w:after="283"/>
              <w:rPr/>
            </w:pPr>
            <w:r>
              <w:rPr/>
            </w:r>
          </w:p>
        </w:tc>
        <w:tc>
          <w:tcPr>
            <w:tcW w:w="7620" w:type="dxa"/>
            <w:tcBorders/>
            <w:vAlign w:val="center"/>
          </w:tcPr>
          <w:p>
            <w:pPr>
              <w:pStyle w:val="TableContents"/>
              <w:widowControl/>
              <w:bidi w:val="0"/>
              <w:spacing w:before="0" w:after="283"/>
              <w:rPr/>
            </w:pPr>
            <w:r>
              <w:rPr/>
            </w:r>
          </w:p>
        </w:tc>
      </w:tr>
      <w:tr>
        <w:trPr>
          <w:cantSplit/>
        </w:trPr>
        <w:tc>
          <w:tcPr>
            <w:tcW w:w="7914" w:type="dxa"/>
            <w:tcBorders/>
            <w:vAlign w:val="center"/>
          </w:tcPr>
          <w:p>
            <w:pPr>
              <w:pStyle w:val="TableContents"/>
              <w:widowControl/>
              <w:bidi w:val="0"/>
              <w:spacing w:before="0" w:after="283"/>
              <w:rPr/>
            </w:pPr>
            <w:r>
              <w:rPr/>
            </w:r>
          </w:p>
        </w:tc>
        <w:tc>
          <w:tcPr>
            <w:tcW w:w="7620" w:type="dxa"/>
            <w:tcBorders/>
            <w:vAlign w:val="center"/>
          </w:tcPr>
          <w:p>
            <w:pPr>
              <w:pStyle w:val="TableContents"/>
              <w:widowControl/>
              <w:bidi w:val="0"/>
              <w:spacing w:before="0" w:after="283"/>
              <w:rPr/>
            </w:pPr>
            <w:r>
              <w:rPr/>
            </w:r>
          </w:p>
        </w:tc>
      </w:tr>
      <w:tr>
        <w:trPr>
          <w:cantSplit/>
        </w:trPr>
        <w:tc>
          <w:tcPr>
            <w:tcW w:w="7914" w:type="dxa"/>
            <w:tcBorders/>
            <w:vAlign w:val="center"/>
          </w:tcPr>
          <w:p>
            <w:pPr>
              <w:pStyle w:val="TableContents"/>
              <w:keepNext/>
              <w:widowControl/>
              <w:bidi w:val="0"/>
              <w:spacing w:before="0" w:after="283"/>
              <w:rPr/>
            </w:pPr>
            <w:r>
              <w:rPr/>
              <w:t>——————————————————————————</w:t>
            </w:r>
          </w:p>
          <w:p>
            <w:pPr>
              <w:pStyle w:val="TableContents"/>
              <w:widowControl/>
              <w:bidi w:val="0"/>
              <w:spacing w:before="0" w:after="283"/>
              <w:rPr/>
            </w:pPr>
            <w:r>
              <w:rPr/>
              <w:t>Roswitha Quendel-Bingenheimer (für Verkäufer)</w:t>
            </w:r>
          </w:p>
        </w:tc>
        <w:tc>
          <w:tcPr>
            <w:tcW w:w="7620" w:type="dxa"/>
            <w:tcBorders/>
            <w:vAlign w:val="center"/>
          </w:tcPr>
          <w:p>
            <w:pPr>
              <w:pStyle w:val="TableContents"/>
              <w:keepNext/>
              <w:widowControl/>
              <w:bidi w:val="0"/>
              <w:spacing w:before="0" w:after="283"/>
              <w:rPr/>
            </w:pPr>
            <w:r>
              <w:rPr/>
              <w:t xml:space="preserve">—————————————————————————— </w:t>
            </w:r>
          </w:p>
          <w:p>
            <w:pPr>
              <w:pStyle w:val="TableContents"/>
              <w:widowControl/>
              <w:bidi w:val="0"/>
              <w:spacing w:before="0" w:after="283"/>
              <w:rPr/>
            </w:pPr>
            <w:r>
              <w:rPr/>
              <w:t>Roswitha Quendel-Bingenheimer (for the Seller)</w:t>
            </w:r>
          </w:p>
        </w:tc>
      </w:tr>
      <w:tr>
        <w:trPr>
          <w:cantSplit/>
        </w:trPr>
        <w:tc>
          <w:tcPr>
            <w:tcW w:w="7914" w:type="dxa"/>
            <w:tcBorders/>
            <w:vAlign w:val="center"/>
          </w:tcPr>
          <w:p>
            <w:pPr>
              <w:pStyle w:val="TableContents"/>
              <w:widowControl/>
              <w:bidi w:val="0"/>
              <w:spacing w:before="0" w:after="283"/>
              <w:rPr/>
            </w:pPr>
            <w:r>
              <w:rPr/>
            </w:r>
          </w:p>
        </w:tc>
        <w:tc>
          <w:tcPr>
            <w:tcW w:w="7620" w:type="dxa"/>
            <w:tcBorders/>
            <w:vAlign w:val="center"/>
          </w:tcPr>
          <w:p>
            <w:pPr>
              <w:pStyle w:val="TableContents"/>
              <w:widowControl/>
              <w:bidi w:val="0"/>
              <w:spacing w:before="0" w:after="283"/>
              <w:rPr/>
            </w:pPr>
            <w:r>
              <w:rPr/>
            </w:r>
          </w:p>
        </w:tc>
      </w:tr>
      <w:tr>
        <w:trPr>
          <w:cantSplit/>
        </w:trPr>
        <w:tc>
          <w:tcPr>
            <w:tcW w:w="7914" w:type="dxa"/>
            <w:tcBorders/>
            <w:vAlign w:val="center"/>
          </w:tcPr>
          <w:p>
            <w:pPr>
              <w:pStyle w:val="TableContents"/>
              <w:widowControl/>
              <w:bidi w:val="0"/>
              <w:spacing w:before="0" w:after="283"/>
              <w:rPr/>
            </w:pPr>
            <w:r>
              <w:rPr/>
            </w:r>
          </w:p>
        </w:tc>
        <w:tc>
          <w:tcPr>
            <w:tcW w:w="7620" w:type="dxa"/>
            <w:tcBorders/>
            <w:vAlign w:val="center"/>
          </w:tcPr>
          <w:p>
            <w:pPr>
              <w:pStyle w:val="TableContents"/>
              <w:widowControl/>
              <w:bidi w:val="0"/>
              <w:spacing w:before="0" w:after="283"/>
              <w:rPr/>
            </w:pPr>
            <w:r>
              <w:rPr/>
            </w:r>
          </w:p>
        </w:tc>
      </w:tr>
      <w:tr>
        <w:trPr>
          <w:cantSplit/>
        </w:trPr>
        <w:tc>
          <w:tcPr>
            <w:tcW w:w="7914" w:type="dxa"/>
            <w:tcBorders/>
            <w:vAlign w:val="center"/>
          </w:tcPr>
          <w:p>
            <w:pPr>
              <w:pStyle w:val="TableContents"/>
              <w:keepNext/>
              <w:widowControl/>
              <w:bidi w:val="0"/>
              <w:spacing w:before="0" w:after="283"/>
              <w:rPr/>
            </w:pPr>
            <w:r>
              <w:rPr/>
              <w:t>——————————————————————————</w:t>
            </w:r>
          </w:p>
          <w:p>
            <w:pPr>
              <w:pStyle w:val="TableContents"/>
              <w:widowControl/>
              <w:bidi w:val="0"/>
              <w:spacing w:before="0" w:after="283"/>
              <w:rPr/>
            </w:pPr>
            <w:r>
              <w:rPr/>
              <w:t>Dr. Eberwein Übelacker-Strohmeyer (Käufer)</w:t>
            </w:r>
          </w:p>
        </w:tc>
        <w:tc>
          <w:tcPr>
            <w:tcW w:w="7620" w:type="dxa"/>
            <w:tcBorders/>
            <w:vAlign w:val="center"/>
          </w:tcPr>
          <w:p>
            <w:pPr>
              <w:pStyle w:val="TableContents"/>
              <w:keepNext/>
              <w:widowControl/>
              <w:bidi w:val="0"/>
              <w:spacing w:before="0" w:after="283"/>
              <w:rPr/>
            </w:pPr>
            <w:r>
              <w:rPr/>
              <w:t xml:space="preserve">—————————————————————————— </w:t>
            </w:r>
          </w:p>
          <w:p>
            <w:pPr>
              <w:pStyle w:val="TableContents"/>
              <w:widowControl/>
              <w:bidi w:val="0"/>
              <w:spacing w:before="0" w:after="283"/>
              <w:rPr/>
            </w:pPr>
            <w:r>
              <w:rPr/>
              <w:t xml:space="preserve">Dr. Eberwein Übelacker-Strohmeyer (Buyer) </w:t>
            </w:r>
          </w:p>
        </w:tc>
      </w:tr>
      <w:tr>
        <w:trPr>
          <w:cantSplit/>
        </w:trPr>
        <w:tc>
          <w:tcPr>
            <w:tcW w:w="7914" w:type="dxa"/>
            <w:tcBorders/>
            <w:vAlign w:val="center"/>
          </w:tcPr>
          <w:p>
            <w:pPr>
              <w:pStyle w:val="TableContents"/>
              <w:widowControl/>
              <w:bidi w:val="0"/>
              <w:spacing w:before="0" w:after="283"/>
              <w:rPr/>
            </w:pPr>
            <w:r>
              <w:rPr/>
            </w:r>
          </w:p>
        </w:tc>
        <w:tc>
          <w:tcPr>
            <w:tcW w:w="7620" w:type="dxa"/>
            <w:tcBorders/>
            <w:vAlign w:val="center"/>
          </w:tcPr>
          <w:p>
            <w:pPr>
              <w:pStyle w:val="TableContents"/>
              <w:widowControl/>
              <w:bidi w:val="0"/>
              <w:spacing w:before="0" w:after="283"/>
              <w:rPr/>
            </w:pPr>
            <w:r>
              <w:rPr/>
            </w:r>
          </w:p>
        </w:tc>
      </w:tr>
      <w:tr>
        <w:trPr>
          <w:cantSplit/>
        </w:trPr>
        <w:tc>
          <w:tcPr>
            <w:tcW w:w="7914" w:type="dxa"/>
            <w:tcBorders/>
            <w:vAlign w:val="center"/>
          </w:tcPr>
          <w:p>
            <w:pPr>
              <w:pStyle w:val="TableContents"/>
              <w:widowControl/>
              <w:bidi w:val="0"/>
              <w:spacing w:before="0" w:after="283"/>
              <w:rPr/>
            </w:pPr>
            <w:r>
              <w:rPr/>
            </w:r>
          </w:p>
        </w:tc>
        <w:tc>
          <w:tcPr>
            <w:tcW w:w="7620" w:type="dxa"/>
            <w:tcBorders/>
            <w:vAlign w:val="center"/>
          </w:tcPr>
          <w:p>
            <w:pPr>
              <w:pStyle w:val="TableContents"/>
              <w:widowControl/>
              <w:bidi w:val="0"/>
              <w:spacing w:before="0" w:after="283"/>
              <w:rPr/>
            </w:pPr>
            <w:r>
              <w:rPr/>
            </w:r>
          </w:p>
        </w:tc>
      </w:tr>
      <w:tr>
        <w:trPr>
          <w:cantSplit/>
        </w:trPr>
        <w:tc>
          <w:tcPr>
            <w:tcW w:w="7914" w:type="dxa"/>
            <w:tcBorders/>
            <w:vAlign w:val="center"/>
          </w:tcPr>
          <w:p>
            <w:pPr>
              <w:pStyle w:val="TableContents"/>
              <w:keepNext/>
              <w:widowControl/>
              <w:bidi w:val="0"/>
              <w:spacing w:before="0" w:after="283"/>
              <w:rPr/>
            </w:pPr>
            <w:r>
              <w:rPr/>
              <w:t>——————————————————————————</w:t>
            </w:r>
          </w:p>
          <w:p>
            <w:pPr>
              <w:pStyle w:val="TableContents"/>
              <w:widowControl/>
              <w:bidi w:val="0"/>
              <w:spacing w:before="0" w:after="283"/>
              <w:rPr/>
            </w:pPr>
            <w:r>
              <w:rPr/>
              <w:t>Dr. Adalbert von Sickingen-Querfurt, Notar</w:t>
            </w:r>
          </w:p>
        </w:tc>
        <w:tc>
          <w:tcPr>
            <w:tcW w:w="7620" w:type="dxa"/>
            <w:tcBorders/>
            <w:vAlign w:val="center"/>
          </w:tcPr>
          <w:p>
            <w:pPr>
              <w:pStyle w:val="TableContents"/>
              <w:keepNext/>
              <w:widowControl/>
              <w:bidi w:val="0"/>
              <w:spacing w:before="0" w:after="283"/>
              <w:rPr/>
            </w:pPr>
            <w:r>
              <w:rPr/>
              <w:t xml:space="preserve">—————————————————————————— </w:t>
            </w:r>
          </w:p>
          <w:p>
            <w:pPr>
              <w:pStyle w:val="TableContents"/>
              <w:widowControl/>
              <w:bidi w:val="0"/>
              <w:spacing w:before="0" w:after="283"/>
              <w:rPr/>
            </w:pPr>
            <w:r>
              <w:rPr/>
              <w:t xml:space="preserve">Dr. Adalbert von Sickingen-Querfurt, Notary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37" w:name="anlage-baubeschreibung"/>
            <w:bookmarkEnd w:id="37"/>
            <w:r>
              <w:rPr/>
              <w:t>Anlage: Baubeschreibung</w:t>
            </w:r>
          </w:p>
          <w:p>
            <w:pPr>
              <w:pStyle w:val="TableContents"/>
              <w:widowControl/>
              <w:bidi w:val="0"/>
              <w:spacing w:before="0" w:after="283"/>
              <w:rPr/>
            </w:pPr>
            <w:r>
              <w:rPr>
                <w:rStyle w:val="Strong"/>
              </w:rPr>
              <w:t>ENTWURF</w:t>
            </w:r>
          </w:p>
        </w:tc>
        <w:tc>
          <w:tcPr>
            <w:tcW w:w="7620" w:type="dxa"/>
            <w:tcBorders/>
            <w:vAlign w:val="center"/>
          </w:tcPr>
          <w:p>
            <w:pPr>
              <w:pStyle w:val="Heading1"/>
              <w:keepNext/>
              <w:widowControl/>
              <w:bidi w:val="0"/>
              <w:spacing w:before="240" w:after="283"/>
              <w:ind w:hanging="0" w:start="0" w:end="0"/>
              <w:rPr/>
            </w:pPr>
            <w:bookmarkStart w:id="38" w:name="annex-building-specification"/>
            <w:bookmarkEnd w:id="38"/>
            <w:r>
              <w:rPr/>
              <w:t xml:space="preserve">Annex: Building Specification </w:t>
            </w:r>
          </w:p>
          <w:p>
            <w:pPr>
              <w:pStyle w:val="TableContents"/>
              <w:widowControl/>
              <w:bidi w:val="0"/>
              <w:spacing w:before="0" w:after="283"/>
              <w:rPr/>
            </w:pPr>
            <w:r>
              <w:rPr>
                <w:rStyle w:val="Strong"/>
              </w:rPr>
              <w:t>DRAFT</w:t>
            </w:r>
          </w:p>
        </w:tc>
      </w:tr>
      <w:tr>
        <w:trPr>
          <w:cantSplit/>
        </w:trPr>
        <w:tc>
          <w:tcPr>
            <w:tcW w:w="7914" w:type="dxa"/>
            <w:tcBorders/>
            <w:vAlign w:val="center"/>
          </w:tcPr>
          <w:p>
            <w:pPr>
              <w:pStyle w:val="TableContents"/>
              <w:widowControl/>
              <w:bidi w:val="0"/>
              <w:spacing w:before="0" w:after="283"/>
              <w:rPr/>
            </w:pPr>
            <w:r>
              <w:rPr/>
              <w:t>Bauvorhaben: Wohnquartier „Am Birkenpfuhl”, Gemarkung Kannenberg-Niederwall, Flur 7, Flurstück 218/4</w:t>
            </w:r>
          </w:p>
        </w:tc>
        <w:tc>
          <w:tcPr>
            <w:tcW w:w="7620" w:type="dxa"/>
            <w:tcBorders/>
            <w:vAlign w:val="center"/>
          </w:tcPr>
          <w:p>
            <w:pPr>
              <w:pStyle w:val="TableContents"/>
              <w:widowControl/>
              <w:bidi w:val="0"/>
              <w:spacing w:before="0" w:after="283"/>
              <w:rPr/>
            </w:pPr>
            <w:r>
              <w:rPr/>
              <w:t>Construction project: “Am Birkenpfuhl” residential development, cadastral district of Kannenberg-Niederwall, cadastral section 7, parcel 218/4</w:t>
            </w:r>
          </w:p>
        </w:tc>
      </w:tr>
      <w:tr>
        <w:trPr>
          <w:cantSplit/>
        </w:trPr>
        <w:tc>
          <w:tcPr>
            <w:tcW w:w="7914" w:type="dxa"/>
            <w:tcBorders/>
            <w:vAlign w:val="center"/>
          </w:tcPr>
          <w:p>
            <w:pPr>
              <w:pStyle w:val="TableContents"/>
              <w:widowControl/>
              <w:bidi w:val="0"/>
              <w:spacing w:before="0" w:after="283"/>
              <w:rPr/>
            </w:pPr>
            <w:r>
              <w:rPr/>
              <w:t>Bauträgerin: Hohenwartshofen Quartiersentwicklung GmbH &amp; Co. KG, Schloßstraße 88, 12163 Berlin</w:t>
            </w:r>
          </w:p>
        </w:tc>
        <w:tc>
          <w:tcPr>
            <w:tcW w:w="7620" w:type="dxa"/>
            <w:tcBorders/>
            <w:vAlign w:val="center"/>
          </w:tcPr>
          <w:p>
            <w:pPr>
              <w:pStyle w:val="TableContents"/>
              <w:widowControl/>
              <w:bidi w:val="0"/>
              <w:spacing w:before="0" w:after="283"/>
              <w:rPr/>
            </w:pPr>
            <w:r>
              <w:rPr/>
              <w:t xml:space="preserve">Property developer: Hohenwartshofen Quartiersentwicklung GmbH &amp; Co. KG, Schloßstraße 88, 12163 Berlin </w:t>
            </w:r>
          </w:p>
        </w:tc>
      </w:tr>
      <w:tr>
        <w:trPr>
          <w:cantSplit/>
        </w:trPr>
        <w:tc>
          <w:tcPr>
            <w:tcW w:w="7914" w:type="dxa"/>
            <w:tcBorders/>
            <w:vAlign w:val="center"/>
          </w:tcPr>
          <w:p>
            <w:pPr>
              <w:pStyle w:val="TableContents"/>
              <w:widowControl/>
              <w:bidi w:val="0"/>
              <w:spacing w:before="0" w:after="283"/>
              <w:rPr/>
            </w:pPr>
            <w:r>
              <w:rPr/>
              <w:t>Fassung: Februar 2026 — Version 7.2</w:t>
            </w:r>
          </w:p>
        </w:tc>
        <w:tc>
          <w:tcPr>
            <w:tcW w:w="7620" w:type="dxa"/>
            <w:tcBorders/>
            <w:vAlign w:val="center"/>
          </w:tcPr>
          <w:p>
            <w:pPr>
              <w:pStyle w:val="TableContents"/>
              <w:widowControl/>
              <w:bidi w:val="0"/>
              <w:spacing w:before="0" w:after="283"/>
              <w:rPr/>
            </w:pPr>
            <w:r>
              <w:rPr/>
              <w:t xml:space="preserve">Version: February 2026 — Version 7.2 </w:t>
            </w:r>
          </w:p>
        </w:tc>
      </w:tr>
      <w:tr>
        <w:trPr>
          <w:cantSplit/>
        </w:trPr>
        <w:tc>
          <w:tcPr>
            <w:tcW w:w="7914" w:type="dxa"/>
            <w:tcBorders/>
            <w:vAlign w:val="center"/>
          </w:tcPr>
          <w:p>
            <w:pPr>
              <w:pStyle w:val="TableContents"/>
              <w:widowControl/>
              <w:bidi w:val="0"/>
              <w:spacing w:before="0" w:after="283"/>
              <w:rPr/>
            </w:pPr>
            <w:r>
              <w:rPr/>
              <w:t>Bezug: Haus 4, Wohnung 4.27 (3. Obergeschoss) nebst Kellerabteil K-4.27, Terrasse T-4.27 und Tiefgaragenstellplatz TG-127</w:t>
            </w:r>
          </w:p>
        </w:tc>
        <w:tc>
          <w:tcPr>
            <w:tcW w:w="7620" w:type="dxa"/>
            <w:tcBorders/>
            <w:vAlign w:val="center"/>
          </w:tcPr>
          <w:p>
            <w:pPr>
              <w:pStyle w:val="TableContents"/>
              <w:widowControl/>
              <w:bidi w:val="0"/>
              <w:spacing w:before="0" w:after="283"/>
              <w:rPr/>
            </w:pPr>
            <w:r>
              <w:rPr/>
              <w:t>Scope: building 4, apartment 4.27 (third floor above ground level), together with cellar compartment K-4.27, terrace T-4.27 and underground parking space TG-127</w:t>
            </w:r>
          </w:p>
        </w:tc>
      </w:tr>
      <w:tr>
        <w:trPr>
          <w:cantSplit/>
        </w:trPr>
        <w:tc>
          <w:tcPr>
            <w:tcW w:w="7914" w:type="dxa"/>
            <w:tcBorders/>
            <w:vAlign w:val="center"/>
          </w:tcPr>
          <w:p>
            <w:pPr>
              <w:pStyle w:val="Heading2"/>
              <w:keepNext/>
              <w:widowControl/>
              <w:bidi w:val="0"/>
              <w:spacing w:before="200" w:after="120"/>
              <w:ind w:hanging="0" w:start="0" w:end="0"/>
              <w:rPr/>
            </w:pPr>
            <w:bookmarkStart w:id="39" w:name="vorbemerkungen-zur-baubeschreibung"/>
            <w:bookmarkEnd w:id="39"/>
            <w:r>
              <w:rPr/>
              <w:t>Vorbemerkungen zur Baubeschreibung</w:t>
            </w:r>
          </w:p>
          <w:p>
            <w:pPr>
              <w:pStyle w:val="TableContents"/>
              <w:widowControl/>
              <w:bidi w:val="0"/>
              <w:spacing w:before="0" w:after="283"/>
              <w:rPr/>
            </w:pPr>
            <w:r>
              <w:rPr>
                <w:rStyle w:val="Strong"/>
              </w:rPr>
              <w:t>V.1</w:t>
            </w:r>
            <w:r>
              <w:rPr/>
              <w:t xml:space="preserve"> Diese Baubeschreibung beschreibt das Bausoll für Haus 4, Wohnung 4.27, Keller K-4.27, Terrasse T-4.27 und Stellplatz TG-127 in der für die Kaufentscheidung maßgeblichen Fassung. Verkaufsunterlagen, Exposés, Visualisierungen des Quartiersplatzes, Renderings der Häuser 4 bis 6, Grundrissdarstellungen mit Möblierung sowie die Musterwohnung in Haus 5 dienen der Veranschaulichung des Quartiers- und Ausstattungskonzepts „Birkenpfuhl Komfort B4” und werden nur insoweit Vertragsbestandteil, als diese Baubeschreibung oder der Kaufvertrag ausdrücklich darauf Bezug nehmen.</w:t>
            </w:r>
          </w:p>
        </w:tc>
        <w:tc>
          <w:tcPr>
            <w:tcW w:w="7620" w:type="dxa"/>
            <w:tcBorders/>
            <w:vAlign w:val="center"/>
          </w:tcPr>
          <w:p>
            <w:pPr>
              <w:pStyle w:val="Heading2"/>
              <w:keepNext/>
              <w:widowControl/>
              <w:bidi w:val="0"/>
              <w:spacing w:before="200" w:after="120"/>
              <w:ind w:hanging="0" w:start="0" w:end="0"/>
              <w:rPr/>
            </w:pPr>
            <w:bookmarkStart w:id="40" w:name="preliminary-remarks-on-the-building-spec"/>
            <w:bookmarkEnd w:id="40"/>
            <w:r>
              <w:rPr/>
              <w:t xml:space="preserve">Preliminary remarks on the Building Specification </w:t>
            </w:r>
          </w:p>
          <w:p>
            <w:pPr>
              <w:pStyle w:val="TableContents"/>
              <w:widowControl/>
              <w:bidi w:val="0"/>
              <w:spacing w:before="0" w:after="283"/>
              <w:rPr/>
            </w:pPr>
            <w:r>
              <w:rPr>
                <w:rStyle w:val="Strong"/>
              </w:rPr>
              <w:t>V.1</w:t>
            </w:r>
            <w:r>
              <w:rPr/>
              <w:t xml:space="preserve"> This Building Specification describes the agreed construction requirements for building 4, apartment 4.27, cellar K-4.27, terrace T-4.27 and parking space TG-127 in the version relevant to the purchase decision. Sales documents, property brochures, visualisations of the neighbourhood square, renderings of buildings 4 to 6, furnished floor plans and the show apartment in building 5 illustrate the development and the “Birkenpfuhl Komfort B4” specification concept. They become contractual documents only insofar as this Building Specification or the purchase contract expressly refers to them.</w:t>
            </w:r>
          </w:p>
        </w:tc>
      </w:tr>
      <w:tr>
        <w:trPr>
          <w:cantSplit/>
        </w:trPr>
        <w:tc>
          <w:tcPr>
            <w:tcW w:w="7914" w:type="dxa"/>
            <w:tcBorders/>
            <w:vAlign w:val="center"/>
          </w:tcPr>
          <w:p>
            <w:pPr>
              <w:pStyle w:val="TableContents"/>
              <w:widowControl/>
              <w:bidi w:val="0"/>
              <w:spacing w:before="0" w:after="283"/>
              <w:rPr/>
            </w:pPr>
            <w:r>
              <w:rPr>
                <w:rStyle w:val="Strong"/>
              </w:rPr>
              <w:t>V.2</w:t>
            </w:r>
            <w:r>
              <w:rPr/>
              <w:t xml:space="preserve"> Die in dieser Baubeschreibung genannten Fabrikate, Hersteller, Typen und Modelle für Boden, Fliesen, Sanitär, Türen, Beschläge, Fensterprofile, Aufzug, Lüftung, Messsysteme und Tiefgaragentechnik sind, soweit überhaupt benannt, beispielhaft zu verstehen. Der Verkäufer ist berechtigt, gleichwertige oder gleichartige Produkte anderer Hersteller einzusetzen, wenn dies wegen Lieferterminen der Haus-4-Gewerke, Bemusterungsbündelung, Schnittstellen zur TGA-Planung oder Serienbestellung für die Häuser 4 bis 6 in den Bauablauf eingepasst werden soll. Ein Anspruch auf ein bestimmtes Fabrikat besteht nicht.</w:t>
            </w:r>
          </w:p>
        </w:tc>
        <w:tc>
          <w:tcPr>
            <w:tcW w:w="7620" w:type="dxa"/>
            <w:tcBorders/>
            <w:vAlign w:val="center"/>
          </w:tcPr>
          <w:p>
            <w:pPr>
              <w:pStyle w:val="TableContents"/>
              <w:widowControl/>
              <w:bidi w:val="0"/>
              <w:spacing w:before="0" w:after="283"/>
              <w:rPr/>
            </w:pPr>
            <w:r>
              <w:rPr>
                <w:rStyle w:val="Strong"/>
              </w:rPr>
              <w:t>V.2</w:t>
            </w:r>
            <w:r>
              <w:rPr/>
              <w:t xml:space="preserve"> Any makes, manufacturers, types and models named in this Building Specification for flooring, tiles, sanitary fittings, doors, hardware, window profiles, lifts, ventilation, metering systems and underground-car-park equipment are illustrative. The Seller may use equivalent or similar products from other manufacturers where this is intended to fit the construction schedule in view of delivery dates for building 4 trades, combined selections, interfaces with building-services design or bulk orders for buildings 4 to 6. There is no entitlement to a particular make.</w:t>
            </w:r>
          </w:p>
        </w:tc>
      </w:tr>
      <w:tr>
        <w:trPr>
          <w:cantSplit/>
        </w:trPr>
        <w:tc>
          <w:tcPr>
            <w:tcW w:w="7914" w:type="dxa"/>
            <w:tcBorders/>
            <w:vAlign w:val="center"/>
          </w:tcPr>
          <w:p>
            <w:pPr>
              <w:pStyle w:val="TableContents"/>
              <w:widowControl/>
              <w:bidi w:val="0"/>
              <w:spacing w:before="0" w:after="283"/>
              <w:rPr/>
            </w:pPr>
            <w:r>
              <w:rPr>
                <w:rStyle w:val="Strong"/>
              </w:rPr>
              <w:t>V.3</w:t>
            </w:r>
            <w:r>
              <w:rPr/>
              <w:t xml:space="preserve"> Soweit Ausführungen, Materialien, Farben oder Oberflächen nicht im Einzelnen festgelegt sind, bestimmt der Verkäufer die Ausführung innerhalb der Materialfamilie „Birkenpfuhl Komfort B4” unter Berücksichtigung der Fassadenfarben von Haus 4, der Bemusterungsserien B4-Boden/B4-Bad/B4-Tür, der TGA-Schnittstellen und der späteren Wartbarkeit.</w:t>
            </w:r>
          </w:p>
        </w:tc>
        <w:tc>
          <w:tcPr>
            <w:tcW w:w="7620" w:type="dxa"/>
            <w:tcBorders/>
            <w:vAlign w:val="center"/>
          </w:tcPr>
          <w:p>
            <w:pPr>
              <w:pStyle w:val="TableContents"/>
              <w:widowControl/>
              <w:bidi w:val="0"/>
              <w:spacing w:before="0" w:after="283"/>
              <w:rPr/>
            </w:pPr>
            <w:r>
              <w:rPr>
                <w:rStyle w:val="Strong"/>
              </w:rPr>
              <w:t>V.3</w:t>
            </w:r>
            <w:r>
              <w:rPr/>
              <w:t xml:space="preserve"> Where construction details, materials, colours or finishes are not specified individually, the Seller will determine the execution within the “Birkenpfuhl Komfort B4” material range, taking account of the facade colours of building 4, the selection ranges B4-Boden/B4-Bad/B4-Tür, interfaces with building services and subsequent maintainability.</w:t>
            </w:r>
          </w:p>
        </w:tc>
      </w:tr>
      <w:tr>
        <w:trPr>
          <w:cantSplit/>
        </w:trPr>
        <w:tc>
          <w:tcPr>
            <w:tcW w:w="7914" w:type="dxa"/>
            <w:tcBorders/>
            <w:vAlign w:val="center"/>
          </w:tcPr>
          <w:p>
            <w:pPr>
              <w:pStyle w:val="TableContents"/>
              <w:widowControl/>
              <w:bidi w:val="0"/>
              <w:spacing w:before="0" w:after="283"/>
              <w:rPr/>
            </w:pPr>
            <w:r>
              <w:rPr>
                <w:rStyle w:val="Strong"/>
              </w:rPr>
              <w:t>V.4</w:t>
            </w:r>
            <w:r>
              <w:rPr/>
              <w:t xml:space="preserve"> Maßangaben in Plänen sind, soweit nicht ausdrücklich als verbindlich bezeichnet, ca.-Angaben und können sich im Zuge der Ausführungsplanung, der statischen Bemessung und der Haustechniktrassen verändern. Geringfügige Verschiebungen von Wänden, Schächten, Unterzügen, Installationsführungen und abgehängten Decken bleiben vorbehalten und stellen keinen Mangel dar.</w:t>
            </w:r>
          </w:p>
        </w:tc>
        <w:tc>
          <w:tcPr>
            <w:tcW w:w="7620" w:type="dxa"/>
            <w:tcBorders/>
            <w:vAlign w:val="center"/>
          </w:tcPr>
          <w:p>
            <w:pPr>
              <w:pStyle w:val="TableContents"/>
              <w:widowControl/>
              <w:bidi w:val="0"/>
              <w:spacing w:before="0" w:after="283"/>
              <w:rPr/>
            </w:pPr>
            <w:r>
              <w:rPr>
                <w:rStyle w:val="Strong"/>
              </w:rPr>
              <w:t>V.4</w:t>
            </w:r>
            <w:r>
              <w:rPr/>
              <w:t xml:space="preserve"> Unless expressly identified as binding, dimensions in drawings are approximate and may change during detailed design, structural calculations and coordination of building-services routes. Minor shifts of walls, shafts, downstand beams, service routes and suspended ceilings are reserved and do not constitute a defect.</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41" w:name="allgemeines-gebäudekonzept"/>
            <w:bookmarkEnd w:id="41"/>
            <w:r>
              <w:rPr/>
              <w:t>1 Allgemeines, Gebäudekonzept</w:t>
            </w:r>
          </w:p>
          <w:p>
            <w:pPr>
              <w:pStyle w:val="TableContents"/>
              <w:widowControl/>
              <w:bidi w:val="0"/>
              <w:spacing w:before="0" w:after="283"/>
              <w:rPr/>
            </w:pPr>
            <w:r>
              <w:rPr>
                <w:rStyle w:val="Strong"/>
              </w:rPr>
              <w:t>1.1</w:t>
            </w:r>
            <w:r>
              <w:rPr/>
              <w:t xml:space="preserve"> Das Quartier umfasst nach derzeitiger Planung zwölf Mehrfamilienhäuser nebst Stadtvilla-Cluster, eine zweigeschossige Tiefgarage sowie Gemeinschafts- und Freiflächen. Haus 4 ist als Mehrfamilienhaus mit Staffelgeschoss konzipiert.</w:t>
            </w:r>
          </w:p>
        </w:tc>
        <w:tc>
          <w:tcPr>
            <w:tcW w:w="7620" w:type="dxa"/>
            <w:tcBorders/>
            <w:vAlign w:val="center"/>
          </w:tcPr>
          <w:p>
            <w:pPr>
              <w:pStyle w:val="Heading1"/>
              <w:keepNext/>
              <w:widowControl/>
              <w:bidi w:val="0"/>
              <w:spacing w:before="240" w:after="283"/>
              <w:ind w:hanging="0" w:start="0" w:end="0"/>
              <w:rPr/>
            </w:pPr>
            <w:bookmarkStart w:id="42" w:name="general-building-concept"/>
            <w:bookmarkEnd w:id="42"/>
            <w:r>
              <w:rPr/>
              <w:t xml:space="preserve">1 General, building concept </w:t>
            </w:r>
          </w:p>
          <w:p>
            <w:pPr>
              <w:pStyle w:val="TableContents"/>
              <w:widowControl/>
              <w:bidi w:val="0"/>
              <w:spacing w:before="0" w:after="283"/>
              <w:rPr/>
            </w:pPr>
            <w:r>
              <w:rPr>
                <w:rStyle w:val="Strong"/>
              </w:rPr>
              <w:t>1.1</w:t>
            </w:r>
            <w:r>
              <w:rPr/>
              <w:t xml:space="preserve"> Under the current plans, the development comprises twelve multi-family buildings together with a cluster of urban villas, a two-level underground car park and common and open areas. Building 4 is designed as a multi-family building with a set-back top storey.</w:t>
            </w:r>
          </w:p>
        </w:tc>
      </w:tr>
      <w:tr>
        <w:trPr>
          <w:cantSplit/>
        </w:trPr>
        <w:tc>
          <w:tcPr>
            <w:tcW w:w="7914" w:type="dxa"/>
            <w:tcBorders/>
            <w:vAlign w:val="center"/>
          </w:tcPr>
          <w:p>
            <w:pPr>
              <w:pStyle w:val="TableContents"/>
              <w:widowControl/>
              <w:bidi w:val="0"/>
              <w:spacing w:before="0" w:after="283"/>
              <w:rPr/>
            </w:pPr>
            <w:r>
              <w:rPr>
                <w:rStyle w:val="Strong"/>
              </w:rPr>
              <w:t>1.2</w:t>
            </w:r>
            <w:r>
              <w:rPr/>
              <w:t xml:space="preserve"> Die Ausstattung der Wohnung 4.27 entspricht der Linie „Birkenpfuhl Komfort B4” mit zurückhaltenden Oberflächen, hellen Sanitärobjekten, großformatigen Fliesen in Bad und Gäste-WC, designorientierten Bodenbelägen in Wohn- und Schlafräumen sowie einheitlichen Tür- und Beschlagsserien. Die konkrete Ausgestaltung der einzelnen Gewerke ergibt sich aus den nachstehenden Abschnitten und den im Zuge der Ausführungsplanung für Haus 4 fortgeschriebenen Detailfestlegungen.</w:t>
            </w:r>
          </w:p>
        </w:tc>
        <w:tc>
          <w:tcPr>
            <w:tcW w:w="7620" w:type="dxa"/>
            <w:tcBorders/>
            <w:vAlign w:val="center"/>
          </w:tcPr>
          <w:p>
            <w:pPr>
              <w:pStyle w:val="TableContents"/>
              <w:widowControl/>
              <w:bidi w:val="0"/>
              <w:spacing w:before="0" w:after="283"/>
              <w:rPr/>
            </w:pPr>
            <w:r>
              <w:rPr>
                <w:rStyle w:val="Strong"/>
              </w:rPr>
              <w:t>1.2</w:t>
            </w:r>
            <w:r>
              <w:rPr/>
              <w:t xml:space="preserve"> The fit-out of apartment 4.27 corresponds to the “Birkenpfuhl Komfort B4” range, with understated finishes, light-coloured sanitary fittings, large-format tiles in the bathroom and guest WC, design-oriented flooring in living rooms and bedrooms, and coordinated door and hardware ranges. The individual trades are specified in the following sections and in the detailed specifications updated during detailed design for building 4.</w:t>
            </w:r>
          </w:p>
        </w:tc>
      </w:tr>
      <w:tr>
        <w:trPr>
          <w:cantSplit/>
        </w:trPr>
        <w:tc>
          <w:tcPr>
            <w:tcW w:w="7914" w:type="dxa"/>
            <w:tcBorders/>
            <w:vAlign w:val="center"/>
          </w:tcPr>
          <w:p>
            <w:pPr>
              <w:pStyle w:val="TableContents"/>
              <w:widowControl/>
              <w:bidi w:val="0"/>
              <w:spacing w:before="0" w:after="283"/>
              <w:rPr/>
            </w:pPr>
            <w:r>
              <w:rPr>
                <w:rStyle w:val="Strong"/>
              </w:rPr>
              <w:t>1.3</w:t>
            </w:r>
            <w:r>
              <w:rPr/>
              <w:t xml:space="preserve"> Konstruktive und gestalterische Änderungen, die sich aus der Fortschreibung der Ausführungsplanung, aus behördlichen Auflagen, aus der Tragwerksplanung oder aus der Abstimmung der Fachplaner ergeben, bleiben vorbehalten, soweit der Gesamtcharakter des Bauvorhabens gewahrt bleibt.</w:t>
            </w:r>
          </w:p>
        </w:tc>
        <w:tc>
          <w:tcPr>
            <w:tcW w:w="7620" w:type="dxa"/>
            <w:tcBorders/>
            <w:vAlign w:val="center"/>
          </w:tcPr>
          <w:p>
            <w:pPr>
              <w:pStyle w:val="TableContents"/>
              <w:widowControl/>
              <w:bidi w:val="0"/>
              <w:spacing w:before="0" w:after="283"/>
              <w:rPr/>
            </w:pPr>
            <w:r>
              <w:rPr>
                <w:rStyle w:val="Strong"/>
              </w:rPr>
              <w:t>1.3</w:t>
            </w:r>
            <w:r>
              <w:rPr/>
              <w:t xml:space="preserve"> Structural and design changes arising from updates to detailed design, official conditions, structural engineering or coordination among specialist designers are reserved, provided the overall character of the development is preserved.</w:t>
            </w:r>
          </w:p>
        </w:tc>
      </w:tr>
      <w:tr>
        <w:trPr>
          <w:cantSplit/>
        </w:trPr>
        <w:tc>
          <w:tcPr>
            <w:tcW w:w="7914" w:type="dxa"/>
            <w:tcBorders/>
            <w:vAlign w:val="center"/>
          </w:tcPr>
          <w:p>
            <w:pPr>
              <w:pStyle w:val="Heading1"/>
              <w:keepNext/>
              <w:widowControl/>
              <w:bidi w:val="0"/>
              <w:spacing w:before="240" w:after="283"/>
              <w:ind w:hanging="0" w:start="0" w:end="0"/>
              <w:rPr/>
            </w:pPr>
            <w:bookmarkStart w:id="43" w:name="baugrund-gründung-baugrube"/>
            <w:bookmarkEnd w:id="43"/>
            <w:r>
              <w:rPr/>
              <w:t>2 Baugrund, Gründung, Baugrube</w:t>
            </w:r>
          </w:p>
          <w:p>
            <w:pPr>
              <w:pStyle w:val="TableContents"/>
              <w:widowControl/>
              <w:bidi w:val="0"/>
              <w:spacing w:before="0" w:after="283"/>
              <w:rPr/>
            </w:pPr>
            <w:r>
              <w:rPr>
                <w:rStyle w:val="Strong"/>
              </w:rPr>
              <w:t>2.1</w:t>
            </w:r>
            <w:r>
              <w:rPr/>
              <w:t xml:space="preserve"> Der Gründung liegen die orientierenden Baugrunderkundungen „BQ-KNW-4/2026” zugrunde. Art und Tiefe der Gründung von Haus 4 und der Tiefgaragenspange Nord (Flachgründung, Tiefgründung, Bodenaustausch, Bodenverbesserung oder Kombination) werden im Zuge der Ausführungsplanung durch den Tragwerksplaner festgelegt.</w:t>
            </w:r>
          </w:p>
        </w:tc>
        <w:tc>
          <w:tcPr>
            <w:tcW w:w="7620" w:type="dxa"/>
            <w:tcBorders/>
            <w:vAlign w:val="center"/>
          </w:tcPr>
          <w:p>
            <w:pPr>
              <w:pStyle w:val="Heading1"/>
              <w:keepNext/>
              <w:widowControl/>
              <w:pBdr/>
              <w:bidi w:val="0"/>
              <w:spacing w:before="240" w:after="283"/>
              <w:rPr/>
            </w:pPr>
            <w:r>
              <w:rPr/>
              <w:t>2 Ground Conditions, Foundations and Excavation</w:t>
            </w:r>
          </w:p>
          <w:p>
            <w:pPr>
              <w:pStyle w:val="TableContents"/>
              <w:widowControl/>
              <w:bidi w:val="0"/>
              <w:spacing w:before="0" w:after="283"/>
              <w:rPr/>
            </w:pPr>
            <w:r>
              <w:rPr>
                <w:rStyle w:val="Strong"/>
              </w:rPr>
              <w:t>2.1</w:t>
            </w:r>
            <w:r>
              <w:rPr/>
              <w:t xml:space="preserve"> The foundations are based on the preliminary ground investigations “BQ-KNW-4/2026”. The type and depth of foundations for building 4 and the northern underground-parking section—shallow foundations, deep foundations, soil replacement, ground improvement or a combination—will be determined by the structural engineer during detailed design.</w:t>
            </w:r>
          </w:p>
        </w:tc>
      </w:tr>
      <w:tr>
        <w:trPr>
          <w:cantSplit/>
        </w:trPr>
        <w:tc>
          <w:tcPr>
            <w:tcW w:w="7914" w:type="dxa"/>
            <w:tcBorders/>
            <w:vAlign w:val="center"/>
          </w:tcPr>
          <w:p>
            <w:pPr>
              <w:pStyle w:val="TableContents"/>
              <w:widowControl/>
              <w:bidi w:val="0"/>
              <w:spacing w:before="0" w:after="283"/>
              <w:rPr/>
            </w:pPr>
            <w:r>
              <w:rPr>
                <w:rStyle w:val="Strong"/>
              </w:rPr>
              <w:t>2.2</w:t>
            </w:r>
            <w:r>
              <w:rPr/>
              <w:t xml:space="preserve"> Maßnahmen der Wasserhaltung, des Baugrubenverbaus entlang der nördlichen Tiefgaragenkante, der Grundwasserabsenkung sowie etwaige Anpassungen infolge tatsächlicher Baugrund-, Grundwasser-, Altlasten- oder Kampfmittelbefunde gehören zur bauseitigen Herstellung, begründen jedoch keine über diese Baubeschreibung hinausgehende Beschaffenheit. Die Abdichtung der erdberührten Bauteile von Haus 4, Kellerzone und Tiefgarage erfolgt nach den einschlägigen technischen Regelwerken in einer für Wohnhaus, Kellerabteile und Tiefgaragennutzung geeigneten Ausführung.</w:t>
            </w:r>
          </w:p>
        </w:tc>
        <w:tc>
          <w:tcPr>
            <w:tcW w:w="7620" w:type="dxa"/>
            <w:tcBorders/>
            <w:vAlign w:val="center"/>
          </w:tcPr>
          <w:p>
            <w:pPr>
              <w:pStyle w:val="TableContents"/>
              <w:widowControl/>
              <w:bidi w:val="0"/>
              <w:spacing w:before="0" w:after="283"/>
              <w:rPr/>
            </w:pPr>
            <w:r>
              <w:rPr>
                <w:rStyle w:val="Strong"/>
              </w:rPr>
              <w:t>2.2</w:t>
            </w:r>
            <w:r>
              <w:rPr/>
              <w:t xml:space="preserve"> Dewatering, excavation support along the northern edge of the underground car park, lowering of groundwater and any adjustments resulting from actual findings concerning ground conditions, groundwater, contamination or unexploded ordnance form part of the construction works, but do not establish any agreed characteristics beyond this Building Specification. Ground-contact components of building 4, the cellar area and the underground car park will be waterproofed in accordance with the applicable technical rules, using construction suitable for a residential building, cellar compartments and underground parking.</w:t>
            </w:r>
          </w:p>
        </w:tc>
      </w:tr>
      <w:tr>
        <w:trPr>
          <w:cantSplit/>
        </w:trPr>
        <w:tc>
          <w:tcPr>
            <w:tcW w:w="7914" w:type="dxa"/>
            <w:tcBorders/>
            <w:vAlign w:val="center"/>
          </w:tcPr>
          <w:p>
            <w:pPr>
              <w:pStyle w:val="Heading1"/>
              <w:keepNext/>
              <w:widowControl/>
              <w:bidi w:val="0"/>
              <w:spacing w:before="240" w:after="283"/>
              <w:ind w:hanging="0" w:start="0" w:end="0"/>
              <w:rPr/>
            </w:pPr>
            <w:bookmarkStart w:id="44" w:name="rohbau-und-konstruktion"/>
            <w:bookmarkEnd w:id="44"/>
            <w:r>
              <w:rPr/>
              <w:t>3 Rohbau und Konstruktion</w:t>
            </w:r>
          </w:p>
          <w:p>
            <w:pPr>
              <w:pStyle w:val="TableContents"/>
              <w:widowControl/>
              <w:bidi w:val="0"/>
              <w:spacing w:before="0" w:after="283"/>
              <w:rPr/>
            </w:pPr>
            <w:r>
              <w:rPr>
                <w:rStyle w:val="Strong"/>
              </w:rPr>
              <w:t>3.1</w:t>
            </w:r>
            <w:r>
              <w:rPr/>
              <w:t xml:space="preserve"> Gründung, Kelleraußenwände und Tiefgarage werden in Stahlbeton bzw. wasserundurchlässigem Beton hergestellt, soweit es die Tragwerksplanung vorsieht. Wohnungstrennwände und tragende Innenwände werden in Massivbauweise (Beton oder Mauerwerk) ausgeführt.</w:t>
            </w:r>
          </w:p>
        </w:tc>
        <w:tc>
          <w:tcPr>
            <w:tcW w:w="7620" w:type="dxa"/>
            <w:tcBorders/>
            <w:vAlign w:val="center"/>
          </w:tcPr>
          <w:p>
            <w:pPr>
              <w:pStyle w:val="Heading1"/>
              <w:keepNext/>
              <w:widowControl/>
              <w:pBdr/>
              <w:bidi w:val="0"/>
              <w:spacing w:before="240" w:after="283"/>
              <w:rPr/>
            </w:pPr>
            <w:r>
              <w:rPr/>
              <w:t>3 Structural Shell and Construction</w:t>
            </w:r>
          </w:p>
          <w:p>
            <w:pPr>
              <w:pStyle w:val="TableContents"/>
              <w:widowControl/>
              <w:bidi w:val="0"/>
              <w:spacing w:before="0" w:after="283"/>
              <w:rPr/>
            </w:pPr>
            <w:r>
              <w:rPr>
                <w:rStyle w:val="Strong"/>
              </w:rPr>
              <w:t>3.1</w:t>
            </w:r>
            <w:r>
              <w:rPr/>
              <w:t xml:space="preserve"> Foundations, external cellar walls and the underground car park will be constructed in reinforced concrete or water-impermeable concrete where provided for in the structural design. Walls separating apartments and load-bearing internal walls will be of solid construction, using concrete or masonry.</w:t>
            </w:r>
          </w:p>
        </w:tc>
      </w:tr>
      <w:tr>
        <w:trPr>
          <w:cantSplit/>
        </w:trPr>
        <w:tc>
          <w:tcPr>
            <w:tcW w:w="7914" w:type="dxa"/>
            <w:tcBorders/>
            <w:vAlign w:val="center"/>
          </w:tcPr>
          <w:p>
            <w:pPr>
              <w:pStyle w:val="TableContents"/>
              <w:widowControl/>
              <w:bidi w:val="0"/>
              <w:spacing w:before="0" w:after="283"/>
              <w:rPr/>
            </w:pPr>
            <w:r>
              <w:rPr>
                <w:rStyle w:val="Strong"/>
              </w:rPr>
              <w:t>3.2</w:t>
            </w:r>
            <w:r>
              <w:rPr/>
              <w:t xml:space="preserve"> Nichttragende Trennwände innerhalb der Wohnung 4.27 werden entsprechend der Ausführungsplanung als Trockenbau- oder Mauerwerkswände erstellt. Die genaue Ausführung legt der Verkäufer anhand von Schachtlage, Installationsführung, Schallschutzkonzept und Bauablauf fest.</w:t>
            </w:r>
          </w:p>
        </w:tc>
        <w:tc>
          <w:tcPr>
            <w:tcW w:w="7620" w:type="dxa"/>
            <w:tcBorders/>
            <w:vAlign w:val="center"/>
          </w:tcPr>
          <w:p>
            <w:pPr>
              <w:pStyle w:val="TableContents"/>
              <w:widowControl/>
              <w:bidi w:val="0"/>
              <w:spacing w:before="0" w:after="283"/>
              <w:rPr/>
            </w:pPr>
            <w:r>
              <w:rPr>
                <w:rStyle w:val="Strong"/>
              </w:rPr>
              <w:t>3.2</w:t>
            </w:r>
            <w:r>
              <w:rPr/>
              <w:t xml:space="preserve"> Non-load-bearing partitions within apartment 4.27 will be drywall or masonry walls in accordance with the detailed design. The Seller will determine the precise construction based on shaft positions, service routes, the sound-insulation design and construction sequencing.</w:t>
            </w:r>
          </w:p>
        </w:tc>
      </w:tr>
      <w:tr>
        <w:trPr>
          <w:cantSplit/>
        </w:trPr>
        <w:tc>
          <w:tcPr>
            <w:tcW w:w="7914" w:type="dxa"/>
            <w:tcBorders/>
            <w:vAlign w:val="center"/>
          </w:tcPr>
          <w:p>
            <w:pPr>
              <w:pStyle w:val="TableContents"/>
              <w:widowControl/>
              <w:bidi w:val="0"/>
              <w:spacing w:before="0" w:after="283"/>
              <w:rPr/>
            </w:pPr>
            <w:r>
              <w:rPr>
                <w:rStyle w:val="Strong"/>
              </w:rPr>
              <w:t>3.3</w:t>
            </w:r>
            <w:r>
              <w:rPr/>
              <w:t xml:space="preserve"> Die lichte Raumhöhe der Wohnräume beträgt ca. 2,60 m, im Bereich von Unterzügen, abgehängten Decken und Installationsführungen entsprechend weniger.</w:t>
            </w:r>
          </w:p>
        </w:tc>
        <w:tc>
          <w:tcPr>
            <w:tcW w:w="7620" w:type="dxa"/>
            <w:tcBorders/>
            <w:vAlign w:val="center"/>
          </w:tcPr>
          <w:p>
            <w:pPr>
              <w:pStyle w:val="TableContents"/>
              <w:widowControl/>
              <w:bidi w:val="0"/>
              <w:spacing w:before="0" w:after="283"/>
              <w:rPr/>
            </w:pPr>
            <w:r>
              <w:rPr>
                <w:rStyle w:val="Strong"/>
              </w:rPr>
              <w:t>3.3</w:t>
            </w:r>
            <w:r>
              <w:rPr/>
              <w:t xml:space="preserve"> The clear ceiling height in living rooms is approximately 2.60 m, with corresponding reductions around downstand beams, suspended ceilings and service routes.</w:t>
            </w:r>
          </w:p>
        </w:tc>
      </w:tr>
      <w:tr>
        <w:trPr>
          <w:cantSplit/>
        </w:trPr>
        <w:tc>
          <w:tcPr>
            <w:tcW w:w="7914" w:type="dxa"/>
            <w:tcBorders/>
            <w:vAlign w:val="center"/>
          </w:tcPr>
          <w:p>
            <w:pPr>
              <w:pStyle w:val="Heading1"/>
              <w:keepNext/>
              <w:widowControl/>
              <w:bidi w:val="0"/>
              <w:spacing w:before="240" w:after="283"/>
              <w:ind w:hanging="0" w:start="0" w:end="0"/>
              <w:rPr/>
            </w:pPr>
            <w:bookmarkStart w:id="45" w:name="fassade-außenwände-wärmedämmung"/>
            <w:bookmarkEnd w:id="45"/>
            <w:r>
              <w:rPr/>
              <w:t>4 Fassade, Außenwände, Wärmedämmung</w:t>
            </w:r>
          </w:p>
          <w:p>
            <w:pPr>
              <w:pStyle w:val="TableContents"/>
              <w:widowControl/>
              <w:bidi w:val="0"/>
              <w:spacing w:before="0" w:after="283"/>
              <w:rPr/>
            </w:pPr>
            <w:r>
              <w:rPr>
                <w:rStyle w:val="Strong"/>
              </w:rPr>
              <w:t>4.1</w:t>
            </w:r>
            <w:r>
              <w:rPr/>
              <w:t xml:space="preserve"> Die Außenwände von Haus 4 erhalten ein Wärmedämmverbundsystem oder eine gleichwertige Dämmkonstruktion mit heller Putzoberfläche, akzentuierten Fassadenfeldern und im Erdgeschoss bereichsweise widerstandsfähiger Sockelausbildung. Farbgebung und Materialität der Fassade legt der Verkäufer im Rahmen des Gestaltungskonzepts „Birkenpfuhl Q1” fest.</w:t>
            </w:r>
          </w:p>
        </w:tc>
        <w:tc>
          <w:tcPr>
            <w:tcW w:w="7620" w:type="dxa"/>
            <w:tcBorders/>
            <w:vAlign w:val="center"/>
          </w:tcPr>
          <w:p>
            <w:pPr>
              <w:pStyle w:val="Heading1"/>
              <w:keepNext/>
              <w:widowControl/>
              <w:bidi w:val="0"/>
              <w:spacing w:before="240" w:after="283"/>
              <w:ind w:hanging="0" w:start="0" w:end="0"/>
              <w:rPr/>
            </w:pPr>
            <w:bookmarkStart w:id="46" w:name="facade-exterior-walls-thermal-insulation"/>
            <w:bookmarkEnd w:id="46"/>
            <w:r>
              <w:rPr/>
              <w:t xml:space="preserve">4 Facade, exterior walls, thermal insulation </w:t>
            </w:r>
          </w:p>
          <w:p>
            <w:pPr>
              <w:pStyle w:val="TableContents"/>
              <w:widowControl/>
              <w:bidi w:val="0"/>
              <w:spacing w:before="0" w:after="283"/>
              <w:rPr/>
            </w:pPr>
            <w:r>
              <w:rPr>
                <w:rStyle w:val="Strong"/>
              </w:rPr>
              <w:t>4.1</w:t>
            </w:r>
            <w:r>
              <w:rPr/>
              <w:t xml:space="preserve"> The external walls of building 4 will receive an external thermal insulation composite system or equivalent insulation construction, with a light-coloured rendered finish, accented facade panels and, in parts of the ground floor, a durable plinth finish. The Seller will determine the facade's colours and materials within the “Birkenpfuhl Q1” design concept.</w:t>
            </w:r>
          </w:p>
        </w:tc>
      </w:tr>
      <w:tr>
        <w:trPr>
          <w:cantSplit/>
        </w:trPr>
        <w:tc>
          <w:tcPr>
            <w:tcW w:w="7914" w:type="dxa"/>
            <w:tcBorders/>
            <w:vAlign w:val="center"/>
          </w:tcPr>
          <w:p>
            <w:pPr>
              <w:pStyle w:val="TableContents"/>
              <w:widowControl/>
              <w:bidi w:val="0"/>
              <w:spacing w:before="0" w:after="283"/>
              <w:rPr/>
            </w:pPr>
            <w:r>
              <w:rPr>
                <w:rStyle w:val="Strong"/>
              </w:rPr>
              <w:t>4.2</w:t>
            </w:r>
            <w:r>
              <w:rPr/>
              <w:t xml:space="preserve"> Dämmstärken und Dämmstoffe werden nach den energetischen Nachweisen bemessen (vgl. Abschnitt 17).</w:t>
            </w:r>
          </w:p>
        </w:tc>
        <w:tc>
          <w:tcPr>
            <w:tcW w:w="7620" w:type="dxa"/>
            <w:tcBorders/>
            <w:vAlign w:val="center"/>
          </w:tcPr>
          <w:p>
            <w:pPr>
              <w:pStyle w:val="TableContents"/>
              <w:widowControl/>
              <w:bidi w:val="0"/>
              <w:spacing w:before="0" w:after="283"/>
              <w:rPr/>
            </w:pPr>
            <w:r>
              <w:rPr>
                <w:rStyle w:val="Strong"/>
              </w:rPr>
              <w:t>4.2</w:t>
            </w:r>
            <w:r>
              <w:rPr/>
              <w:t xml:space="preserve"> Insulation thicknesses and materials will be determined in accordance with the energy-performance calculations (see section 17).</w:t>
            </w:r>
          </w:p>
        </w:tc>
      </w:tr>
      <w:tr>
        <w:trPr>
          <w:cantSplit/>
        </w:trPr>
        <w:tc>
          <w:tcPr>
            <w:tcW w:w="7914" w:type="dxa"/>
            <w:tcBorders/>
            <w:vAlign w:val="center"/>
          </w:tcPr>
          <w:p>
            <w:pPr>
              <w:pStyle w:val="Heading1"/>
              <w:keepNext/>
              <w:widowControl/>
              <w:bidi w:val="0"/>
              <w:spacing w:before="240" w:after="283"/>
              <w:ind w:hanging="0" w:start="0" w:end="0"/>
              <w:rPr/>
            </w:pPr>
            <w:bookmarkStart w:id="47" w:name="dach"/>
            <w:bookmarkEnd w:id="47"/>
            <w:r>
              <w:rPr/>
              <w:t>5 Dach</w:t>
            </w:r>
          </w:p>
          <w:p>
            <w:pPr>
              <w:pStyle w:val="TableContents"/>
              <w:widowControl/>
              <w:bidi w:val="0"/>
              <w:spacing w:before="0" w:after="283"/>
              <w:rPr/>
            </w:pPr>
            <w:r>
              <w:rPr>
                <w:rStyle w:val="Strong"/>
              </w:rPr>
              <w:t>5.1</w:t>
            </w:r>
            <w:r>
              <w:rPr/>
              <w:t xml:space="preserve"> Die Dachflächen werden als Flachdach bzw. flach geneigtes Dach ausgeführt und abgedichtet. Dachbegrünung, Bekiesung oder Belegung erfolgt nach dem Freiflächen- und Entwässerungskonzept.</w:t>
            </w:r>
          </w:p>
        </w:tc>
        <w:tc>
          <w:tcPr>
            <w:tcW w:w="7620" w:type="dxa"/>
            <w:tcBorders/>
            <w:vAlign w:val="center"/>
          </w:tcPr>
          <w:p>
            <w:pPr>
              <w:pStyle w:val="Heading1"/>
              <w:keepNext/>
              <w:widowControl/>
              <w:pBdr/>
              <w:bidi w:val="0"/>
              <w:spacing w:before="240" w:after="283"/>
              <w:rPr/>
            </w:pPr>
            <w:r>
              <w:rPr/>
              <w:t>5 Roof</w:t>
            </w:r>
          </w:p>
          <w:p>
            <w:pPr>
              <w:pStyle w:val="TableContents"/>
              <w:widowControl/>
              <w:bidi w:val="0"/>
              <w:spacing w:before="0" w:after="283"/>
              <w:rPr/>
            </w:pPr>
            <w:r>
              <w:rPr>
                <w:rStyle w:val="Strong"/>
              </w:rPr>
              <w:t>5.1</w:t>
            </w:r>
            <w:r>
              <w:rPr/>
              <w:t xml:space="preserve"> The roof areas will be constructed and waterproofed as flat or low-pitched roofs. Green roofing, gravel ballast or other roof surfacing will be provided in accordance with the landscape and drainage design.</w:t>
            </w:r>
          </w:p>
        </w:tc>
      </w:tr>
      <w:tr>
        <w:trPr>
          <w:cantSplit/>
        </w:trPr>
        <w:tc>
          <w:tcPr>
            <w:tcW w:w="7914" w:type="dxa"/>
            <w:tcBorders/>
            <w:vAlign w:val="center"/>
          </w:tcPr>
          <w:p>
            <w:pPr>
              <w:pStyle w:val="TableContents"/>
              <w:widowControl/>
              <w:bidi w:val="0"/>
              <w:spacing w:before="0" w:after="283"/>
              <w:rPr/>
            </w:pPr>
            <w:r>
              <w:rPr>
                <w:rStyle w:val="Strong"/>
              </w:rPr>
              <w:t>5.2</w:t>
            </w:r>
            <w:r>
              <w:rPr/>
              <w:t xml:space="preserve"> Eine Nutzung der Dachflächen durch die Erwerber des Hauses 4 ist nicht geschuldet, soweit nicht in der Teilungserklärung ausdrücklich ein Sondernutzungsrecht zugewiesen ist.</w:t>
            </w:r>
          </w:p>
        </w:tc>
        <w:tc>
          <w:tcPr>
            <w:tcW w:w="7620" w:type="dxa"/>
            <w:tcBorders/>
            <w:vAlign w:val="center"/>
          </w:tcPr>
          <w:p>
            <w:pPr>
              <w:pStyle w:val="TableContents"/>
              <w:widowControl/>
              <w:bidi w:val="0"/>
              <w:spacing w:before="0" w:after="283"/>
              <w:rPr/>
            </w:pPr>
            <w:r>
              <w:rPr>
                <w:rStyle w:val="Strong"/>
              </w:rPr>
              <w:t>5.2</w:t>
            </w:r>
            <w:r>
              <w:rPr/>
              <w:t xml:space="preserve"> Use of the roof areas by the purchasers in building 4 is not owed unless an exclusive use right is expressly allocated in the declaration of division.</w:t>
            </w:r>
          </w:p>
        </w:tc>
      </w:tr>
      <w:tr>
        <w:trPr>
          <w:cantSplit/>
        </w:trPr>
        <w:tc>
          <w:tcPr>
            <w:tcW w:w="7914" w:type="dxa"/>
            <w:tcBorders/>
            <w:vAlign w:val="center"/>
          </w:tcPr>
          <w:p>
            <w:pPr>
              <w:pStyle w:val="Heading1"/>
              <w:keepNext/>
              <w:widowControl/>
              <w:bidi w:val="0"/>
              <w:spacing w:before="240" w:after="283"/>
              <w:ind w:hanging="0" w:start="0" w:end="0"/>
              <w:rPr/>
            </w:pPr>
            <w:bookmarkStart w:id="48" w:name="fenster-außentüren-verglasung"/>
            <w:bookmarkEnd w:id="48"/>
            <w:r>
              <w:rPr/>
              <w:t>6 Fenster, Außentüren, Verglasung</w:t>
            </w:r>
          </w:p>
          <w:p>
            <w:pPr>
              <w:pStyle w:val="TableContents"/>
              <w:widowControl/>
              <w:bidi w:val="0"/>
              <w:spacing w:before="0" w:after="283"/>
              <w:rPr/>
            </w:pPr>
            <w:r>
              <w:rPr>
                <w:rStyle w:val="Strong"/>
              </w:rPr>
              <w:t>6.1</w:t>
            </w:r>
            <w:r>
              <w:rPr/>
              <w:t xml:space="preserve"> Die Fenster der Wohnung 4.27 werden als Kunststoff-, Kunststoff-Aluminium- oder Aluminiumfenster mit Mehrscheiben-Isolierverglasung ausgeführt; Profilwahl, Standardbeschlag, Öffnungsart und Farbton trifft der Verkäufer im Rahmen des Fassaden- und Energiekonzepts für Haus 4. Außenfarbton, Rahmenbreite und Teilungen folgen dem Fassadenraster B4-F-03; innen ist eine helle Standardoberfläche vorgesehen.</w:t>
            </w:r>
          </w:p>
        </w:tc>
        <w:tc>
          <w:tcPr>
            <w:tcW w:w="7620" w:type="dxa"/>
            <w:tcBorders/>
            <w:vAlign w:val="center"/>
          </w:tcPr>
          <w:p>
            <w:pPr>
              <w:pStyle w:val="Heading1"/>
              <w:keepNext/>
              <w:widowControl/>
              <w:pBdr/>
              <w:bidi w:val="0"/>
              <w:spacing w:before="240" w:after="283"/>
              <w:rPr/>
            </w:pPr>
            <w:r>
              <w:rPr/>
              <w:t>6 Windows, External Doors and Glazing</w:t>
            </w:r>
          </w:p>
          <w:p>
            <w:pPr>
              <w:pStyle w:val="TableContents"/>
              <w:widowControl/>
              <w:bidi w:val="0"/>
              <w:spacing w:before="0" w:after="283"/>
              <w:rPr/>
            </w:pPr>
            <w:r>
              <w:rPr>
                <w:rStyle w:val="Strong"/>
              </w:rPr>
              <w:t>6.1</w:t>
            </w:r>
            <w:r>
              <w:rPr/>
              <w:t xml:space="preserve"> The windows of apartment 4.27 will have plastic, plastic/aluminium or aluminium frames with multi-pane insulating glazing. The Seller will choose profiles, standard hardware, opening types and colours within the facade and energy design for building 4. Exterior colour, frame width and subdivisions will follow facade grid B4-F-03; a light-coloured standard finish is planned internally.</w:t>
            </w:r>
          </w:p>
        </w:tc>
      </w:tr>
      <w:tr>
        <w:trPr>
          <w:cantSplit/>
        </w:trPr>
        <w:tc>
          <w:tcPr>
            <w:tcW w:w="7914" w:type="dxa"/>
            <w:tcBorders/>
            <w:vAlign w:val="center"/>
          </w:tcPr>
          <w:p>
            <w:pPr>
              <w:pStyle w:val="TableContents"/>
              <w:widowControl/>
              <w:bidi w:val="0"/>
              <w:spacing w:before="0" w:after="283"/>
              <w:rPr/>
            </w:pPr>
            <w:r>
              <w:rPr>
                <w:rStyle w:val="Strong"/>
              </w:rPr>
              <w:t>6.2</w:t>
            </w:r>
            <w:r>
              <w:rPr/>
              <w:t xml:space="preserve"> Ein Teil der Fenster und Fenstertüren wird mit außenliegendem Sonnenschutz ausgestattet. Welche Öffnungen der Wohnung 4.27 Sonnenschutz erhalten, richtet sich nach Fassadenlage, Windwächterkonzept, Verschattung der Nachbarbaukörper und technischer Durchführbarkeit; die Festlegung trifft der Verkäufer.</w:t>
            </w:r>
          </w:p>
        </w:tc>
        <w:tc>
          <w:tcPr>
            <w:tcW w:w="7620" w:type="dxa"/>
            <w:tcBorders/>
            <w:vAlign w:val="center"/>
          </w:tcPr>
          <w:p>
            <w:pPr>
              <w:pStyle w:val="TableContents"/>
              <w:widowControl/>
              <w:bidi w:val="0"/>
              <w:spacing w:before="0" w:after="283"/>
              <w:rPr/>
            </w:pPr>
            <w:r>
              <w:rPr>
                <w:rStyle w:val="Strong"/>
              </w:rPr>
              <w:t>6.2</w:t>
            </w:r>
            <w:r>
              <w:rPr/>
              <w:t xml:space="preserve"> Some windows and glazed doors will have external solar shading. Which openings in apartment 4.27 receive shading will depend on facade orientation, the wind-sensor design, shading from neighbouring buildings and technical feasibility; the Seller will make that determination.</w:t>
            </w:r>
          </w:p>
        </w:tc>
      </w:tr>
      <w:tr>
        <w:trPr>
          <w:cantSplit/>
        </w:trPr>
        <w:tc>
          <w:tcPr>
            <w:tcW w:w="7914" w:type="dxa"/>
            <w:tcBorders/>
            <w:vAlign w:val="center"/>
          </w:tcPr>
          <w:p>
            <w:pPr>
              <w:pStyle w:val="TableContents"/>
              <w:widowControl/>
              <w:bidi w:val="0"/>
              <w:spacing w:before="0" w:after="283"/>
              <w:rPr/>
            </w:pPr>
            <w:r>
              <w:rPr>
                <w:rStyle w:val="Strong"/>
              </w:rPr>
              <w:t>6.3</w:t>
            </w:r>
            <w:r>
              <w:rPr/>
              <w:t xml:space="preserve"> Die Wohnungseingangstür der Einheit 4.27 wird als dichtschließende Tür mit Spion, Mehrfachverriegelung nach Verkäuferstandard, Edelstahl-Drückergarnitur und der im Treppenhaus Haus 4 verwendeten Oberflächenserie ausgeführt; weitergehende Widerstands- oder Schallschutzklassen werden nur geschuldet, wenn sie ausdrücklich mit Kennwert vereinbart sind.</w:t>
            </w:r>
          </w:p>
        </w:tc>
        <w:tc>
          <w:tcPr>
            <w:tcW w:w="7620" w:type="dxa"/>
            <w:tcBorders/>
            <w:vAlign w:val="center"/>
          </w:tcPr>
          <w:p>
            <w:pPr>
              <w:pStyle w:val="TableContents"/>
              <w:widowControl/>
              <w:bidi w:val="0"/>
              <w:spacing w:before="0" w:after="283"/>
              <w:rPr/>
            </w:pPr>
            <w:r>
              <w:rPr>
                <w:rStyle w:val="Strong"/>
              </w:rPr>
              <w:t>6.3</w:t>
            </w:r>
            <w:r>
              <w:rPr/>
              <w:t xml:space="preserve"> The entrance door to unit 4.27 will be a tight-closing door with a peephole, multi-point locking to the Seller's standard, stainless-steel lever-handle fittings and a finish from the range used in building 4's stairwell. Higher security or sound-insulation classes are owed only if expressly agreed with a specified performance rating.</w:t>
            </w:r>
          </w:p>
        </w:tc>
      </w:tr>
      <w:tr>
        <w:trPr>
          <w:cantSplit/>
        </w:trPr>
        <w:tc>
          <w:tcPr>
            <w:tcW w:w="7914" w:type="dxa"/>
            <w:tcBorders/>
            <w:vAlign w:val="center"/>
          </w:tcPr>
          <w:p>
            <w:pPr>
              <w:pStyle w:val="Heading1"/>
              <w:keepNext/>
              <w:widowControl/>
              <w:bidi w:val="0"/>
              <w:spacing w:before="240" w:after="283"/>
              <w:ind w:hanging="0" w:start="0" w:end="0"/>
              <w:rPr/>
            </w:pPr>
            <w:bookmarkStart w:id="49" w:name="innenausbau-wände-decken-estrich"/>
            <w:bookmarkEnd w:id="49"/>
            <w:r>
              <w:rPr/>
              <w:t>7 Innenausbau, Wände, Decken, Estrich</w:t>
            </w:r>
          </w:p>
          <w:p>
            <w:pPr>
              <w:pStyle w:val="TableContents"/>
              <w:widowControl/>
              <w:bidi w:val="0"/>
              <w:spacing w:before="0" w:after="283"/>
              <w:rPr/>
            </w:pPr>
            <w:r>
              <w:rPr>
                <w:rStyle w:val="Strong"/>
              </w:rPr>
              <w:t>7.1</w:t>
            </w:r>
            <w:r>
              <w:rPr/>
              <w:t xml:space="preserve"> Wand- und Deckenflächen werden verputzt bzw. in Trockenbau hergestellt und für eine malerfertige bzw. tapezierfertige Oberfläche vorbereitet. Ein Anstrich der Wände in den Wohnräumen ist im Standard nicht enthalten, soweit in der Bemusterung nichts anderes festgelegt wird.</w:t>
            </w:r>
          </w:p>
        </w:tc>
        <w:tc>
          <w:tcPr>
            <w:tcW w:w="7620" w:type="dxa"/>
            <w:tcBorders/>
            <w:vAlign w:val="center"/>
          </w:tcPr>
          <w:p>
            <w:pPr>
              <w:pStyle w:val="Heading1"/>
              <w:keepNext/>
              <w:widowControl/>
              <w:bidi w:val="0"/>
              <w:spacing w:before="240" w:after="283"/>
              <w:ind w:hanging="0" w:start="0" w:end="0"/>
              <w:rPr/>
            </w:pPr>
            <w:bookmarkStart w:id="50" w:name="interior-walls-ceilings-floor-screed"/>
            <w:bookmarkEnd w:id="50"/>
            <w:r>
              <w:rPr/>
              <w:t xml:space="preserve">7 Interior, walls, ceilings, floor screed </w:t>
            </w:r>
          </w:p>
          <w:p>
            <w:pPr>
              <w:pStyle w:val="TableContents"/>
              <w:widowControl/>
              <w:bidi w:val="0"/>
              <w:spacing w:before="0" w:after="283"/>
              <w:rPr/>
            </w:pPr>
            <w:r>
              <w:rPr>
                <w:rStyle w:val="Strong"/>
              </w:rPr>
              <w:t>7.1</w:t>
            </w:r>
            <w:r>
              <w:rPr/>
              <w:t xml:space="preserve"> Wall and ceiling surfaces will be plastered or constructed in drywall and prepared for painting or wallpapering. Painting the walls in the living rooms is not included in the standard specification unless otherwise agreed during selection.</w:t>
            </w:r>
          </w:p>
        </w:tc>
      </w:tr>
      <w:tr>
        <w:trPr>
          <w:cantSplit/>
        </w:trPr>
        <w:tc>
          <w:tcPr>
            <w:tcW w:w="7914" w:type="dxa"/>
            <w:tcBorders/>
            <w:vAlign w:val="center"/>
          </w:tcPr>
          <w:p>
            <w:pPr>
              <w:pStyle w:val="TableContents"/>
              <w:widowControl/>
              <w:bidi w:val="0"/>
              <w:spacing w:before="0" w:after="283"/>
              <w:rPr/>
            </w:pPr>
            <w:r>
              <w:rPr>
                <w:rStyle w:val="Strong"/>
              </w:rPr>
              <w:t>7.2</w:t>
            </w:r>
            <w:r>
              <w:rPr/>
              <w:t xml:space="preserve"> In den Wohnräumen wird ein schwimmender Estrich auf Dämmung eingebracht. Der Estrich wird für die in Abschnitt 8 vorgesehenen Bodenbeläge vorbereitet.</w:t>
            </w:r>
          </w:p>
        </w:tc>
        <w:tc>
          <w:tcPr>
            <w:tcW w:w="7620" w:type="dxa"/>
            <w:tcBorders/>
            <w:vAlign w:val="center"/>
          </w:tcPr>
          <w:p>
            <w:pPr>
              <w:pStyle w:val="TableContents"/>
              <w:widowControl/>
              <w:bidi w:val="0"/>
              <w:spacing w:before="0" w:after="283"/>
              <w:rPr/>
            </w:pPr>
            <w:r>
              <w:rPr>
                <w:rStyle w:val="Strong"/>
              </w:rPr>
              <w:t>7.2</w:t>
            </w:r>
            <w:r>
              <w:rPr/>
              <w:t xml:space="preserve"> A floating screed is placed on insulation in the living quarters. The screed is prepared for the floor coverings provided for in Section 8. </w:t>
            </w:r>
          </w:p>
        </w:tc>
      </w:tr>
      <w:tr>
        <w:trPr>
          <w:cantSplit/>
        </w:trPr>
        <w:tc>
          <w:tcPr>
            <w:tcW w:w="7914" w:type="dxa"/>
            <w:tcBorders/>
            <w:vAlign w:val="center"/>
          </w:tcPr>
          <w:p>
            <w:pPr>
              <w:pStyle w:val="Heading1"/>
              <w:keepNext/>
              <w:widowControl/>
              <w:bidi w:val="0"/>
              <w:spacing w:before="240" w:after="283"/>
              <w:ind w:hanging="0" w:start="0" w:end="0"/>
              <w:rPr/>
            </w:pPr>
            <w:bookmarkStart w:id="51" w:name="bodenbeläge"/>
            <w:bookmarkEnd w:id="51"/>
            <w:r>
              <w:rPr/>
              <w:t>8 Bodenbeläge</w:t>
            </w:r>
          </w:p>
          <w:p>
            <w:pPr>
              <w:pStyle w:val="TableContents"/>
              <w:widowControl/>
              <w:bidi w:val="0"/>
              <w:spacing w:before="0" w:after="283"/>
              <w:rPr/>
            </w:pPr>
            <w:r>
              <w:rPr>
                <w:rStyle w:val="Strong"/>
              </w:rPr>
              <w:t>8.1</w:t>
            </w:r>
            <w:r>
              <w:rPr/>
              <w:t xml:space="preserve"> Die Wohn- und Schlafräume der Wohnung 4.27 erhalten einen Bodenbelag aus der Bemusterungslinie „Birkenpfuhl Komfort B4” (Design-Vinyl oder Mehrschichtboden in Eiche-, Sand- oder Greigetönen aus den Serien B4-01 bis B4-06). Bad und Gäste-WC erhalten Fliesenbeläge aus der Serie B4-Bad in den Formaten 30 x 60 cm oder 60 x 60 cm; Verlegebild, Sockelausbildung und Fugenfarbe richten sich nach der Bemusterung und den technischen Erfordernissen.</w:t>
            </w:r>
          </w:p>
        </w:tc>
        <w:tc>
          <w:tcPr>
            <w:tcW w:w="7620" w:type="dxa"/>
            <w:tcBorders/>
            <w:vAlign w:val="center"/>
          </w:tcPr>
          <w:p>
            <w:pPr>
              <w:pStyle w:val="Heading1"/>
              <w:keepNext/>
              <w:widowControl/>
              <w:bidi w:val="0"/>
              <w:spacing w:before="240" w:after="283"/>
              <w:ind w:hanging="0" w:start="0" w:end="0"/>
              <w:rPr/>
            </w:pPr>
            <w:bookmarkStart w:id="52" w:name="floor-coverings"/>
            <w:bookmarkEnd w:id="52"/>
            <w:r>
              <w:rPr/>
              <w:t xml:space="preserve">8 Floor coverings </w:t>
            </w:r>
          </w:p>
          <w:p>
            <w:pPr>
              <w:pStyle w:val="TableContents"/>
              <w:widowControl/>
              <w:bidi w:val="0"/>
              <w:spacing w:before="0" w:after="283"/>
              <w:rPr/>
            </w:pPr>
            <w:r>
              <w:rPr>
                <w:rStyle w:val="Strong"/>
              </w:rPr>
              <w:t>8.1</w:t>
            </w:r>
            <w:r>
              <w:rPr/>
              <w:t xml:space="preserve"> The living rooms and bedrooms of apartment 4.27 will receive flooring from the “Birkenpfuhl Komfort B4” selection range: design vinyl or multilayer flooring in oak, sand or greige shades from ranges B4-01 to B4-06. The bathroom and guest WC will receive tiles from the B4-Bad range in formats of 30 × 60 cm or 60 × 60 cm. Laying pattern, skirting details and grout colour will follow the selections and technical requirements.</w:t>
            </w:r>
          </w:p>
        </w:tc>
      </w:tr>
      <w:tr>
        <w:trPr>
          <w:cantSplit/>
        </w:trPr>
        <w:tc>
          <w:tcPr>
            <w:tcW w:w="7914" w:type="dxa"/>
            <w:tcBorders/>
            <w:vAlign w:val="center"/>
          </w:tcPr>
          <w:p>
            <w:pPr>
              <w:pStyle w:val="TableContents"/>
              <w:widowControl/>
              <w:bidi w:val="0"/>
              <w:spacing w:before="0" w:after="283"/>
              <w:rPr/>
            </w:pPr>
            <w:r>
              <w:rPr>
                <w:rStyle w:val="Strong"/>
              </w:rPr>
              <w:t>8.2</w:t>
            </w:r>
            <w:r>
              <w:rPr/>
              <w:t xml:space="preserve"> Der Käufer kann im Rahmen der Bemusterung aus den zum Bemusterungstermin verfügbaren Serien B4-01 bis B4-06 und B4-Bad auswählen, soweit der Baufortschritt dies noch zulässt. Eine Auswahl außerhalb dieser Serien ist als Sonderwunsch gesondert zu vereinbaren und zu vergüten.</w:t>
            </w:r>
          </w:p>
        </w:tc>
        <w:tc>
          <w:tcPr>
            <w:tcW w:w="7620" w:type="dxa"/>
            <w:tcBorders/>
            <w:vAlign w:val="center"/>
          </w:tcPr>
          <w:p>
            <w:pPr>
              <w:pStyle w:val="TableContents"/>
              <w:widowControl/>
              <w:bidi w:val="0"/>
              <w:spacing w:before="0" w:after="283"/>
              <w:rPr/>
            </w:pPr>
            <w:r>
              <w:rPr>
                <w:rStyle w:val="Strong"/>
              </w:rPr>
              <w:t>8.2</w:t>
            </w:r>
            <w:r>
              <w:rPr/>
              <w:t xml:space="preserve"> During selection, the Buyer may choose from ranges B4-01 to B4-06 and B4-Bad available at the appointment, insofar as construction progress still permits. Choices outside these ranges must be agreed and paid for separately as special requests.</w:t>
            </w:r>
          </w:p>
        </w:tc>
      </w:tr>
      <w:tr>
        <w:trPr>
          <w:cantSplit/>
        </w:trPr>
        <w:tc>
          <w:tcPr>
            <w:tcW w:w="7914" w:type="dxa"/>
            <w:tcBorders/>
            <w:vAlign w:val="center"/>
          </w:tcPr>
          <w:p>
            <w:pPr>
              <w:pStyle w:val="Heading1"/>
              <w:keepNext/>
              <w:widowControl/>
              <w:bidi w:val="0"/>
              <w:spacing w:before="240" w:after="283"/>
              <w:ind w:hanging="0" w:start="0" w:end="0"/>
              <w:rPr/>
            </w:pPr>
            <w:bookmarkStart w:id="53" w:name="innentüren"/>
            <w:bookmarkEnd w:id="53"/>
            <w:r>
              <w:rPr/>
              <w:t>9 Innentüren</w:t>
            </w:r>
          </w:p>
          <w:p>
            <w:pPr>
              <w:pStyle w:val="TableContents"/>
              <w:widowControl/>
              <w:bidi w:val="0"/>
              <w:spacing w:before="0" w:after="283"/>
              <w:rPr/>
            </w:pPr>
            <w:r>
              <w:rPr>
                <w:rStyle w:val="Strong"/>
              </w:rPr>
              <w:t>9.1</w:t>
            </w:r>
            <w:r>
              <w:rPr/>
              <w:t xml:space="preserve"> Die Innentüren der Wohnung 4.27 werden als glatte Zimmertüren mit CPL- oder Lackoberfläche in Weiß- bzw. Greigetönen eingebaut. Zargen, Bänder und Drückergarnituren richten sich nach der Türserie B4-Tür; abweichende Türhöhen, Glasausschnitte oder Sonderbeschläge sind Sonderwünsche.</w:t>
            </w:r>
          </w:p>
        </w:tc>
        <w:tc>
          <w:tcPr>
            <w:tcW w:w="7620" w:type="dxa"/>
            <w:tcBorders/>
            <w:vAlign w:val="center"/>
          </w:tcPr>
          <w:p>
            <w:pPr>
              <w:pStyle w:val="Heading1"/>
              <w:keepNext/>
              <w:widowControl/>
              <w:bidi w:val="0"/>
              <w:spacing w:before="240" w:after="283"/>
              <w:ind w:hanging="0" w:start="0" w:end="0"/>
              <w:rPr/>
            </w:pPr>
            <w:bookmarkStart w:id="54" w:name="interior-doors"/>
            <w:bookmarkEnd w:id="54"/>
            <w:r>
              <w:rPr/>
              <w:t xml:space="preserve">9 Interior doors </w:t>
            </w:r>
          </w:p>
          <w:p>
            <w:pPr>
              <w:pStyle w:val="TableContents"/>
              <w:widowControl/>
              <w:bidi w:val="0"/>
              <w:spacing w:before="0" w:after="283"/>
              <w:rPr/>
            </w:pPr>
            <w:r>
              <w:rPr>
                <w:rStyle w:val="Strong"/>
              </w:rPr>
              <w:t>9.1</w:t>
            </w:r>
            <w:r>
              <w:rPr/>
              <w:t xml:space="preserve"> The internal doors of apartment 4.27 will be flush doors with CPL or lacquered finishes in white or greige shades. Frames, hinges and lever-handle fittings will follow the B4-Tür range; different door heights, glazed panels or special hardware are special requests.</w:t>
            </w:r>
          </w:p>
        </w:tc>
      </w:tr>
      <w:tr>
        <w:trPr>
          <w:cantSplit/>
        </w:trPr>
        <w:tc>
          <w:tcPr>
            <w:tcW w:w="7914" w:type="dxa"/>
            <w:tcBorders/>
            <w:vAlign w:val="center"/>
          </w:tcPr>
          <w:p>
            <w:pPr>
              <w:pStyle w:val="Heading1"/>
              <w:keepNext/>
              <w:widowControl/>
              <w:bidi w:val="0"/>
              <w:spacing w:before="240" w:after="283"/>
              <w:ind w:hanging="0" w:start="0" w:end="0"/>
              <w:rPr/>
            </w:pPr>
            <w:bookmarkStart w:id="55" w:name="sanitärobjekte-und-sanitärausstattung"/>
            <w:bookmarkEnd w:id="55"/>
            <w:r>
              <w:rPr/>
              <w:t>10 Sanitärobjekte und Sanitärausstattung</w:t>
            </w:r>
          </w:p>
          <w:p>
            <w:pPr>
              <w:pStyle w:val="TableContents"/>
              <w:widowControl/>
              <w:bidi w:val="0"/>
              <w:spacing w:before="0" w:after="283"/>
              <w:rPr/>
            </w:pPr>
            <w:r>
              <w:rPr>
                <w:rStyle w:val="Strong"/>
              </w:rPr>
              <w:t>10.1</w:t>
            </w:r>
            <w:r>
              <w:rPr/>
              <w:t xml:space="preserve"> Bad und Gäste-WC werden mit weißen Sanitärobjekten aus dem Sanitärprogramm B4 ausgestattet (Waschtisch, WC, bodengleiche Dusche und/oder Badewanne je nach Ausführungsplan). Armaturen werden als Einhebelmischer in verchromter Ausführung aus der vom Verkäufer geführten Standardserie geliefert; Unterputz- oder Sonderarmaturen sind nur als Sonderwunsch geschuldet.</w:t>
            </w:r>
          </w:p>
        </w:tc>
        <w:tc>
          <w:tcPr>
            <w:tcW w:w="7620" w:type="dxa"/>
            <w:tcBorders/>
            <w:vAlign w:val="center"/>
          </w:tcPr>
          <w:p>
            <w:pPr>
              <w:pStyle w:val="Heading1"/>
              <w:keepNext/>
              <w:widowControl/>
              <w:pBdr/>
              <w:bidi w:val="0"/>
              <w:spacing w:before="240" w:after="283"/>
              <w:rPr/>
            </w:pPr>
            <w:r>
              <w:rPr/>
              <w:t>10 Sanitary Fixtures and Fittings</w:t>
            </w:r>
          </w:p>
          <w:p>
            <w:pPr>
              <w:pStyle w:val="TableContents"/>
              <w:widowControl/>
              <w:bidi w:val="0"/>
              <w:spacing w:before="0" w:after="283"/>
              <w:rPr/>
            </w:pPr>
            <w:r>
              <w:rPr>
                <w:rStyle w:val="Strong"/>
              </w:rPr>
              <w:t>10.1</w:t>
            </w:r>
            <w:r>
              <w:rPr/>
              <w:t xml:space="preserve"> The bathroom and guest WC will be fitted with white sanitary fixtures from the B4 range: washbasin, WC, level-access shower and/or bathtub, depending on the detailed drawings. Taps will be chrome-plated single-lever mixers from the Seller's standard range; concealed or special taps are owed only as a special request.</w:t>
            </w:r>
          </w:p>
        </w:tc>
      </w:tr>
      <w:tr>
        <w:trPr>
          <w:cantSplit/>
        </w:trPr>
        <w:tc>
          <w:tcPr>
            <w:tcW w:w="7914" w:type="dxa"/>
            <w:tcBorders/>
            <w:vAlign w:val="center"/>
          </w:tcPr>
          <w:p>
            <w:pPr>
              <w:pStyle w:val="TableContents"/>
              <w:widowControl/>
              <w:bidi w:val="0"/>
              <w:spacing w:before="0" w:after="283"/>
              <w:rPr/>
            </w:pPr>
            <w:r>
              <w:rPr>
                <w:rStyle w:val="Strong"/>
              </w:rPr>
              <w:t>10.2</w:t>
            </w:r>
            <w:r>
              <w:rPr/>
              <w:t xml:space="preserve"> Anzahl, Anordnung und Art der Sanitärobjekte ergeben sich aus den Ausführungsplänen. Änderungen der Anordnung infolge der Haustechnik- und Schachtplanung bleiben vorbehalten.</w:t>
            </w:r>
          </w:p>
        </w:tc>
        <w:tc>
          <w:tcPr>
            <w:tcW w:w="7620" w:type="dxa"/>
            <w:tcBorders/>
            <w:vAlign w:val="center"/>
          </w:tcPr>
          <w:p>
            <w:pPr>
              <w:pStyle w:val="TableContents"/>
              <w:widowControl/>
              <w:bidi w:val="0"/>
              <w:spacing w:before="0" w:after="283"/>
              <w:rPr/>
            </w:pPr>
            <w:r>
              <w:rPr>
                <w:rStyle w:val="Strong"/>
              </w:rPr>
              <w:t>10.2</w:t>
            </w:r>
            <w:r>
              <w:rPr/>
              <w:t xml:space="preserve"> The number, arrangement and type of sanitary fixtures follow the detailed drawings. Changes in their arrangement resulting from building-services and shaft design are reserved.</w:t>
            </w:r>
          </w:p>
        </w:tc>
      </w:tr>
      <w:tr>
        <w:trPr>
          <w:cantSplit/>
        </w:trPr>
        <w:tc>
          <w:tcPr>
            <w:tcW w:w="7914" w:type="dxa"/>
            <w:tcBorders/>
            <w:vAlign w:val="center"/>
          </w:tcPr>
          <w:p>
            <w:pPr>
              <w:pStyle w:val="Heading1"/>
              <w:keepNext/>
              <w:widowControl/>
              <w:bidi w:val="0"/>
              <w:spacing w:before="240" w:after="283"/>
              <w:ind w:hanging="0" w:start="0" w:end="0"/>
              <w:rPr/>
            </w:pPr>
            <w:bookmarkStart w:id="56" w:name="heizung-warmwasser"/>
            <w:bookmarkEnd w:id="56"/>
            <w:r>
              <w:rPr/>
              <w:t>11 Heizung, Warmwasser</w:t>
            </w:r>
          </w:p>
          <w:p>
            <w:pPr>
              <w:pStyle w:val="TableContents"/>
              <w:widowControl/>
              <w:bidi w:val="0"/>
              <w:spacing w:before="0" w:after="283"/>
              <w:rPr/>
            </w:pPr>
            <w:r>
              <w:rPr>
                <w:rStyle w:val="Strong"/>
              </w:rPr>
              <w:t>11.1</w:t>
            </w:r>
            <w:r>
              <w:rPr/>
              <w:t xml:space="preserve"> Die Beheizung und Warmwasserbereitung von Haus 4 erfolgt über eine zentrale Anlage nach dem Quartiersversorgungskonzept (Fernwärme, Wärmepumpe, Brennwerttechnik oder eine Kombination hiervon). Die Wohnräume der Wohnung 4.27 erhalten Heizflächen als Fußbodenheizung und/oder Heizkörper nach Ausführungsplanung; Auslegung, Regelzonen und Verteilerlage richten sich nach TGA-Planung und Schachtführung.</w:t>
            </w:r>
          </w:p>
        </w:tc>
        <w:tc>
          <w:tcPr>
            <w:tcW w:w="7620" w:type="dxa"/>
            <w:tcBorders/>
            <w:vAlign w:val="center"/>
          </w:tcPr>
          <w:p>
            <w:pPr>
              <w:pStyle w:val="Heading1"/>
              <w:keepNext/>
              <w:widowControl/>
              <w:bidi w:val="0"/>
              <w:spacing w:before="240" w:after="283"/>
              <w:ind w:hanging="0" w:start="0" w:end="0"/>
              <w:rPr/>
            </w:pPr>
            <w:bookmarkStart w:id="57" w:name="heating-hot-water"/>
            <w:bookmarkEnd w:id="57"/>
            <w:r>
              <w:rPr/>
              <w:t xml:space="preserve">11 Heating, hot water </w:t>
            </w:r>
          </w:p>
          <w:p>
            <w:pPr>
              <w:pStyle w:val="TableContents"/>
              <w:widowControl/>
              <w:bidi w:val="0"/>
              <w:spacing w:before="0" w:after="283"/>
              <w:rPr/>
            </w:pPr>
            <w:r>
              <w:rPr>
                <w:rStyle w:val="Strong"/>
              </w:rPr>
              <w:t>11.1</w:t>
            </w:r>
            <w:r>
              <w:rPr/>
              <w:t xml:space="preserve"> Heating and domestic hot water for building 4 will be provided by a central system under the development's supply concept: district heating, a heat pump, condensing-boiler technology or a combination. The living rooms of apartment 4.27 will receive underfloor heating and/or radiators according to the detailed design; sizing, control zones and manifold positions will follow the building-services design and shaft routes.</w:t>
            </w:r>
          </w:p>
        </w:tc>
      </w:tr>
      <w:tr>
        <w:trPr>
          <w:cantSplit/>
        </w:trPr>
        <w:tc>
          <w:tcPr>
            <w:tcW w:w="7914" w:type="dxa"/>
            <w:tcBorders/>
            <w:vAlign w:val="center"/>
          </w:tcPr>
          <w:p>
            <w:pPr>
              <w:pStyle w:val="TableContents"/>
              <w:widowControl/>
              <w:bidi w:val="0"/>
              <w:spacing w:before="0" w:after="283"/>
              <w:rPr/>
            </w:pPr>
            <w:r>
              <w:rPr>
                <w:rStyle w:val="Strong"/>
              </w:rPr>
              <w:t>11.2</w:t>
            </w:r>
            <w:r>
              <w:rPr/>
              <w:t xml:space="preserve"> Die Wärme- und Warmwasserlieferung kann über einen Wärmeliefer-/Contractingvertrag erfolgen. Die hieraus entstehenden Kosten tragen die Erwerber nach Maßgabe der Teilungserklärung.</w:t>
            </w:r>
          </w:p>
        </w:tc>
        <w:tc>
          <w:tcPr>
            <w:tcW w:w="7620" w:type="dxa"/>
            <w:tcBorders/>
            <w:vAlign w:val="center"/>
          </w:tcPr>
          <w:p>
            <w:pPr>
              <w:pStyle w:val="TableContents"/>
              <w:widowControl/>
              <w:bidi w:val="0"/>
              <w:spacing w:before="0" w:after="283"/>
              <w:rPr/>
            </w:pPr>
            <w:r>
              <w:rPr>
                <w:rStyle w:val="Strong"/>
              </w:rPr>
              <w:t>11.2</w:t>
            </w:r>
            <w:r>
              <w:rPr/>
              <w:t xml:space="preserve"> The supply of heat and hot water can take place via a heat supply/contracting contract. The purchasers shall bear the costs resulting therefrom in accordance with the declaration of division. </w:t>
            </w:r>
          </w:p>
        </w:tc>
      </w:tr>
      <w:tr>
        <w:trPr>
          <w:cantSplit/>
        </w:trPr>
        <w:tc>
          <w:tcPr>
            <w:tcW w:w="7914" w:type="dxa"/>
            <w:tcBorders/>
            <w:vAlign w:val="center"/>
          </w:tcPr>
          <w:p>
            <w:pPr>
              <w:pStyle w:val="Heading1"/>
              <w:keepNext/>
              <w:widowControl/>
              <w:bidi w:val="0"/>
              <w:spacing w:before="240" w:after="283"/>
              <w:ind w:hanging="0" w:start="0" w:end="0"/>
              <w:rPr/>
            </w:pPr>
            <w:bookmarkStart w:id="58" w:name="lüftung"/>
            <w:bookmarkEnd w:id="58"/>
            <w:r>
              <w:rPr/>
              <w:t>12 Lüftung</w:t>
            </w:r>
          </w:p>
          <w:p>
            <w:pPr>
              <w:pStyle w:val="TableContents"/>
              <w:widowControl/>
              <w:bidi w:val="0"/>
              <w:spacing w:before="0" w:after="283"/>
              <w:rPr/>
            </w:pPr>
            <w:r>
              <w:rPr>
                <w:rStyle w:val="Strong"/>
              </w:rPr>
              <w:t>12.1</w:t>
            </w:r>
            <w:r>
              <w:rPr/>
              <w:t xml:space="preserve"> Innenliegende Bäder, Gäste-WC und fensterlose Abstellbereiche der Wohnung 4.27 werden nach dem Lüftungskonzept Haus 4 be- und entlüftet. Ob und in welchem Umfang eine kontrollierte Wohnraumlüftung mit Wärmerückgewinnung ausgeführt wird, richtet sich nach den energetischen Nachweisen, dem Lüftungskonzept und der Festlegung des Verkäufers. Eine bestimmte Luftwechselrate, ein bestimmter Schallschutzwert der Lüftung oder eine bestimmte sommerliche Raumtemperatur in den nach Südwesten orientierten Wohnräumen wird nicht geschuldet, soweit diese Werte nicht in einer Übergabeunterlage ausdrücklich genannt sind.</w:t>
            </w:r>
          </w:p>
        </w:tc>
        <w:tc>
          <w:tcPr>
            <w:tcW w:w="7620" w:type="dxa"/>
            <w:tcBorders/>
            <w:vAlign w:val="center"/>
          </w:tcPr>
          <w:p>
            <w:pPr>
              <w:pStyle w:val="Heading1"/>
              <w:keepNext/>
              <w:widowControl/>
              <w:bidi w:val="0"/>
              <w:spacing w:before="240" w:after="283"/>
              <w:ind w:hanging="0" w:start="0" w:end="0"/>
              <w:rPr/>
            </w:pPr>
            <w:bookmarkStart w:id="59" w:name="ventilation"/>
            <w:bookmarkEnd w:id="59"/>
            <w:r>
              <w:rPr/>
              <w:t xml:space="preserve">12 Ventilation </w:t>
            </w:r>
          </w:p>
          <w:p>
            <w:pPr>
              <w:pStyle w:val="TableContents"/>
              <w:widowControl/>
              <w:bidi w:val="0"/>
              <w:spacing w:before="0" w:after="283"/>
              <w:rPr/>
            </w:pPr>
            <w:r>
              <w:rPr>
                <w:rStyle w:val="Strong"/>
              </w:rPr>
              <w:t>12.1</w:t>
            </w:r>
            <w:r>
              <w:rPr/>
              <w:t xml:space="preserve"> Internal bathrooms, the guest WC and windowless storage areas of apartment 4.27 will receive supply and extract ventilation in accordance with the ventilation design for building 4. Whether, and to what extent, controlled residential ventilation with heat recovery is installed will depend on the energy-performance calculations, ventilation design and the Seller's determination. No specific air-change rate, ventilation sound-insulation value or summer temperature in southwest-facing living rooms is owed unless those values are expressly stated in a handover document.</w:t>
            </w:r>
          </w:p>
        </w:tc>
      </w:tr>
      <w:tr>
        <w:trPr>
          <w:cantSplit/>
        </w:trPr>
        <w:tc>
          <w:tcPr>
            <w:tcW w:w="7914" w:type="dxa"/>
            <w:tcBorders/>
            <w:vAlign w:val="center"/>
          </w:tcPr>
          <w:p>
            <w:pPr>
              <w:pStyle w:val="Heading1"/>
              <w:keepNext/>
              <w:widowControl/>
              <w:bidi w:val="0"/>
              <w:spacing w:before="240" w:after="283"/>
              <w:ind w:hanging="0" w:start="0" w:end="0"/>
              <w:rPr/>
            </w:pPr>
            <w:bookmarkStart w:id="60" w:name="elektroinstallation-medien-lade--und-pv-"/>
            <w:bookmarkEnd w:id="60"/>
            <w:r>
              <w:rPr/>
              <w:t>13 Elektroinstallation, Medien, Lade- und PV-Infrastruktur</w:t>
            </w:r>
          </w:p>
          <w:p>
            <w:pPr>
              <w:pStyle w:val="TableContents"/>
              <w:widowControl/>
              <w:bidi w:val="0"/>
              <w:spacing w:before="0" w:after="283"/>
              <w:rPr/>
            </w:pPr>
            <w:r>
              <w:rPr>
                <w:rStyle w:val="Strong"/>
              </w:rPr>
              <w:t>13.1</w:t>
            </w:r>
            <w:r>
              <w:rPr/>
              <w:t xml:space="preserve"> Die Elektroinstallation der Wohnung 4.27 wird nach den einschlägigen technischen Regeln und dem Ausstattungsraster B4-Elektro ausgeführt. Anzahl und Position von Steckdosen, Schaltern, Deckenauslässen, Netzwerk-/Medienanschlüssen und Anschlüssen für Küche und Waschmaschine ergeben sich aus den Ausführungsplänen; Mehrpunkte sind als Sonderwunsch zu beauftragen.</w:t>
            </w:r>
          </w:p>
        </w:tc>
        <w:tc>
          <w:tcPr>
            <w:tcW w:w="7620" w:type="dxa"/>
            <w:tcBorders/>
            <w:vAlign w:val="center"/>
          </w:tcPr>
          <w:p>
            <w:pPr>
              <w:pStyle w:val="Heading1"/>
              <w:keepNext/>
              <w:widowControl/>
              <w:bidi w:val="0"/>
              <w:spacing w:before="240" w:after="283"/>
              <w:ind w:hanging="0" w:start="0" w:end="0"/>
              <w:rPr/>
            </w:pPr>
            <w:bookmarkStart w:id="61" w:name="electrical-installation-media-charging-a"/>
            <w:bookmarkEnd w:id="61"/>
            <w:r>
              <w:rPr/>
              <w:t xml:space="preserve">13 Electrical installation, media, charging and PV infrastructure </w:t>
            </w:r>
          </w:p>
          <w:p>
            <w:pPr>
              <w:pStyle w:val="TableContents"/>
              <w:widowControl/>
              <w:bidi w:val="0"/>
              <w:spacing w:before="0" w:after="283"/>
              <w:rPr/>
            </w:pPr>
            <w:r>
              <w:rPr>
                <w:rStyle w:val="Strong"/>
              </w:rPr>
              <w:t>13.1</w:t>
            </w:r>
            <w:r>
              <w:rPr/>
              <w:t xml:space="preserve"> The electrical installation in apartment 4.27 will follow the applicable technical rules and the B4-Elektro specification schedule. The number and positions of sockets, switches, ceiling outlets, network/communications connections and kitchen and washing-machine connections will follow the detailed drawings; additional outlets must be ordered as special requests.</w:t>
            </w:r>
          </w:p>
        </w:tc>
      </w:tr>
      <w:tr>
        <w:trPr>
          <w:cantSplit/>
        </w:trPr>
        <w:tc>
          <w:tcPr>
            <w:tcW w:w="7914" w:type="dxa"/>
            <w:tcBorders/>
            <w:vAlign w:val="center"/>
          </w:tcPr>
          <w:p>
            <w:pPr>
              <w:pStyle w:val="TableContents"/>
              <w:widowControl/>
              <w:bidi w:val="0"/>
              <w:spacing w:before="0" w:after="283"/>
              <w:rPr/>
            </w:pPr>
            <w:r>
              <w:rPr>
                <w:rStyle w:val="Strong"/>
              </w:rPr>
              <w:t>13.2</w:t>
            </w:r>
            <w:r>
              <w:rPr/>
              <w:t xml:space="preserve"> Die Wohnung erhält einen Multimedia-/Datenanschluss im Wohnbereich sowie die nach Ausführungsplanung vorgesehenen Leitungswege zum Wohnungsverteiler. Eine bestimmte Bandbreite, Glasfaseraktivierung, Routerposition oder ein bestimmter Anbieter wird nicht geschuldet.</w:t>
            </w:r>
          </w:p>
        </w:tc>
        <w:tc>
          <w:tcPr>
            <w:tcW w:w="7620" w:type="dxa"/>
            <w:tcBorders/>
            <w:vAlign w:val="center"/>
          </w:tcPr>
          <w:p>
            <w:pPr>
              <w:pStyle w:val="TableContents"/>
              <w:widowControl/>
              <w:bidi w:val="0"/>
              <w:spacing w:before="0" w:after="283"/>
              <w:rPr/>
            </w:pPr>
            <w:r>
              <w:rPr>
                <w:rStyle w:val="Strong"/>
              </w:rPr>
              <w:t>13.2</w:t>
            </w:r>
            <w:r>
              <w:rPr/>
              <w:t xml:space="preserve"> The apartment will have a multimedia/data connection in the living area and the cable routes to the apartment's distribution unit specified in the detailed design. No particular bandwidth, fibre activation, router location or service provider is owed.</w:t>
            </w:r>
          </w:p>
        </w:tc>
      </w:tr>
      <w:tr>
        <w:trPr>
          <w:cantSplit/>
        </w:trPr>
        <w:tc>
          <w:tcPr>
            <w:tcW w:w="7914" w:type="dxa"/>
            <w:tcBorders/>
            <w:vAlign w:val="center"/>
          </w:tcPr>
          <w:p>
            <w:pPr>
              <w:pStyle w:val="TableContents"/>
              <w:widowControl/>
              <w:bidi w:val="0"/>
              <w:spacing w:before="0" w:after="283"/>
              <w:rPr/>
            </w:pPr>
            <w:r>
              <w:rPr>
                <w:rStyle w:val="Strong"/>
              </w:rPr>
              <w:t>13.3</w:t>
            </w:r>
            <w:r>
              <w:rPr/>
              <w:t xml:space="preserve"> Ob die Tiefgarage mit Lade-Infrastruktur und ob das Gebäude mit einer Photovoltaikanlage ausgestattet wird, bestimmt der Verkäufer im Rahmen der Gesamtplanung. Ein Anspruch des einzelnen Erwerbers hierauf besteht nicht.</w:t>
            </w:r>
          </w:p>
        </w:tc>
        <w:tc>
          <w:tcPr>
            <w:tcW w:w="7620" w:type="dxa"/>
            <w:tcBorders/>
            <w:vAlign w:val="center"/>
          </w:tcPr>
          <w:p>
            <w:pPr>
              <w:pStyle w:val="TableContents"/>
              <w:widowControl/>
              <w:bidi w:val="0"/>
              <w:spacing w:before="0" w:after="283"/>
              <w:rPr/>
            </w:pPr>
            <w:r>
              <w:rPr>
                <w:rStyle w:val="Strong"/>
              </w:rPr>
              <w:t>13.3</w:t>
            </w:r>
            <w:r>
              <w:rPr/>
              <w:t xml:space="preserve"> Whether the underground car park is equipped with charging infrastructure and whether the building is equipped with a photovoltaic system is determined by the Seller as part of the overall planning. The individual acquirer is not entitled to this. </w:t>
            </w:r>
          </w:p>
        </w:tc>
      </w:tr>
      <w:tr>
        <w:trPr>
          <w:cantSplit/>
        </w:trPr>
        <w:tc>
          <w:tcPr>
            <w:tcW w:w="7914" w:type="dxa"/>
            <w:tcBorders/>
            <w:vAlign w:val="center"/>
          </w:tcPr>
          <w:p>
            <w:pPr>
              <w:pStyle w:val="Heading1"/>
              <w:keepNext/>
              <w:widowControl/>
              <w:bidi w:val="0"/>
              <w:spacing w:before="240" w:after="283"/>
              <w:ind w:hanging="0" w:start="0" w:end="0"/>
              <w:rPr/>
            </w:pPr>
            <w:bookmarkStart w:id="62" w:name="aufzug"/>
            <w:bookmarkEnd w:id="62"/>
            <w:r>
              <w:rPr/>
              <w:t>14 Aufzug</w:t>
            </w:r>
          </w:p>
          <w:p>
            <w:pPr>
              <w:pStyle w:val="TableContents"/>
              <w:widowControl/>
              <w:bidi w:val="0"/>
              <w:spacing w:before="0" w:after="283"/>
              <w:rPr/>
            </w:pPr>
            <w:r>
              <w:rPr>
                <w:rStyle w:val="Strong"/>
              </w:rPr>
              <w:t>14.1</w:t>
            </w:r>
            <w:r>
              <w:rPr/>
              <w:t xml:space="preserve"> Haus 4 erhält einen Personenaufzug, der die Wohngeschosse, das Staffelgeschoss und die Tiefgarage erschließt. Fabrikat, Förderhöhe, Traglast, Türbreite, Kabinenoberflächen und Steuerung wählt der Verkäufer unter Berücksichtigung des Gebäudekonzepts und der Wartungsverträge der Erstbetriebsphase.</w:t>
            </w:r>
          </w:p>
        </w:tc>
        <w:tc>
          <w:tcPr>
            <w:tcW w:w="7620" w:type="dxa"/>
            <w:tcBorders/>
            <w:vAlign w:val="center"/>
          </w:tcPr>
          <w:p>
            <w:pPr>
              <w:pStyle w:val="Heading1"/>
              <w:keepNext/>
              <w:widowControl/>
              <w:bidi w:val="0"/>
              <w:spacing w:before="240" w:after="283"/>
              <w:ind w:hanging="0" w:start="0" w:end="0"/>
              <w:rPr/>
            </w:pPr>
            <w:bookmarkStart w:id="63" w:name="elevator"/>
            <w:bookmarkEnd w:id="63"/>
            <w:r>
              <w:rPr/>
              <w:t xml:space="preserve">14 Elevator </w:t>
            </w:r>
          </w:p>
          <w:p>
            <w:pPr>
              <w:pStyle w:val="TableContents"/>
              <w:widowControl/>
              <w:bidi w:val="0"/>
              <w:spacing w:before="0" w:after="283"/>
              <w:rPr/>
            </w:pPr>
            <w:r>
              <w:rPr>
                <w:rStyle w:val="Strong"/>
              </w:rPr>
              <w:t>14.1</w:t>
            </w:r>
            <w:r>
              <w:rPr/>
              <w:t xml:space="preserve"> Building 4 will have a passenger lift serving the residential floors, the set-back top storey and the underground car park. The Seller will select the make, travel height, load capacity, door width, car finishes and controls, taking account of the building design and maintenance contracts for the initial operating phase.</w:t>
            </w:r>
          </w:p>
        </w:tc>
      </w:tr>
      <w:tr>
        <w:trPr>
          <w:cantSplit/>
        </w:trPr>
        <w:tc>
          <w:tcPr>
            <w:tcW w:w="7914" w:type="dxa"/>
            <w:tcBorders/>
            <w:vAlign w:val="center"/>
          </w:tcPr>
          <w:p>
            <w:pPr>
              <w:pStyle w:val="Heading1"/>
              <w:keepNext/>
              <w:widowControl/>
              <w:bidi w:val="0"/>
              <w:spacing w:before="240" w:after="283"/>
              <w:ind w:hanging="0" w:start="0" w:end="0"/>
              <w:rPr/>
            </w:pPr>
            <w:bookmarkStart w:id="64" w:name="tiefgarage"/>
            <w:bookmarkEnd w:id="64"/>
            <w:r>
              <w:rPr/>
              <w:t>15 Tiefgarage</w:t>
            </w:r>
          </w:p>
          <w:p>
            <w:pPr>
              <w:pStyle w:val="TableContents"/>
              <w:widowControl/>
              <w:bidi w:val="0"/>
              <w:spacing w:before="0" w:after="283"/>
              <w:rPr/>
            </w:pPr>
            <w:r>
              <w:rPr>
                <w:rStyle w:val="Strong"/>
              </w:rPr>
              <w:t>15.1</w:t>
            </w:r>
            <w:r>
              <w:rPr/>
              <w:t xml:space="preserve"> Die zweigeschossige Tiefgarage wird in Stahlbeton ausgeführt und maschinell be- und entlüftet. Bodenbeschichtung, Entwässerungsrinnen, Markierung, Beschilderung, CO-Warnanlage, Brandschutztore und technische Ausstattung richten sich nach dem Garagen- und Brandschutzkonzept.</w:t>
            </w:r>
          </w:p>
        </w:tc>
        <w:tc>
          <w:tcPr>
            <w:tcW w:w="7620" w:type="dxa"/>
            <w:tcBorders/>
            <w:vAlign w:val="center"/>
          </w:tcPr>
          <w:p>
            <w:pPr>
              <w:pStyle w:val="Heading1"/>
              <w:keepNext/>
              <w:widowControl/>
              <w:pBdr/>
              <w:bidi w:val="0"/>
              <w:spacing w:before="240" w:after="283"/>
              <w:rPr/>
            </w:pPr>
            <w:r>
              <w:rPr/>
              <w:t>15 Underground Car Park</w:t>
            </w:r>
          </w:p>
          <w:p>
            <w:pPr>
              <w:pStyle w:val="TableContents"/>
              <w:widowControl/>
              <w:bidi w:val="0"/>
              <w:spacing w:before="0" w:after="283"/>
              <w:rPr/>
            </w:pPr>
            <w:r>
              <w:rPr>
                <w:rStyle w:val="Strong"/>
              </w:rPr>
              <w:t>15.1</w:t>
            </w:r>
            <w:r>
              <w:rPr/>
              <w:t xml:space="preserve"> The two-level underground car park will be constructed in reinforced concrete and mechanically supplied with fresh air and exhaust ventilation. Floor coating, drainage channels, markings, signage, CO alarm system, fire-resisting gates and technical equipment will follow the car-park and fire-protection designs.</w:t>
            </w:r>
          </w:p>
        </w:tc>
      </w:tr>
      <w:tr>
        <w:trPr>
          <w:cantSplit/>
        </w:trPr>
        <w:tc>
          <w:tcPr>
            <w:tcW w:w="7914" w:type="dxa"/>
            <w:tcBorders/>
            <w:vAlign w:val="center"/>
          </w:tcPr>
          <w:p>
            <w:pPr>
              <w:pStyle w:val="TableContents"/>
              <w:widowControl/>
              <w:bidi w:val="0"/>
              <w:spacing w:before="0" w:after="283"/>
              <w:rPr/>
            </w:pPr>
            <w:r>
              <w:rPr>
                <w:rStyle w:val="Strong"/>
              </w:rPr>
              <w:t>15.2</w:t>
            </w:r>
            <w:r>
              <w:rPr/>
              <w:t xml:space="preserve"> Der dem Käufer zugeordnete Stellplatz TG-127 wird als Stellplatz in der Tiefgaragenspange Nord hergestellt. Stützen, Wandscheiben, Leitungsführungen, Lüftungskanäle, Gefälle und Entwässerungsrinnen können seine Benutzung beeinflussen. Eine bestimmte Mindestbreite oder Mindesthöhe über das bauordnungsrechtlich Erforderliche hinaus wird nicht geschuldet.</w:t>
            </w:r>
          </w:p>
        </w:tc>
        <w:tc>
          <w:tcPr>
            <w:tcW w:w="7620" w:type="dxa"/>
            <w:tcBorders/>
            <w:vAlign w:val="center"/>
          </w:tcPr>
          <w:p>
            <w:pPr>
              <w:pStyle w:val="TableContents"/>
              <w:widowControl/>
              <w:bidi w:val="0"/>
              <w:spacing w:before="0" w:after="283"/>
              <w:rPr/>
            </w:pPr>
            <w:r>
              <w:rPr>
                <w:rStyle w:val="Strong"/>
              </w:rPr>
              <w:t>15.2</w:t>
            </w:r>
            <w:r>
              <w:rPr/>
              <w:t xml:space="preserve"> Parking space TG-127 allocated to the Buyer will be constructed in the northern underground-parking section. Columns, structural wall panels, service routes, ventilation ducts, gradients and drainage channels may affect its use. No specific minimum width or clearance height exceeding building-law requirements is owed.</w:t>
            </w:r>
          </w:p>
        </w:tc>
      </w:tr>
      <w:tr>
        <w:trPr>
          <w:cantSplit/>
        </w:trPr>
        <w:tc>
          <w:tcPr>
            <w:tcW w:w="7914" w:type="dxa"/>
            <w:tcBorders/>
            <w:vAlign w:val="center"/>
          </w:tcPr>
          <w:p>
            <w:pPr>
              <w:pStyle w:val="Heading1"/>
              <w:keepNext/>
              <w:widowControl/>
              <w:bidi w:val="0"/>
              <w:spacing w:before="240" w:after="283"/>
              <w:ind w:hanging="0" w:start="0" w:end="0"/>
              <w:rPr/>
            </w:pPr>
            <w:bookmarkStart w:id="65" w:name="schall--wärme--feuchte--und-brandschutz"/>
            <w:bookmarkEnd w:id="65"/>
            <w:r>
              <w:rPr/>
              <w:t>16 Schall-, Wärme-, Feuchte- und Brandschutz</w:t>
            </w:r>
          </w:p>
          <w:p>
            <w:pPr>
              <w:pStyle w:val="TableContents"/>
              <w:widowControl/>
              <w:bidi w:val="0"/>
              <w:spacing w:before="0" w:after="283"/>
              <w:rPr/>
            </w:pPr>
            <w:r>
              <w:rPr>
                <w:rStyle w:val="Strong"/>
              </w:rPr>
              <w:t>16.1</w:t>
            </w:r>
            <w:r>
              <w:rPr/>
              <w:t xml:space="preserve"> Schall-, Wärme-, Feuchte- und Brandschutz für Haus 4, Wohnung 4.27, Kellerzone und Tiefgarage werden in dem öffentlich-rechtlich erforderlichen Umfang nachgewiesen und ausgeführt. Ein über die Mindestanforderungen hinausgehender, erhöhter Schallschutz zwischen Wohnung, Treppenhaus, Aufzug, Tiefgarage und technischen Anlagen wird nur geschuldet, soweit er nachstehend mit Zahlenwerten ausdrücklich vereinbart ist.</w:t>
            </w:r>
          </w:p>
        </w:tc>
        <w:tc>
          <w:tcPr>
            <w:tcW w:w="7620" w:type="dxa"/>
            <w:tcBorders/>
            <w:vAlign w:val="center"/>
          </w:tcPr>
          <w:p>
            <w:pPr>
              <w:pStyle w:val="Heading1"/>
              <w:keepNext/>
              <w:widowControl/>
              <w:pBdr/>
              <w:bidi w:val="0"/>
              <w:spacing w:before="240" w:after="283"/>
              <w:rPr/>
            </w:pPr>
            <w:r>
              <w:rPr/>
              <w:t>16 Sound Insulation, Thermal Insulation, Moisture Protection and Fire Protection</w:t>
            </w:r>
          </w:p>
          <w:p>
            <w:pPr>
              <w:pStyle w:val="TableContents"/>
              <w:widowControl/>
              <w:bidi w:val="0"/>
              <w:spacing w:before="0" w:after="283"/>
              <w:rPr/>
            </w:pPr>
            <w:r>
              <w:rPr>
                <w:rStyle w:val="Strong"/>
              </w:rPr>
              <w:t>16.1</w:t>
            </w:r>
            <w:r>
              <w:rPr/>
              <w:t xml:space="preserve"> Sound insulation, thermal insulation, moisture protection and fire protection for building 4, apartment 4.27, the cellar area and underground car park will be documented and provided to the extent required by public law. Enhanced sound insulation beyond the minimum requirements between the apartment, stairwell, lift, underground car park and technical systems is owed only insofar as expressly agreed below with numerical values.</w:t>
            </w:r>
          </w:p>
        </w:tc>
      </w:tr>
      <w:tr>
        <w:trPr>
          <w:cantSplit/>
        </w:trPr>
        <w:tc>
          <w:tcPr>
            <w:tcW w:w="7914" w:type="dxa"/>
            <w:tcBorders/>
            <w:vAlign w:val="center"/>
          </w:tcPr>
          <w:p>
            <w:pPr>
              <w:pStyle w:val="TableContents"/>
              <w:widowControl/>
              <w:bidi w:val="0"/>
              <w:spacing w:before="0" w:after="283"/>
              <w:rPr/>
            </w:pPr>
            <w:r>
              <w:rPr>
                <w:rStyle w:val="Strong"/>
              </w:rPr>
              <w:t>16.2</w:t>
            </w:r>
            <w:r>
              <w:rPr/>
              <w:t xml:space="preserve"> Die schallschutztechnische Auslegung richtet sich nach dem projektbezogenen Nachweiskonzept und den öffentlich-rechtlich erforderlichen Mindestanforderungen. Ein erhöhter Schallschutz bedarf einer ausdrücklichen, zahlenmäßig bezeichneten Vereinbarung.</w:t>
            </w:r>
          </w:p>
        </w:tc>
        <w:tc>
          <w:tcPr>
            <w:tcW w:w="7620" w:type="dxa"/>
            <w:tcBorders/>
            <w:vAlign w:val="center"/>
          </w:tcPr>
          <w:p>
            <w:pPr>
              <w:pStyle w:val="TableContents"/>
              <w:widowControl/>
              <w:bidi w:val="0"/>
              <w:spacing w:before="0" w:after="283"/>
              <w:rPr/>
            </w:pPr>
            <w:r>
              <w:rPr>
                <w:rStyle w:val="Strong"/>
              </w:rPr>
              <w:t>16.2</w:t>
            </w:r>
            <w:r>
              <w:rPr/>
              <w:t xml:space="preserve"> The sound-insulation design will follow the project's compliance documentation and the minimum requirements of public law. Enhanced sound insulation requires an express agreement specifying numerical values.</w:t>
            </w:r>
          </w:p>
        </w:tc>
      </w:tr>
      <w:tr>
        <w:trPr>
          <w:cantSplit/>
        </w:trPr>
        <w:tc>
          <w:tcPr>
            <w:tcW w:w="7914" w:type="dxa"/>
            <w:tcBorders/>
            <w:vAlign w:val="center"/>
          </w:tcPr>
          <w:p>
            <w:pPr>
              <w:pStyle w:val="Heading1"/>
              <w:keepNext/>
              <w:widowControl/>
              <w:bidi w:val="0"/>
              <w:spacing w:before="240" w:after="283"/>
              <w:ind w:hanging="0" w:start="0" w:end="0"/>
              <w:rPr/>
            </w:pPr>
            <w:bookmarkStart w:id="66" w:name="energetischer-standard"/>
            <w:bookmarkEnd w:id="66"/>
            <w:r>
              <w:rPr/>
              <w:t>17 Energetischer Standard</w:t>
            </w:r>
          </w:p>
          <w:p>
            <w:pPr>
              <w:pStyle w:val="TableContents"/>
              <w:widowControl/>
              <w:bidi w:val="0"/>
              <w:spacing w:before="0" w:after="283"/>
              <w:rPr/>
            </w:pPr>
            <w:r>
              <w:rPr>
                <w:rStyle w:val="Strong"/>
              </w:rPr>
              <w:t>17.1</w:t>
            </w:r>
            <w:r>
              <w:rPr/>
              <w:t xml:space="preserve"> Haus 4 wird nach den zum Tag der Erteilung der Baugenehmigung geltenden energetischen Anforderungen errichtet. Energieausweis, Nachweise und etwaige Förderunterlagen werden nach Maßgabe der öffentlich-rechtlichen und finanzierungsbezogenen Erfordernisse erstellt. Eine bestimmte KfW-Effizienzhausklasse, ein bestimmter Primärenergiebedarf, eine bestimmte GEG-Stufe oder eine bestimmte Förderfähigkeit der Wohnung 4.27 wird nicht geschuldet, soweit nicht ausdrücklich mit Zahlenwert vereinbart.</w:t>
            </w:r>
          </w:p>
        </w:tc>
        <w:tc>
          <w:tcPr>
            <w:tcW w:w="7620" w:type="dxa"/>
            <w:tcBorders/>
            <w:vAlign w:val="center"/>
          </w:tcPr>
          <w:p>
            <w:pPr>
              <w:pStyle w:val="Heading1"/>
              <w:keepNext/>
              <w:widowControl/>
              <w:bidi w:val="0"/>
              <w:spacing w:before="240" w:after="283"/>
              <w:ind w:hanging="0" w:start="0" w:end="0"/>
              <w:rPr/>
            </w:pPr>
            <w:bookmarkStart w:id="67" w:name="energy-standard"/>
            <w:bookmarkEnd w:id="67"/>
            <w:r>
              <w:rPr/>
              <w:t xml:space="preserve">17 Energy Standard </w:t>
            </w:r>
          </w:p>
          <w:p>
            <w:pPr>
              <w:pStyle w:val="TableContents"/>
              <w:widowControl/>
              <w:bidi w:val="0"/>
              <w:spacing w:before="0" w:after="283"/>
              <w:rPr/>
            </w:pPr>
            <w:r>
              <w:rPr>
                <w:rStyle w:val="Strong"/>
              </w:rPr>
              <w:t>17.1</w:t>
            </w:r>
            <w:r>
              <w:rPr/>
              <w:t xml:space="preserve"> Building 4 will be constructed to the energy requirements applicable when the building permit is granted. The energy performance certificate, compliance evidence and any funding documents will be prepared as required by public law and financing conditions. No specific KfW efficiency-house class, primary-energy demand, GEG level or eligibility of apartment 4.27 for funding is owed unless expressly agreed with a numerical value.</w:t>
            </w:r>
          </w:p>
        </w:tc>
      </w:tr>
      <w:tr>
        <w:trPr>
          <w:cantSplit/>
        </w:trPr>
        <w:tc>
          <w:tcPr>
            <w:tcW w:w="7914" w:type="dxa"/>
            <w:tcBorders/>
            <w:vAlign w:val="center"/>
          </w:tcPr>
          <w:p>
            <w:pPr>
              <w:pStyle w:val="Heading1"/>
              <w:keepNext/>
              <w:widowControl/>
              <w:bidi w:val="0"/>
              <w:spacing w:before="240" w:after="283"/>
              <w:ind w:hanging="0" w:start="0" w:end="0"/>
              <w:rPr/>
            </w:pPr>
            <w:bookmarkStart w:id="68" w:name="außenanlagen-gemeinschaftsflächen"/>
            <w:bookmarkEnd w:id="68"/>
            <w:r>
              <w:rPr/>
              <w:t>18 Außenanlagen, Gemeinschaftsflächen</w:t>
            </w:r>
          </w:p>
          <w:p>
            <w:pPr>
              <w:pStyle w:val="TableContents"/>
              <w:widowControl/>
              <w:bidi w:val="0"/>
              <w:spacing w:before="0" w:after="283"/>
              <w:rPr/>
            </w:pPr>
            <w:r>
              <w:rPr>
                <w:rStyle w:val="Strong"/>
              </w:rPr>
              <w:t>18.1</w:t>
            </w:r>
            <w:r>
              <w:rPr/>
              <w:t xml:space="preserve"> Die Außenanlagen im Bereich Haus 4 (Zuwegung vom Quartiersplatz, Feuerwehr- und Lieferflächen, Pflanzflächen, Fahrradabstellbereiche, Müllstandorte, Beleuchtung und die Terrasse T-4.27) werden nach dem Freiflächenkonzept hergestellt. Art, Umfang und Zeitpunkt der Fertigstellung richten sich nach dem Bauablauf des Gesamtquartiers, insbesondere der angrenzenden Baufelder Q2 und Q3, und können nach dem Übergabetag der Wohnung liegen.</w:t>
            </w:r>
          </w:p>
        </w:tc>
        <w:tc>
          <w:tcPr>
            <w:tcW w:w="7620" w:type="dxa"/>
            <w:tcBorders/>
            <w:vAlign w:val="center"/>
          </w:tcPr>
          <w:p>
            <w:pPr>
              <w:pStyle w:val="Heading1"/>
              <w:keepNext/>
              <w:widowControl/>
              <w:pBdr/>
              <w:bidi w:val="0"/>
              <w:spacing w:before="240" w:after="283"/>
              <w:rPr/>
            </w:pPr>
            <w:r>
              <w:rPr/>
              <w:t>18 External Works and Common Areas</w:t>
            </w:r>
          </w:p>
          <w:p>
            <w:pPr>
              <w:pStyle w:val="TableContents"/>
              <w:widowControl/>
              <w:bidi w:val="0"/>
              <w:spacing w:before="0" w:after="283"/>
              <w:rPr/>
            </w:pPr>
            <w:r>
              <w:rPr>
                <w:rStyle w:val="Strong"/>
              </w:rPr>
              <w:t>18.1</w:t>
            </w:r>
            <w:r>
              <w:rPr/>
              <w:t xml:space="preserve"> External works around building 4—access from the neighbourhood square, fire-service and delivery areas, planted areas, bicycle parking, waste-storage locations, lighting and terrace T-4.27—will be constructed in accordance with the landscape design. Their nature, scope and completion timing will follow the construction sequence for the overall development, particularly adjoining construction areas Q2 and Q3; completion may occur after handover of the apartment.</w:t>
            </w:r>
          </w:p>
        </w:tc>
      </w:tr>
      <w:tr>
        <w:trPr>
          <w:cantSplit/>
        </w:trPr>
        <w:tc>
          <w:tcPr>
            <w:tcW w:w="7914" w:type="dxa"/>
            <w:tcBorders/>
            <w:vAlign w:val="center"/>
          </w:tcPr>
          <w:p>
            <w:pPr>
              <w:pStyle w:val="TableContents"/>
              <w:widowControl/>
              <w:bidi w:val="0"/>
              <w:spacing w:before="0" w:after="283"/>
              <w:rPr/>
            </w:pPr>
            <w:r>
              <w:rPr>
                <w:rStyle w:val="Strong"/>
              </w:rPr>
              <w:t>18.2</w:t>
            </w:r>
            <w:r>
              <w:rPr/>
              <w:t xml:space="preserve"> Die Terrasse T-4.27 wird mit Betonplatten, keramischen Terrassenplatten oder einem vergleichbaren Belag aus der Außenanlagenserie Q1 auf Gefälle bzw. Unterkonstruktion hergestellt; Format, Farbe, Fuge und Entwässerungsdetail richten sich nach dem Freiflächenkonzept.</w:t>
            </w:r>
          </w:p>
        </w:tc>
        <w:tc>
          <w:tcPr>
            <w:tcW w:w="7620" w:type="dxa"/>
            <w:tcBorders/>
            <w:vAlign w:val="center"/>
          </w:tcPr>
          <w:p>
            <w:pPr>
              <w:pStyle w:val="TableContents"/>
              <w:widowControl/>
              <w:bidi w:val="0"/>
              <w:spacing w:before="0" w:after="283"/>
              <w:rPr/>
            </w:pPr>
            <w:r>
              <w:rPr>
                <w:rStyle w:val="Strong"/>
              </w:rPr>
              <w:t>18.2</w:t>
            </w:r>
            <w:r>
              <w:rPr/>
              <w:t xml:space="preserve"> Terrace T-4.27 will be finished with concrete slabs, ceramic terrace tiles or comparable surfacing from external-works range Q1, laid to falls or on a supporting substructure. Format, colour, joints and drainage details will follow the landscape design.</w:t>
            </w:r>
          </w:p>
        </w:tc>
      </w:tr>
      <w:tr>
        <w:trPr>
          <w:cantSplit/>
        </w:trPr>
        <w:tc>
          <w:tcPr>
            <w:tcW w:w="7914" w:type="dxa"/>
            <w:tcBorders/>
            <w:vAlign w:val="center"/>
          </w:tcPr>
          <w:p>
            <w:pPr>
              <w:pStyle w:val="Heading1"/>
              <w:keepNext/>
              <w:widowControl/>
              <w:bidi w:val="0"/>
              <w:spacing w:before="240" w:after="283"/>
              <w:ind w:hanging="0" w:start="0" w:end="0"/>
              <w:rPr/>
            </w:pPr>
            <w:bookmarkStart w:id="69" w:name="wohnflächen"/>
            <w:bookmarkEnd w:id="69"/>
            <w:r>
              <w:rPr/>
              <w:t>19 Wohnflächen</w:t>
            </w:r>
          </w:p>
          <w:p>
            <w:pPr>
              <w:pStyle w:val="TableContents"/>
              <w:widowControl/>
              <w:bidi w:val="0"/>
              <w:spacing w:before="0" w:after="283"/>
              <w:rPr/>
            </w:pPr>
            <w:r>
              <w:rPr>
                <w:rStyle w:val="Strong"/>
              </w:rPr>
              <w:t>19.1</w:t>
            </w:r>
            <w:r>
              <w:rPr/>
              <w:t xml:space="preserve"> Die Wohnfläche der Wohnung 4.27 beträgt ca. 118,4 m² einschließlich der nach Planungsstand angesetzten Flächenanteile der Terrasse T-4.27. Die Ermittlung erfolgt nach DIN 277 anhand der Planungsstände. Maßgeblich ist die nach Fertigstellung tatsächlich erbrachte Ausführung; die ca.-Angabe dient der Objektbeschreibung und ist keine selbständige Garantie.</w:t>
            </w:r>
          </w:p>
        </w:tc>
        <w:tc>
          <w:tcPr>
            <w:tcW w:w="7620" w:type="dxa"/>
            <w:tcBorders/>
            <w:vAlign w:val="center"/>
          </w:tcPr>
          <w:p>
            <w:pPr>
              <w:pStyle w:val="Heading1"/>
              <w:keepNext/>
              <w:widowControl/>
              <w:pBdr/>
              <w:bidi w:val="0"/>
              <w:spacing w:before="240" w:after="283"/>
              <w:rPr/>
            </w:pPr>
            <w:r>
              <w:rPr/>
              <w:t>19 Living Area</w:t>
            </w:r>
          </w:p>
          <w:p>
            <w:pPr>
              <w:pStyle w:val="TableContents"/>
              <w:widowControl/>
              <w:bidi w:val="0"/>
              <w:spacing w:before="0" w:after="283"/>
              <w:rPr/>
            </w:pPr>
            <w:r>
              <w:rPr>
                <w:rStyle w:val="Strong"/>
              </w:rPr>
              <w:t>19.1</w:t>
            </w:r>
            <w:r>
              <w:rPr/>
              <w:t xml:space="preserve"> The living area of apartment 4.27 is approximately 118.4 m², including the proportion of terrace T-4.27 allowed for in the current plans. It is calculated under DIN 277 on the basis of those plans. The completed construction as actually provided is decisive; the approximate area is descriptive and does not constitute an independent guarantee.</w:t>
            </w:r>
          </w:p>
        </w:tc>
      </w:tr>
      <w:tr>
        <w:trPr>
          <w:cantSplit/>
        </w:trPr>
        <w:tc>
          <w:tcPr>
            <w:tcW w:w="7914" w:type="dxa"/>
            <w:tcBorders/>
            <w:vAlign w:val="center"/>
          </w:tcPr>
          <w:p>
            <w:pPr>
              <w:pStyle w:val="Heading1"/>
              <w:keepNext/>
              <w:widowControl/>
              <w:bidi w:val="0"/>
              <w:spacing w:before="240" w:after="283"/>
              <w:ind w:hanging="0" w:start="0" w:end="0"/>
              <w:rPr/>
            </w:pPr>
            <w:bookmarkStart w:id="70" w:name="bemusterung-sonderwünsche"/>
            <w:bookmarkEnd w:id="70"/>
            <w:r>
              <w:rPr/>
              <w:t>20 Bemusterung, Sonderwünsche</w:t>
            </w:r>
          </w:p>
          <w:p>
            <w:pPr>
              <w:pStyle w:val="TableContents"/>
              <w:widowControl/>
              <w:bidi w:val="0"/>
              <w:spacing w:before="0" w:after="283"/>
              <w:rPr/>
            </w:pPr>
            <w:r>
              <w:rPr>
                <w:rStyle w:val="Strong"/>
              </w:rPr>
              <w:t>20.1</w:t>
            </w:r>
            <w:r>
              <w:rPr/>
              <w:t xml:space="preserve"> Der Käufer wählt im Rahmen der Bemusterung im Bemusterungszentrum „Birkenpfuhl Auswahlwelt” aus dem jeweils gültigen Sortiment der Linie B4 für Boden, Fliesen, Sanitärobjekte, Armaturen, Innentüren, Beschläge, Schalterprogramm und Elektro-Mehrpunkte. Drei Beratungsstunden sind im Kaufpreis enthalten; darüber hinausgehender Aufwand wird mit 180,00 EUR netto je angefangener Stunde vergütet.</w:t>
            </w:r>
          </w:p>
        </w:tc>
        <w:tc>
          <w:tcPr>
            <w:tcW w:w="7620" w:type="dxa"/>
            <w:tcBorders/>
            <w:vAlign w:val="center"/>
          </w:tcPr>
          <w:p>
            <w:pPr>
              <w:pStyle w:val="Heading1"/>
              <w:keepNext/>
              <w:widowControl/>
              <w:pBdr/>
              <w:bidi w:val="0"/>
              <w:spacing w:before="240" w:after="283"/>
              <w:rPr/>
            </w:pPr>
            <w:r>
              <w:rPr/>
              <w:t>20 Selection of Finishes and Special Requests</w:t>
            </w:r>
          </w:p>
          <w:p>
            <w:pPr>
              <w:pStyle w:val="TableContents"/>
              <w:widowControl/>
              <w:bidi w:val="0"/>
              <w:spacing w:before="0" w:after="283"/>
              <w:rPr/>
            </w:pPr>
            <w:r>
              <w:rPr>
                <w:rStyle w:val="Strong"/>
              </w:rPr>
              <w:t>20.1</w:t>
            </w:r>
            <w:r>
              <w:rPr/>
              <w:t xml:space="preserve"> At the “Birkenpfuhl Auswahlwelt” selection centre, the Buyer will select from the then-current B4 range of flooring, tiles, sanitary fixtures, taps, internal doors, hardware, switch ranges and additional electrical outlets. Three consultation hours are included in the Purchase Price; further time will be charged at EUR 180.00 net for each commenced hour.</w:t>
            </w:r>
          </w:p>
        </w:tc>
      </w:tr>
      <w:tr>
        <w:trPr>
          <w:cantSplit/>
        </w:trPr>
        <w:tc>
          <w:tcPr>
            <w:tcW w:w="7914" w:type="dxa"/>
            <w:tcBorders/>
            <w:vAlign w:val="center"/>
          </w:tcPr>
          <w:p>
            <w:pPr>
              <w:pStyle w:val="TableContents"/>
              <w:widowControl/>
              <w:bidi w:val="0"/>
              <w:spacing w:before="0" w:after="283"/>
              <w:rPr/>
            </w:pPr>
            <w:r>
              <w:rPr>
                <w:rStyle w:val="Strong"/>
              </w:rPr>
              <w:t>20.2</w:t>
            </w:r>
            <w:r>
              <w:rPr/>
              <w:t xml:space="preserve"> Die Bemusterung hat innerhalb von vier Wochen nach Aufforderung stattzufinden. Reagiert der Käufer nicht rechtzeitig, wählt der Verkäufer für Wohnung 4.27 aus den Serien B4-01 bis B4-06, B4-Bad und B4-Tür. Spätere Änderungen sind nur möglich, soweit Bestellung, Lieferung und Einbau im Bauablauf Haus 4 noch ohne Umplanung möglich sind, und gesondert zu vergüten.</w:t>
            </w:r>
          </w:p>
        </w:tc>
        <w:tc>
          <w:tcPr>
            <w:tcW w:w="7620" w:type="dxa"/>
            <w:tcBorders/>
            <w:vAlign w:val="center"/>
          </w:tcPr>
          <w:p>
            <w:pPr>
              <w:pStyle w:val="TableContents"/>
              <w:widowControl/>
              <w:bidi w:val="0"/>
              <w:spacing w:before="0" w:after="283"/>
              <w:rPr/>
            </w:pPr>
            <w:r>
              <w:rPr>
                <w:rStyle w:val="Strong"/>
              </w:rPr>
              <w:t>20.2</w:t>
            </w:r>
            <w:r>
              <w:rPr/>
              <w:t xml:space="preserve"> The selection appointment must take place within four weeks of the request. If the Buyer does not respond in time, the Seller will select items for apartment 4.27 from ranges B4-01 to B4-06, B4-Bad and B4-Tür. Later changes are possible only where ordering, delivery and installation can still be accommodated in building 4's construction sequence without redesign, and must be paid for separately.</w:t>
            </w:r>
          </w:p>
        </w:tc>
      </w:tr>
      <w:tr>
        <w:trPr>
          <w:cantSplit/>
        </w:trPr>
        <w:tc>
          <w:tcPr>
            <w:tcW w:w="7914" w:type="dxa"/>
            <w:tcBorders/>
            <w:vAlign w:val="center"/>
          </w:tcPr>
          <w:p>
            <w:pPr>
              <w:pStyle w:val="TableContents"/>
              <w:widowControl/>
              <w:bidi w:val="0"/>
              <w:spacing w:before="0" w:after="283"/>
              <w:rPr/>
            </w:pPr>
            <w:r>
              <w:rPr>
                <w:rStyle w:val="Strong"/>
              </w:rPr>
              <w:t>20.3</w:t>
            </w:r>
            <w:r>
              <w:rPr/>
              <w:t xml:space="preserve"> Sonderwünsche außerhalb der Serien B4-01 bis B4-06, B4-Bad, B4-Tür und B4-Elektro sind vor Beginn der betroffenen Bauleistung vollständig und im Voraus zu zahlen.</w:t>
            </w:r>
          </w:p>
        </w:tc>
        <w:tc>
          <w:tcPr>
            <w:tcW w:w="7620" w:type="dxa"/>
            <w:tcBorders/>
            <w:vAlign w:val="center"/>
          </w:tcPr>
          <w:p>
            <w:pPr>
              <w:pStyle w:val="TableContents"/>
              <w:widowControl/>
              <w:bidi w:val="0"/>
              <w:spacing w:before="0" w:after="283"/>
              <w:rPr/>
            </w:pPr>
            <w:r>
              <w:rPr>
                <w:rStyle w:val="Strong"/>
              </w:rPr>
              <w:t>20.3</w:t>
            </w:r>
            <w:r>
              <w:rPr/>
              <w:t xml:space="preserve"> Special requests outside ranges B4-01 to B4-06, B4-Bad, B4-Tür and B4-Elektro must be paid in full and in advance before the affected construction work begins.</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71" w:name="schlussbestimmungen-der-baubeschreibung"/>
            <w:bookmarkEnd w:id="71"/>
            <w:r>
              <w:rPr/>
              <w:t>Schlussbestimmungen der Baubeschreibung</w:t>
            </w:r>
          </w:p>
          <w:p>
            <w:pPr>
              <w:pStyle w:val="TableContents"/>
              <w:widowControl/>
              <w:bidi w:val="0"/>
              <w:spacing w:before="0" w:after="283"/>
              <w:rPr/>
            </w:pPr>
            <w:r>
              <w:rPr>
                <w:rStyle w:val="Strong"/>
              </w:rPr>
              <w:t>S.1</w:t>
            </w:r>
            <w:r>
              <w:rPr/>
              <w:t xml:space="preserve"> Bei Widersprüchen zwischen dieser Baubeschreibung, den Plänen B4-A-100 bis B4-A-612, Bemusterungsunterlagen und dem Kaufvertrag ist zunächst eine technisch und wirtschaftlich sachgerechte Auslegung im Sinne einer einheitlichen Projektausführung für Haus 4 und die Tiefgaragenspange Nord vorzunehmen. Der Verkäufer trifft hierzu die erforderlichen Koordinierungsentscheidungen für Schachtlagen, Fassadenanschlüsse, TGA-Schnittstellen, Bemusterungsserien und Außenanlagenanschlüsse.</w:t>
            </w:r>
          </w:p>
        </w:tc>
        <w:tc>
          <w:tcPr>
            <w:tcW w:w="7620" w:type="dxa"/>
            <w:tcBorders/>
            <w:vAlign w:val="center"/>
          </w:tcPr>
          <w:p>
            <w:pPr>
              <w:pStyle w:val="Heading1"/>
              <w:keepNext/>
              <w:widowControl/>
              <w:bidi w:val="0"/>
              <w:spacing w:before="240" w:after="283"/>
              <w:ind w:hanging="0" w:start="0" w:end="0"/>
              <w:rPr/>
            </w:pPr>
            <w:bookmarkStart w:id="72" w:name="final-provisions-of-the-building-specifi"/>
            <w:bookmarkEnd w:id="72"/>
            <w:r>
              <w:rPr/>
              <w:t xml:space="preserve">Final Provisions of the Building Specification </w:t>
            </w:r>
          </w:p>
          <w:p>
            <w:pPr>
              <w:pStyle w:val="TableContents"/>
              <w:widowControl/>
              <w:bidi w:val="0"/>
              <w:spacing w:before="0" w:after="283"/>
              <w:rPr/>
            </w:pPr>
            <w:r>
              <w:rPr>
                <w:rStyle w:val="Strong"/>
              </w:rPr>
              <w:t>S.1</w:t>
            </w:r>
            <w:r>
              <w:rPr/>
              <w:t xml:space="preserve"> In the event of conflicts between this Building Specification, drawings B4-A-100 to B4-A-612, selection records and the purchase contract, the first step is a technically and economically appropriate interpretation aimed at coordinated construction of building 4 and the northern underground-parking section. The Seller will make the required coordination decisions concerning shaft positions, facade junctions, building-services interfaces, selection ranges and connections to external works.</w:t>
            </w:r>
          </w:p>
        </w:tc>
      </w:tr>
      <w:tr>
        <w:trPr>
          <w:cantSplit/>
        </w:trPr>
        <w:tc>
          <w:tcPr>
            <w:tcW w:w="7914" w:type="dxa"/>
            <w:tcBorders/>
            <w:vAlign w:val="center"/>
          </w:tcPr>
          <w:p>
            <w:pPr>
              <w:pStyle w:val="TableContents"/>
              <w:widowControl/>
              <w:bidi w:val="0"/>
              <w:spacing w:before="0" w:after="283"/>
              <w:rPr/>
            </w:pPr>
            <w:r>
              <w:rPr>
                <w:rStyle w:val="Strong"/>
              </w:rPr>
              <w:t>S.2</w:t>
            </w:r>
            <w:r>
              <w:rPr/>
              <w:t xml:space="preserve"> Diese Baubeschreibung gilt in der Fassung Februar 2026, Version 7.2. Frühere Fassungen verlieren ihre Gültigkeit. Der Verkäufer behält sich vor, die Baubeschreibung im Zuge der Ausführungsplanung fortzuschreiben, soweit der Gesamtcharakter des Bauvorhabens gewahrt bleibt.</w:t>
            </w:r>
          </w:p>
        </w:tc>
        <w:tc>
          <w:tcPr>
            <w:tcW w:w="7620" w:type="dxa"/>
            <w:tcBorders/>
            <w:vAlign w:val="center"/>
          </w:tcPr>
          <w:p>
            <w:pPr>
              <w:pStyle w:val="TableContents"/>
              <w:widowControl/>
              <w:bidi w:val="0"/>
              <w:spacing w:before="0" w:after="283"/>
              <w:rPr/>
            </w:pPr>
            <w:r>
              <w:rPr>
                <w:rStyle w:val="Strong"/>
              </w:rPr>
              <w:t>S.2</w:t>
            </w:r>
            <w:r>
              <w:rPr/>
              <w:t xml:space="preserve"> This Building Specification applies in its February 2026 version, version 7.2. Previous versions cease to apply. The Seller reserves the right to update it during detailed design, provided the overall character of the development is maintained.</w:t>
            </w:r>
          </w:p>
        </w:tc>
      </w:tr>
      <w:tr>
        <w:trPr>
          <w:cantSplit/>
        </w:trPr>
        <w:tc>
          <w:tcPr>
            <w:tcW w:w="7914" w:type="dxa"/>
            <w:tcBorders/>
            <w:vAlign w:val="center"/>
          </w:tcPr>
          <w:p>
            <w:pPr>
              <w:pStyle w:val="TableContents"/>
              <w:widowControl/>
              <w:bidi w:val="0"/>
              <w:spacing w:before="0" w:after="283"/>
              <w:rPr/>
            </w:pPr>
            <w:r>
              <w:rPr/>
              <w:t>Berlin, im Februar 2026</w:t>
            </w:r>
          </w:p>
        </w:tc>
        <w:tc>
          <w:tcPr>
            <w:tcW w:w="7620" w:type="dxa"/>
            <w:tcBorders/>
            <w:vAlign w:val="center"/>
          </w:tcPr>
          <w:p>
            <w:pPr>
              <w:pStyle w:val="TableContents"/>
              <w:widowControl/>
              <w:bidi w:val="0"/>
              <w:spacing w:before="0" w:after="283"/>
              <w:rPr/>
            </w:pPr>
            <w:r>
              <w:rPr/>
              <w:t xml:space="preserve">Berlin, February 2026 </w:t>
            </w:r>
          </w:p>
        </w:tc>
      </w:tr>
      <w:tr>
        <w:trPr>
          <w:cantSplit/>
        </w:trPr>
        <w:tc>
          <w:tcPr>
            <w:tcW w:w="7914" w:type="dxa"/>
            <w:tcBorders/>
            <w:vAlign w:val="center"/>
          </w:tcPr>
          <w:p>
            <w:pPr>
              <w:pStyle w:val="TableContents"/>
              <w:widowControl/>
              <w:bidi w:val="0"/>
              <w:spacing w:before="0" w:after="283"/>
              <w:rPr/>
            </w:pPr>
            <w:r>
              <w:rPr/>
              <w:t>Hohenwartshofen Quartiersentwicklung GmbH &amp; Co. KG</w:t>
            </w:r>
          </w:p>
        </w:tc>
        <w:tc>
          <w:tcPr>
            <w:tcW w:w="7620" w:type="dxa"/>
            <w:tcBorders/>
            <w:vAlign w:val="center"/>
          </w:tcPr>
          <w:p>
            <w:pPr>
              <w:pStyle w:val="TableContents"/>
              <w:widowControl/>
              <w:bidi w:val="0"/>
              <w:spacing w:before="0" w:after="283"/>
              <w:rPr/>
            </w:pPr>
            <w:r>
              <w:rPr/>
              <w:t xml:space="preserve">Hohenwartshofen Quartiersentwicklung GmbH &amp; Co. KG </w:t>
            </w:r>
          </w:p>
        </w:tc>
      </w:tr>
      <w:tr>
        <w:trPr>
          <w:cantSplit/>
        </w:trPr>
        <w:tc>
          <w:tcPr>
            <w:tcW w:w="15534" w:type="dxa"/>
            <w:gridSpan w:val="2"/>
            <w:tcBorders/>
            <w:vAlign w:val="center"/>
          </w:tcPr>
          <w:p>
            <w:pPr>
              <w:pStyle w:val="TableContents"/>
              <w:widowControl/>
              <w:bidi w:val="0"/>
              <w:spacing w:before="0" w:after="283"/>
              <w:rPr>
                <w:sz w:val="4"/>
                <w:szCs w:val="4"/>
              </w:rPr>
            </w:pPr>
            <w:r>
              <w:rPr>
                <w:sz w:val="4"/>
                <w:szCs w:val="4"/>
              </w:rPr>
            </w:r>
          </w:p>
        </w:tc>
      </w:tr>
      <w:tr>
        <w:trPr>
          <w:cantSplit/>
        </w:trPr>
        <w:tc>
          <w:tcPr>
            <w:tcW w:w="7914" w:type="dxa"/>
            <w:tcBorders/>
            <w:vAlign w:val="center"/>
          </w:tcPr>
          <w:p>
            <w:pPr>
              <w:pStyle w:val="Heading1"/>
              <w:keepNext/>
              <w:widowControl/>
              <w:bidi w:val="0"/>
              <w:spacing w:before="240" w:after="283"/>
              <w:ind w:hanging="0" w:start="0" w:end="0"/>
              <w:rPr/>
            </w:pPr>
            <w:bookmarkStart w:id="73" w:name="sprachvorrang"/>
            <w:bookmarkEnd w:id="73"/>
            <w:r>
              <w:rPr/>
              <w:t>Sprachvorrang</w:t>
            </w:r>
          </w:p>
          <w:p>
            <w:pPr>
              <w:pStyle w:val="TableContents"/>
              <w:widowControl/>
              <w:bidi w:val="0"/>
              <w:spacing w:before="0" w:after="283"/>
              <w:rPr/>
            </w:pPr>
            <w:r>
              <w:rPr>
                <w:rStyle w:val="Strong"/>
              </w:rPr>
              <w:t>SV.1</w:t>
            </w:r>
            <w:r>
              <w:rPr/>
              <w:t xml:space="preserve"> Bei Konflikten, Auslegungszweifeln, Abweichungen, Übersetzungsungenauigkeiten oder sonstigen Widersprüchen zwischen der deutschen und der englischen Sprachfassung ist ausschließlich die deutsche Sprachfassung maßgeblich. Die englische Sprachfassung tritt in jedem Fall hinter die deutsche Sprachfassung zurück und dient allein als Verständnishilfe.</w:t>
            </w:r>
          </w:p>
        </w:tc>
        <w:tc>
          <w:tcPr>
            <w:tcW w:w="7620" w:type="dxa"/>
            <w:tcBorders/>
            <w:vAlign w:val="center"/>
          </w:tcPr>
          <w:p>
            <w:pPr>
              <w:pStyle w:val="Heading1"/>
              <w:keepNext/>
              <w:widowControl/>
              <w:bidi w:val="0"/>
              <w:spacing w:before="240" w:after="283"/>
              <w:ind w:hanging="0" w:start="0" w:end="0"/>
              <w:rPr/>
            </w:pPr>
            <w:bookmarkStart w:id="74" w:name="language-precedence"/>
            <w:bookmarkEnd w:id="74"/>
            <w:r>
              <w:rPr/>
              <w:t xml:space="preserve">Language Precedence </w:t>
            </w:r>
          </w:p>
          <w:p>
            <w:pPr>
              <w:pStyle w:val="TableContents"/>
              <w:widowControl/>
              <w:bidi w:val="0"/>
              <w:spacing w:before="0" w:after="283"/>
              <w:rPr/>
            </w:pPr>
            <w:r>
              <w:rPr>
                <w:rStyle w:val="Strong"/>
              </w:rPr>
              <w:t>SV.1</w:t>
            </w:r>
            <w:r>
              <w:rPr/>
              <w:t xml:space="preserve"> In the event of conflicts, doubts of interpretation, deviations, translation inaccuracies or any other inconsistencies between the German and English language versions, only the German language version shall be authoritative. The English language version shall in all cases be subordinate to the German language version and serves solely as a comprehension aid.</w:t>
            </w:r>
          </w:p>
        </w:tc>
      </w:tr>
    </w:tbl>
    <w:p>
      <w:pPr>
        <w:pStyle w:val="BodyText"/>
        <w:bidi w:val="0"/>
        <w:spacing w:before="0" w:after="283"/>
        <w:rPr/>
      </w:pPr>
      <w:r>
        <w:rPr/>
      </w:r>
    </w:p>
    <w:sectPr>
      <w:headerReference xmlns:ns0="http://schemas.openxmlformats.org/officeDocument/2006/relationships" w:type="default" ns0:id="rId6"/>
      <w:type w:val="nextPage"/>
      <w:pgSz w:orient="landscape" w:w="16838" w:h="11906"/>
      <w:pgMar w:left="794" w:right="794" w:gutter="0" w:header="340" w:top="1020" w:footer="340" w:bottom="850"/>
      <w:pgNumType w:fmt="decimal"/>
      <w:formProt w:val="false"/>
      <w:textDirection w:val="lrTb"/>
      <w:docGrid w:type="default" w:linePitch="600" w:charSpace="4751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erif">
    <w:altName w:val="Georgia"/>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8"/>
      </w:rPr>
      <w:t>ENTWURF / 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3">
    <w:lvl w:ilvl="0">
      <w:start w:val="2"/>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4">
    <w:lvl w:ilvl="0">
      <w:start w:val="3"/>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69"/>
    </w:pPr>
    <w:rPr>
      <w:rFonts w:ascii="Times New Roman" w:hAnsi="Times New Roman" w:eastAsia="DejaVu Serif;Georgia;serif" w:cs="DejaVu Serif;Georgia;serif"/>
      <w:color w:val="000000"/>
      <w:sz w:val="20"/>
      <w:szCs w:val="17"/>
      <w:lang w:val="en-US" w:eastAsia="zh-CN" w:bidi="hi-IN"/>
    </w:rPr>
  </w:style>
  <w:style w:type="paragraph" w:styleId="Heading1">
    <w:name w:val="heading 1"/>
    <w:basedOn w:val="Heading"/>
    <w:next w:val="BodyText"/>
    <w:qFormat/>
    <w:pPr>
      <w:keepNext w:val="true"/>
    </w:pPr>
    <w:rPr>
      <w:b/>
      <w:bCs/>
      <w:color w:val="000000"/>
      <w:sz w:val="23"/>
      <w:szCs w:val="23"/>
    </w:rPr>
  </w:style>
  <w:style w:type="paragraph" w:styleId="Heading2">
    <w:name w:val="heading 2"/>
    <w:basedOn w:val="Heading"/>
    <w:next w:val="BodyText"/>
    <w:qFormat/>
    <w:pPr>
      <w:keepNext w:val="true"/>
      <w:numPr>
        <w:ilvl w:val="0"/>
        <w:numId w:val="0"/>
      </w:numPr>
      <w:spacing w:before="200" w:after="120"/>
      <w:outlineLvl w:val="1"/>
    </w:pPr>
    <w:rPr>
      <w:rFonts w:ascii="Liberation Serif" w:hAnsi="Liberation Serif" w:eastAsia="Linux Libertine G" w:cs="Noto Sans"/>
      <w:b/>
      <w:bCs/>
      <w:color w:val="000000"/>
      <w:sz w:val="20"/>
      <w:szCs w:val="20"/>
    </w:rPr>
  </w:style>
  <w:style w:type="paragraph" w:styleId="Heading3">
    <w:name w:val="heading 3"/>
    <w:basedOn w:val="Heading"/>
    <w:next w:val="BodyText"/>
    <w:qFormat/>
    <w:pPr>
      <w:keepNext w:val="true"/>
      <w:numPr>
        <w:ilvl w:val="0"/>
        <w:numId w:val="0"/>
      </w:numPr>
      <w:spacing w:before="140" w:after="120"/>
      <w:outlineLvl w:val="2"/>
    </w:pPr>
    <w:rPr>
      <w:rFonts w:ascii="Liberation Serif" w:hAnsi="Liberation Serif" w:eastAsia="Linux Libertine G" w:cs="Noto Sans"/>
      <w:b/>
      <w:bCs/>
      <w:color w:val="000000"/>
      <w:sz w:val="18"/>
      <w:szCs w:val="1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orizontalLine">
    <w:name w:val="Horizontal Line"/>
    <w:basedOn w:val="Normal"/>
    <w:next w:val="BodyText"/>
    <w:qFormat/>
    <w:pPr>
      <w:spacing w:before="0" w:after="283"/>
    </w:pPr>
    <w:rPr>
      <w:color w:val="000000"/>
      <w:sz w:val="12"/>
    </w:rPr>
  </w:style>
  <w:style w:type="paragraph" w:styleId="BodyText">
    <w:name w:val="Body Text"/>
    <w:basedOn w:val="Normal"/>
    <w:pPr>
      <w:spacing w:before="0" w:after="283"/>
    </w:pPr>
    <w:rPr>
      <w:color w:val="000000"/>
    </w:rPr>
  </w:style>
  <w:style w:type="paragraph" w:styleId="EnvelopeReturn">
    <w:name w:val="envelope return"/>
    <w:basedOn w:val="Normal"/>
    <w:pPr/>
    <w:rPr>
      <w:i/>
      <w:color w:val="000000"/>
    </w:rPr>
  </w:style>
  <w:style w:type="paragraph" w:styleId="TableContents">
    <w:name w:val="Table Contents"/>
    <w:basedOn w:val="BodyText"/>
    <w:qFormat/>
    <w:pPr/>
    <w:rPr>
      <w:color w:val="000000"/>
    </w:rPr>
  </w:style>
  <w:style w:type="paragraph" w:styleId="Heading">
    <w:name w:val="Heading"/>
    <w:basedOn w:val="Normal"/>
    <w:next w:val="BodyText"/>
    <w:qFormat/>
    <w:pPr>
      <w:keepNext w:val="true"/>
      <w:spacing w:before="240" w:after="283"/>
    </w:pPr>
    <w:rPr>
      <w:rFonts w:ascii="Liberation Sans" w:hAnsi="Liberation Sans"/>
      <w:color w:val="000000"/>
      <w:sz w:val="28"/>
      <w:szCs w:val="28"/>
    </w:rPr>
  </w:style>
  <w:style w:type="paragraph" w:styleId="Index">
    <w:name w:val="Index"/>
    <w:basedOn w:val="Normal"/>
    <w:qFormat/>
    <w:pPr>
      <w:suppressLineNumbers/>
    </w:pPr>
    <w:rPr>
      <w:rFonts w:cs="Noto Sans"/>
      <w:color w:val="000000"/>
    </w:rPr>
  </w:style>
  <w:style w:type="paragraph" w:styleId="Caption">
    <w:name w:val="caption"/>
    <w:basedOn w:val="Normal"/>
    <w:qFormat/>
    <w:pPr>
      <w:suppressLineNumbers/>
      <w:spacing w:before="120" w:after="120"/>
    </w:pPr>
    <w:rPr>
      <w:rFonts w:cs="Noto Sans"/>
      <w:i/>
      <w:iCs/>
      <w:color w:val="000000"/>
      <w:sz w:val="24"/>
      <w:szCs w:val="24"/>
    </w:rPr>
  </w:style>
  <w:style w:type="paragraph" w:styleId="List">
    <w:name w:val="List"/>
    <w:basedOn w:val="BodyText"/>
    <w:pPr/>
    <w:rPr>
      <w:rFonts w:cs="Noto Sans"/>
      <w:color w:val="000000"/>
    </w:rPr>
  </w:style>
  <w:style w:type="paragraph" w:styleId="BlockQuotation">
    <w:name w:val="Block Quotation"/>
    <w:basedOn w:val="Normal"/>
    <w:qFormat/>
    <w:pPr>
      <w:spacing w:before="0" w:after="283"/>
      <w:ind w:hanging="0" w:start="567" w:end="567"/>
    </w:pPr>
    <w:rPr>
      <w:color w:val="000000"/>
    </w:rPr>
  </w:style>
  <w:style w:type="paragraph" w:styleId="BodyTextdoc-note">
    <w:name w:val="Body Text.doc-note"/>
    <w:basedOn w:val="BodyText"/>
    <w:qFormat/>
    <w:pPr/>
    <w:rPr>
      <w:color w:val="000000"/>
      <w:sz w:val="17"/>
      <w:szCs w:val="17"/>
    </w:rPr>
  </w:style>
  <w:style w:type="paragraph" w:styleId="Heading1doc-title">
    <w:name w:val="Heading 1.doc-title"/>
    <w:basedOn w:val="Heading1"/>
    <w:qFormat/>
    <w:pPr/>
    <w:rPr>
      <w:color w:val="000000"/>
      <w:spacing w:val="0"/>
      <w:sz w:val="32"/>
      <w:szCs w:val="32"/>
    </w:rPr>
  </w:style>
  <w:style w:type="paragraph" w:styleId="TableHeading">
    <w:name w:val="Table Heading"/>
    <w:basedOn w:val="TableContents"/>
    <w:qFormat/>
    <w:pPr>
      <w:suppressLineNumbers/>
      <w:jc w:val="center"/>
    </w:pPr>
    <w:rPr>
      <w:b/>
      <w:bCs/>
      <w:color w:val="000000"/>
    </w:rPr>
  </w:style>
  <w:style w:type="paragraph" w:customStyle="1" w:styleId="Title">
    <w:name w:val="Title"/>
    <w:rPr>
      <w:rFonts w:ascii="Times New Roman" w:hAnsi="Times New Roman"/>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ages>1</Pages>
  <Words>15615</Words>
  <Characters>101122</Characters>
  <CharactersWithSpaces>116234</CharactersWithSpaces>
  <Paragraphs>553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btv-source-sha256:91e0684d1aa45cf2ce3feb7213e04903830ebd012f5200126e321c506117bc6b</dc:description>
  <cp:keywords>btv-source-sha256:91e0684d1aa45cf2ce3feb7213e04903830ebd012f5200126e321c506117bc6b</cp:keywords>
  <dc:language>en-US</dc:language>
  <cp:lastModifiedBy/>
  <cp:revision>0</cp:revision>
  <dc:subject/>
  <dc:title>Bauträgervertrag Entwurf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btv-source-sha256">
    <vt:lpwstr>91e0684d1aa45cf2ce3feb7213e04903830ebd012f5200126e321c506117bc6b</vt:lpwstr>
  </property>
</Properties>
</file>