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Wohnungsbauträgervertrag mit Auflassung — UR-Nr. 188/2026 KQ</w:t>
      </w:r>
    </w:p>
    <w:p>
      <w:pPr>
        <w:pStyle w:val="Subtitle"/>
      </w:pPr>
      <w:r>
        <w:t xml:space="preserve">Testakte „Bauträgervertrag aus der Hölle” — fiktive Urkunde mit eingebauten Mängeln zu Schulungszwecken</w:t>
      </w:r>
    </w:p>
    <w:bookmarkStart w:id="10" w:name="ur-nr.-1882026-kq"/>
    <w:p>
      <w:pPr>
        <w:pStyle w:val="Heading1"/>
      </w:pPr>
      <w:r>
        <w:t xml:space="preserve">UR-Nr. 188/2026 KQ</w:t>
      </w:r>
    </w:p>
    <w:bookmarkStart w:id="9" w:name="verhandelt"/>
    <w:p>
      <w:pPr>
        <w:pStyle w:val="Heading2"/>
      </w:pPr>
      <w:r>
        <w:t xml:space="preserve">Verhandelt</w:t>
      </w:r>
    </w:p>
    <w:p>
      <w:pPr>
        <w:pStyle w:val="FirstParagraph"/>
      </w:pPr>
      <w:r>
        <w:t xml:space="preserve">zu Berlin, am 14. März 2026</w:t>
      </w:r>
    </w:p>
    <w:p>
      <w:pPr>
        <w:pStyle w:val="BodyText"/>
      </w:pPr>
      <w:r>
        <w:t xml:space="preserve">Vor mir, dem unterzeichnenden Notar im Bezirk des Kammergerichts</w:t>
      </w:r>
    </w:p>
    <w:p>
      <w:pPr>
        <w:pStyle w:val="BodyText"/>
      </w:pPr>
      <w:r>
        <w:rPr>
          <w:b/>
          <w:bCs/>
        </w:rPr>
        <w:t xml:space="preserve">Dr. Adalbert von Sickingen-Querfurt</w:t>
      </w:r>
    </w:p>
    <w:p>
      <w:pPr>
        <w:pStyle w:val="BodyText"/>
      </w:pPr>
      <w:r>
        <w:t xml:space="preserve">Kurfürstendamm 211, 10719 Berlin</w:t>
      </w:r>
    </w:p>
    <w:p>
      <w:pPr>
        <w:pStyle w:val="BodyText"/>
      </w:pPr>
      <w:r>
        <w:t xml:space="preserve">erschienen heute:</w:t>
      </w:r>
    </w:p>
    <w:p>
      <w:pPr>
        <w:pStyle w:val="BodyText"/>
      </w:pPr>
      <w:r>
        <w:t xml:space="preserve">Frau</w:t>
      </w:r>
      <w:r>
        <w:t xml:space="preserve"> </w:t>
      </w:r>
      <w:r>
        <w:rPr>
          <w:b/>
          <w:bCs/>
        </w:rPr>
        <w:t xml:space="preserve">Roswitha Quendel-Bingenheimer</w:t>
      </w:r>
      <w:r>
        <w:t xml:space="preserve">, geboren am 11.08.1971,</w:t>
      </w:r>
    </w:p>
    <w:p>
      <w:pPr>
        <w:pStyle w:val="BodyText"/>
      </w:pPr>
      <w:r>
        <w:t xml:space="preserve">geschäftsansässig: Schloßstraße 88, 12163 Berlin,</w:t>
      </w:r>
    </w:p>
    <w:p>
      <w:pPr>
        <w:pStyle w:val="BodyText"/>
      </w:pPr>
      <w:r>
        <w:t xml:space="preserve">dem Notar von Person bekannt,</w:t>
      </w:r>
    </w:p>
    <w:p>
      <w:pPr>
        <w:pStyle w:val="BodyText"/>
      </w:pPr>
      <w:r>
        <w:t xml:space="preserve">handelnd nachfolgend nicht im eigenen Namen, sondern als Bevollmächtigte für die</w:t>
      </w:r>
    </w:p>
    <w:p>
      <w:pPr>
        <w:pStyle w:val="BodyText"/>
      </w:pPr>
      <w:r>
        <w:rPr>
          <w:b/>
          <w:bCs/>
        </w:rPr>
        <w:t xml:space="preserve">Hohenwartshofen Quartiersentwicklung GmbH &amp; Co. KG</w:t>
      </w:r>
    </w:p>
    <w:p>
      <w:pPr>
        <w:pStyle w:val="BodyText"/>
      </w:pPr>
      <w:r>
        <w:t xml:space="preserve">(vormals firmierend unter Hohenwartshofen-Drewitz Immobilien GmbH &amp; Co. KG; Amtsgericht Charlottenburg, HRA 52188 B; Komplementärin: Hohenwartshofen Verwaltungs GmbH, Amtsgericht Charlottenburg, HRB 187 552 B),</w:t>
      </w:r>
    </w:p>
    <w:p>
      <w:pPr>
        <w:pStyle w:val="BodyText"/>
      </w:pPr>
      <w:r>
        <w:t xml:space="preserve">Geschäftsanschrift: Schloßstraße 88, 12163 Berlin,</w:t>
      </w:r>
    </w:p>
    <w:p>
      <w:pPr>
        <w:pStyle w:val="BodyText"/>
      </w:pPr>
      <w:r>
        <w:t xml:space="preserve">— nachstehend auch „Verkäufer” genannt —,</w:t>
      </w:r>
    </w:p>
    <w:p>
      <w:pPr>
        <w:pStyle w:val="BodyText"/>
      </w:pPr>
      <w:r>
        <w:t xml:space="preserve">aufgrund notariell beglaubigter Vollmacht vom 22.10.2025, UR-Nr. 1402/2025 W des Notars Egmont Wachtelborn, Berlin. Das Original der Vollmacht lag bei Beurkundung vor; eine Fotokopie derselben wird in beglaubigter Fotokopie als Anhang a zu dieser Urkunde genommen.</w:t>
      </w:r>
    </w:p>
    <w:p>
      <w:pPr>
        <w:pStyle w:val="BodyText"/>
      </w:pPr>
      <w:r>
        <w:t xml:space="preserve">Herr</w:t>
      </w:r>
      <w:r>
        <w:t xml:space="preserve"> </w:t>
      </w:r>
      <w:r>
        <w:rPr>
          <w:b/>
          <w:bCs/>
        </w:rPr>
        <w:t xml:space="preserve">Dr. Eberwein Übelacker-Strohmeyer</w:t>
      </w:r>
      <w:r>
        <w:t xml:space="preserve">, geboren am 03.02.1968,</w:t>
      </w:r>
    </w:p>
    <w:p>
      <w:pPr>
        <w:pStyle w:val="BodyText"/>
      </w:pPr>
      <w:r>
        <w:t xml:space="preserve">wohnhaft: Königin-Luise-Straße 47, 14195 Berlin,</w:t>
      </w:r>
    </w:p>
    <w:p>
      <w:pPr>
        <w:pStyle w:val="BodyText"/>
      </w:pPr>
      <w:r>
        <w:t xml:space="preserve">ausgewiesen durch gültigen Personalausweis,</w:t>
      </w:r>
    </w:p>
    <w:p>
      <w:pPr>
        <w:pStyle w:val="BodyText"/>
      </w:pPr>
      <w:r>
        <w:t xml:space="preserve">— nachstehend auch „Käufer” genannt —.</w:t>
      </w:r>
    </w:p>
    <w:p>
      <w:pPr>
        <w:pStyle w:val="BodyText"/>
      </w:pPr>
      <w:r>
        <w:t xml:space="preserve">Auf Befragen des Notars erklärten die Erschienene zu 1. auf Rechnung des von ihr Vertretenen und der Erschienene zu 2. auf eigene Rechnung zu handeln.</w:t>
      </w:r>
    </w:p>
    <w:p>
      <w:pPr>
        <w:pStyle w:val="BodyText"/>
      </w:pPr>
      <w:r>
        <w:t xml:space="preserve">Der Notar hat darauf hingewiesen, dass er vor der Protokollierung die Beteiligten darüber zu befragen hat, ob bei der nachstehend zu beurkundenden Angelegenheit eine der mit ihm zur gemeinsamen Berufsausübung verbundenen Personen oder er selbst außerhalb seiner Amtstätigkeit bereits tätig war oder ist. Die Beteiligten erklärten, dass dies nicht der Fall sei.</w:t>
      </w:r>
    </w:p>
    <w:p>
      <w:pPr>
        <w:pStyle w:val="BodyText"/>
      </w:pPr>
      <w:r>
        <w:t xml:space="preserve">Der Käufer erklärte im Hinblick auf § 17 Abs. 2a BeurkG, dass ihm ein Entwurf des nachstehenden Kaufvertrages sowie je eine Kopie der Bezugsurkunden zur Verfügung gestellt wurde. Die Frist von zwei Wochen nach § 17 Abs. 2a S. 2 Nr. 2 BeurkG wurde im Hinblick auf den geplanten Vertriebsabschluss verkürzt; der Käufer erklärt ausdrücklich, mit der Verkürzung einverstanden zu sein und auf die volle zweiwöchige Frist zu verzichten.</w:t>
      </w:r>
    </w:p>
    <w:p>
      <w:pPr>
        <w:pStyle w:val="BodyText"/>
      </w:pPr>
      <w:r>
        <w:t xml:space="preserve">Die Erschienenen baten sodann um die Beurkundung des nachstehenden</w:t>
      </w:r>
    </w:p>
    <w:bookmarkEnd w:id="9"/>
    <w:bookmarkEnd w:id="10"/>
    <w:bookmarkStart w:id="12" w:name="wohnungsbauträgervertrags-mit-auflassung"/>
    <w:p>
      <w:pPr>
        <w:pStyle w:val="Heading1"/>
      </w:pPr>
      <w:r>
        <w:t xml:space="preserve">Wohnungsbauträgervertrags mit Auflassung</w:t>
      </w:r>
    </w:p>
    <w:bookmarkStart w:id="11" w:name="vorbemerkungen"/>
    <w:p>
      <w:pPr>
        <w:pStyle w:val="Heading2"/>
      </w:pPr>
      <w:r>
        <w:t xml:space="preserve">Vorbemerkungen</w:t>
      </w:r>
    </w:p>
    <w:p>
      <w:pPr>
        <w:pStyle w:val="FirstParagraph"/>
      </w:pPr>
      <w:r>
        <w:rPr>
          <w:b/>
          <w:bCs/>
        </w:rPr>
        <w:t xml:space="preserve">0.1</w:t>
      </w:r>
      <w:r>
        <w:t xml:space="preserve"> </w:t>
      </w:r>
      <w:r>
        <w:t xml:space="preserve">Der Verkäufer beabsichtigt, nach derzeitiger Planung auf dem Grundstück</w:t>
      </w:r>
    </w:p>
    <w:p>
      <w:pPr>
        <w:pStyle w:val="BlockText"/>
      </w:pPr>
      <w:r>
        <w:t xml:space="preserve">Gemarkung Kannenberg-Niederwall, Flur 7, Flurstück 218/4, Gebäude- und Freifläche, „Am Birkenpfuhl”, mit einer grundbuchlichen Größe von insgesamt 11.840 m², nachstehend auch das „Grundstück” genannt,</w:t>
      </w:r>
    </w:p>
    <w:p>
      <w:pPr>
        <w:pStyle w:val="FirstParagraph"/>
      </w:pPr>
      <w:r>
        <w:t xml:space="preserve">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p>
      <w:pPr>
        <w:pStyle w:val="BodyText"/>
      </w:pPr>
      <w:r>
        <w:t xml:space="preserve">Da es sich um den derzeitigen Planungsstand handelt, der noch verändert werden kann, behält sich der Verkäufer das Recht vor, die vorstehende voraussichtliche Anzahl der Wohn- und Teileigentumseinheiten sowie der Stellplätze noch zu ändern. Ebenso behält sich der Verkäufer das Recht vor, einzelne derzeit geplante Mehrfamilienhäuser bzw. Bauabschnitte nicht zu errichten oder sonstige Änderungen der Planung vorzunehmen, die ihm aus wirtschaftlichen, baurechtlichen, statischen oder sonstigen Gründen erforderlich erscheinen. Der Käufer hat insoweit keinerlei Rechte oder Ansprüche.</w:t>
      </w:r>
    </w:p>
    <w:p>
      <w:pPr>
        <w:pStyle w:val="BodyText"/>
      </w:pPr>
      <w:r>
        <w:t xml:space="preserve">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und temporäre Stromabschaltungen) ergeben können. Der Käufer ist insoweit zur uneingeschränkten Duldung verpflichtet, ohne dass ihm insoweit Rechte, Ansprüche oder Minderungsmöglichkeiten gegen den Verkäufer und jeweiligen Eigentümer der bezeichneten Nachbargrundstücke zustehen.</w:t>
      </w:r>
    </w:p>
    <w:p>
      <w:pPr>
        <w:pStyle w:val="BodyText"/>
      </w:pPr>
      <w:r>
        <w:rPr>
          <w:b/>
          <w:bCs/>
        </w:rPr>
        <w:t xml:space="preserve">0.2</w:t>
      </w:r>
      <w:r>
        <w:t xml:space="preserve"> </w:t>
      </w:r>
      <w:r>
        <w:t xml:space="preserve">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p>
      <w:pPr>
        <w:pStyle w:val="BodyText"/>
      </w:pPr>
      <w:r>
        <w:t xml:space="preserve">— nachfolgend zusammen auch „Teilungserklärung” und/oder zusammen „Bezugsurkunde 1” genannt —.</w:t>
      </w:r>
    </w:p>
    <w:p>
      <w:pPr>
        <w:pStyle w:val="BodyText"/>
      </w:pPr>
      <w:r>
        <w:t xml:space="preserve">Der Kaufgegenstand wird nach näherer Maßgabe von § 5 grundsätzlich so errichtet, wie er sich aus der Baubeschreibung in der Fassung Februar 2026, Version 7.2 ergibt. Die Baubeschreibung ist nicht Gegenstand der Beurkundung; sie wird dem Käufer mit Vertragsunterzeichnung in einer aktuellen, ungebundenen Druckfassung übergeben.</w:t>
      </w:r>
    </w:p>
    <w:p>
      <w:pPr>
        <w:pStyle w:val="BodyText"/>
      </w:pPr>
      <w:r>
        <w:t xml:space="preserve">Der Käufer bestätigt mit Unterzeichnung dieses Vertrages, dass er die Baubeschreibung sowie sämtliche Bezugsurkunden in vollem Umfang erhalten, gelesen, verstanden und mit fachkundiger Hilfe geprüft hat und dass ihm sämtliche damit verbundenen technischen, rechtlichen und wirtschaftlichen Folgen vollumfänglich bewusst sind.</w:t>
      </w:r>
    </w:p>
    <w:p>
      <w:pPr>
        <w:pStyle w:val="BodyText"/>
      </w:pPr>
      <w:r>
        <w:rPr>
          <w:b/>
          <w:bCs/>
        </w:rPr>
        <w:t xml:space="preserve">0.3</w:t>
      </w:r>
      <w:r>
        <w:t xml:space="preserve"> </w:t>
      </w:r>
      <w:r>
        <w:t xml:space="preserve">Gegenstand dieses Vertrages sind der in § 1 beschriebene Kaufgegenstand sowie die in § 5 beschriebene Herstellungsverpflichtung.</w:t>
      </w:r>
    </w:p>
    <w:p>
      <w:pPr>
        <w:pStyle w:val="BodyText"/>
      </w:pPr>
      <w:r>
        <w:rPr>
          <w:b/>
          <w:bCs/>
        </w:rPr>
        <w:t xml:space="preserve">0.4</w:t>
      </w:r>
      <w:r>
        <w:t xml:space="preserve"> </w:t>
      </w:r>
      <w:r>
        <w:t xml:space="preserve">Die Abgeschlossenheitsbescheinigung zur Teilungserklärung liegt vor.</w:t>
      </w:r>
    </w:p>
    <w:p>
      <w:pPr>
        <w:pStyle w:val="BodyText"/>
      </w:pPr>
      <w:r>
        <w:rPr>
          <w:b/>
          <w:bCs/>
        </w:rPr>
        <w:t xml:space="preserve">0.5</w:t>
      </w:r>
      <w:r>
        <w:t xml:space="preserve"> </w:t>
      </w:r>
      <w:r>
        <w:t xml:space="preserve">Nach Auskunft des Verkäufers liegen die erforderlichen Baugenehmigungen des Landkreises Potsdam-Mittelmark vor; eine Baugenehmigung für Haus 4, in dem die hier verkaufte Wohnung liegt, wird in Kürze erwartet.</w:t>
      </w:r>
    </w:p>
    <w:p>
      <w:pPr>
        <w:pStyle w:val="BodyText"/>
      </w:pPr>
      <w:r>
        <w:rPr>
          <w:b/>
          <w:bCs/>
        </w:rPr>
        <w:t xml:space="preserve">0.6</w:t>
      </w:r>
      <w:r>
        <w:t xml:space="preserve"> </w:t>
      </w:r>
      <w:r>
        <w:t xml:space="preserve">Der Verkäufer weist darauf hin, dass die Erschließung des Grundstücks teilweise noch nicht abgeschlossen ist.</w:t>
      </w:r>
    </w:p>
    <w:bookmarkEnd w:id="11"/>
    <w:bookmarkEnd w:id="12"/>
    <w:bookmarkStart w:id="13" w:name="kaufgegenstand"/>
    <w:p>
      <w:pPr>
        <w:pStyle w:val="Heading1"/>
      </w:pPr>
      <w:r>
        <w:t xml:space="preserve">§ 1 Kaufgegenstand</w:t>
      </w:r>
    </w:p>
    <w:p>
      <w:pPr>
        <w:pStyle w:val="FirstParagraph"/>
      </w:pPr>
      <w:r>
        <w:rPr>
          <w:b/>
          <w:bCs/>
        </w:rPr>
        <w:t xml:space="preserve">1.1</w:t>
      </w:r>
      <w:r>
        <w:t xml:space="preserve"> </w:t>
      </w:r>
      <w:r>
        <w:t xml:space="preserve">Der Verkäufer ist eingetragener Alleineigentümer des folgenden, im Wohnungsgrundbuch des Amtsgerichts Potsdam für Kannenberg-Niederwall, Blatt 18 442, eingetragenen Wohnungseigentums:</w:t>
      </w:r>
    </w:p>
    <w:p>
      <w:pPr>
        <w:pStyle w:val="BlockText"/>
      </w:pPr>
      <w:r>
        <w:t xml:space="preserve">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p>
      <w:pPr>
        <w:pStyle w:val="FirstParagraph"/>
      </w:pPr>
      <w:r>
        <w:rPr>
          <w:b/>
          <w:bCs/>
        </w:rPr>
        <w:t xml:space="preserve">1.2</w:t>
      </w:r>
      <w:r>
        <w:t xml:space="preserve"> </w:t>
      </w:r>
      <w:r>
        <w:t xml:space="preserve">Die Sondereigentumseinheit und das dort näher bezeichnete Sondernutzungsrecht an dem Tiefgaragenstellplatz Nr. TG-127 nebst den unter § 5 dieses Vertrages beschriebenen Bauleistungen werden nachfolgend zusammen als „Kaufgegenstand” bezeichnet.</w:t>
      </w:r>
    </w:p>
    <w:p>
      <w:pPr>
        <w:pStyle w:val="BodyText"/>
      </w:pPr>
      <w:r>
        <w:rPr>
          <w:b/>
          <w:bCs/>
        </w:rPr>
        <w:t xml:space="preserve">1.3</w:t>
      </w:r>
      <w:r>
        <w:t xml:space="preserve"> </w:t>
      </w:r>
      <w:r>
        <w:t xml:space="preserve">Der Notar hat das Grundbuch gemäß § 1.1 — ohne die Grundakten — elektronisch am heutigen Tage eingesehen.</w:t>
      </w:r>
    </w:p>
    <w:p>
      <w:pPr>
        <w:pStyle w:val="BodyText"/>
      </w:pPr>
      <w:r>
        <w:t xml:space="preserve">In Abteilung II sind eingetragen: beschränkte persönliche Dienstbarkeiten zugunsten der Stadtwerke Kannenberg GmbH, der ENBW Netze AG sowie der Gemeinde Kannenberg-Niederwall. Diese Lasten werden vom Käufer übernommen und sind im Kaufpreis nicht abgegolten.</w:t>
      </w:r>
    </w:p>
    <w:p>
      <w:pPr>
        <w:pStyle w:val="BodyText"/>
      </w:pPr>
      <w:r>
        <w:t xml:space="preserve">In Abteilung III ist eine Gesamtgrundschuld in Höhe von 92 800 000,00 EUR zugunsten der Pommersche Hypotheken-Bank AG eingetragen.</w:t>
      </w:r>
    </w:p>
    <w:bookmarkEnd w:id="13"/>
    <w:bookmarkStart w:id="14" w:name="kaufpreis"/>
    <w:p>
      <w:pPr>
        <w:pStyle w:val="Heading1"/>
      </w:pPr>
      <w:r>
        <w:t xml:space="preserve">§ 2 Kaufpreis</w:t>
      </w:r>
    </w:p>
    <w:p>
      <w:pPr>
        <w:pStyle w:val="FirstParagraph"/>
      </w:pPr>
      <w:r>
        <w:rPr>
          <w:b/>
          <w:bCs/>
        </w:rPr>
        <w:t xml:space="preserve">2.1</w:t>
      </w:r>
      <w:r>
        <w:t xml:space="preserve"> </w:t>
      </w:r>
      <w:r>
        <w:t xml:space="preserve">Der Kaufpreis für den Kaufgegenstand beträgt insgesamt</w:t>
      </w:r>
    </w:p>
    <w:p>
      <w:pPr>
        <w:pStyle w:val="BlockText"/>
      </w:pPr>
      <w:r>
        <w:rPr>
          <w:b/>
          <w:bCs/>
        </w:rPr>
        <w:t xml:space="preserve">789.500,00 EUR</w:t>
      </w:r>
    </w:p>
    <w:p>
      <w:pPr>
        <w:pStyle w:val="FirstParagraph"/>
      </w:pPr>
      <w:r>
        <w:t xml:space="preserve">zzgl. eines Aufpreises für den Tiefgaragenstellplatz von 38 500,00 EUR. Der Gesamtkaufpreis beträgt damit 828 000,00 EUR.</w:t>
      </w:r>
    </w:p>
    <w:p>
      <w:pPr>
        <w:pStyle w:val="BodyText"/>
      </w:pPr>
      <w:r>
        <w:rPr>
          <w:b/>
          <w:bCs/>
        </w:rPr>
        <w:t xml:space="preserve">2.2</w:t>
      </w:r>
      <w:r>
        <w:t xml:space="preserve"> </w:t>
      </w:r>
      <w:r>
        <w:t xml:space="preserve">Der Kaufpreis ist ein Fest-Kaufpreis. Er umfasst sämtliche Leistungen entsprechend der Herstellungsverpflichtung in § 5.</w:t>
      </w:r>
    </w:p>
    <w:p>
      <w:pPr>
        <w:pStyle w:val="BodyText"/>
      </w:pPr>
      <w:r>
        <w:rPr>
          <w:b/>
          <w:bCs/>
        </w:rPr>
        <w:t xml:space="preserve">2.3</w:t>
      </w:r>
      <w:r>
        <w:t xml:space="preserve"> </w:t>
      </w:r>
      <w:r>
        <w:t xml:space="preserve">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bookmarkEnd w:id="14"/>
    <w:bookmarkStart w:id="15" w:name="kaufpreiszahlung-fälligkeit"/>
    <w:p>
      <w:pPr>
        <w:pStyle w:val="Heading1"/>
      </w:pPr>
      <w:r>
        <w:t xml:space="preserve">§ 3 Kaufpreiszahlung, Fälligkeit</w:t>
      </w:r>
    </w:p>
    <w:p>
      <w:pPr>
        <w:pStyle w:val="FirstParagraph"/>
      </w:pPr>
      <w:r>
        <w:rPr>
          <w:b/>
          <w:bCs/>
        </w:rPr>
        <w:t xml:space="preserve">3.1</w:t>
      </w:r>
      <w:r>
        <w:t xml:space="preserve"> </w:t>
      </w:r>
      <w:r>
        <w:t xml:space="preserve">Die Kaufpreiszahlungen sind frühestens fällig und zahlbar, wenn</w:t>
      </w:r>
    </w:p>
    <w:p>
      <w:pPr>
        <w:pStyle w:val="BodyText"/>
      </w:pPr>
      <w:r>
        <w:t xml:space="preserve">3.1.1 der Notar den Parteien schriftlich mitgeteilt hat, dass</w:t>
      </w:r>
    </w:p>
    <w:p>
      <w:pPr>
        <w:numPr>
          <w:ilvl w:val="0"/>
          <w:numId w:val="1001"/>
        </w:numPr>
      </w:pPr>
      <w:r>
        <w:t xml:space="preserve">der Vertrag rechtswirksam zustande gekommen ist,</w:t>
      </w:r>
    </w:p>
    <w:p>
      <w:pPr>
        <w:numPr>
          <w:ilvl w:val="0"/>
          <w:numId w:val="1001"/>
        </w:numPr>
      </w:pPr>
      <w:r>
        <w:t xml:space="preserve">die Eintragung der Auflassungsvormerkung zugunsten des Käufers im Grundbuch eingetragen oder eintragungsbereit beantragt ist,</w:t>
      </w:r>
    </w:p>
    <w:p>
      <w:pPr>
        <w:numPr>
          <w:ilvl w:val="0"/>
          <w:numId w:val="1001"/>
        </w:numPr>
      </w:pPr>
      <w:r>
        <w:t xml:space="preserve">die Lastenfreistellungserklärung der Pommersche Hypotheken-Bank AG für den Kaufgegenstand vorliegt oder die Vorlage zugesichert ist,</w:t>
      </w:r>
    </w:p>
    <w:p>
      <w:pPr>
        <w:pStyle w:val="FirstParagraph"/>
      </w:pPr>
      <w:r>
        <w:t xml:space="preserve">3.1.2 sowie die Baugenehmigung für Haus 4 vorliegt oder, wenn eine Baugenehmigung nicht oder nicht rechtzeitig erforderlich ist, mit dem Bau begonnen werden darf.</w:t>
      </w:r>
    </w:p>
    <w:p>
      <w:pPr>
        <w:pStyle w:val="BodyText"/>
      </w:pPr>
      <w:r>
        <w:rPr>
          <w:b/>
          <w:bCs/>
        </w:rPr>
        <w:t xml:space="preserve">3.2</w:t>
      </w:r>
      <w:r>
        <w:t xml:space="preserve"> </w:t>
      </w:r>
      <w:r>
        <w:t xml:space="preserve">Der Käufer hat den Kaufpreis nach folgendem Ratenplan zu zahlen, wobei der Verkäufer die Raten entsprechend dem tatsächlichen Bauablauf in acht Teilbeträgen anfordern wird: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Rate</w:t>
            </w:r>
          </w:p>
        </w:tc>
        <w:tc>
          <w:tcPr/>
          <w:p>
            <w:pPr>
              <w:pStyle w:val="Compact"/>
            </w:pPr>
            <w:r>
              <w:t xml:space="preserve">Stichmonat</w:t>
            </w:r>
          </w:p>
        </w:tc>
        <w:tc>
          <w:tcPr/>
          <w:p>
            <w:pPr>
              <w:pStyle w:val="Compact"/>
            </w:pPr>
            <w:r>
              <w:t xml:space="preserve">Anteil</w:t>
            </w:r>
          </w:p>
        </w:tc>
      </w:tr>
      <w:tr>
        <w:tc>
          <w:tcPr/>
          <w:p>
            <w:pPr>
              <w:pStyle w:val="Compact"/>
            </w:pPr>
            <w:r>
              <w:t xml:space="preserve">1. Rate</w:t>
            </w:r>
          </w:p>
        </w:tc>
        <w:tc>
          <w:tcPr/>
          <w:p>
            <w:pPr>
              <w:pStyle w:val="Compact"/>
            </w:pPr>
            <w:r>
              <w:t xml:space="preserve">mit Wirksamkeit des Vertrages und Vorliegen der Voraussetzungen nach § 3.1, jedoch vor Beginn der Erdarbeiten</w:t>
            </w:r>
          </w:p>
        </w:tc>
        <w:tc>
          <w:tcPr/>
          <w:p>
            <w:pPr>
              <w:pStyle w:val="Compact"/>
            </w:pPr>
            <w:r>
              <w:t xml:space="preserve">56,0 %</w:t>
            </w:r>
          </w:p>
        </w:tc>
      </w:tr>
      <w:tr>
        <w:tc>
          <w:tcPr/>
          <w:p>
            <w:pPr>
              <w:pStyle w:val="Compact"/>
            </w:pPr>
            <w:r>
              <w:t xml:space="preserve">2. Rate</w:t>
            </w:r>
          </w:p>
        </w:tc>
        <w:tc>
          <w:tcPr/>
          <w:p>
            <w:pPr>
              <w:pStyle w:val="Compact"/>
            </w:pPr>
            <w:r>
              <w:t xml:space="preserve">nach Beginn der Erdarbeiten</w:t>
            </w:r>
          </w:p>
        </w:tc>
        <w:tc>
          <w:tcPr/>
          <w:p>
            <w:pPr>
              <w:pStyle w:val="Compact"/>
            </w:pPr>
            <w:r>
              <w:t xml:space="preserve">9,0 %</w:t>
            </w:r>
          </w:p>
        </w:tc>
      </w:tr>
      <w:tr>
        <w:tc>
          <w:tcPr/>
          <w:p>
            <w:pPr>
              <w:pStyle w:val="Compact"/>
            </w:pPr>
            <w:r>
              <w:t xml:space="preserve">3. Rate</w:t>
            </w:r>
          </w:p>
        </w:tc>
        <w:tc>
          <w:tcPr/>
          <w:p>
            <w:pPr>
              <w:pStyle w:val="Compact"/>
            </w:pPr>
            <w:r>
              <w:t xml:space="preserve">nach Rohbaufertigstellung einschließlich Zimmererarbeiten</w:t>
            </w:r>
          </w:p>
        </w:tc>
        <w:tc>
          <w:tcPr/>
          <w:p>
            <w:pPr>
              <w:pStyle w:val="Compact"/>
            </w:pPr>
            <w:r>
              <w:t xml:space="preserve">8,0 %</w:t>
            </w:r>
          </w:p>
        </w:tc>
      </w:tr>
      <w:tr>
        <w:tc>
          <w:tcPr/>
          <w:p>
            <w:pPr>
              <w:pStyle w:val="Compact"/>
            </w:pPr>
            <w:r>
              <w:t xml:space="preserve">4. Rate</w:t>
            </w:r>
          </w:p>
        </w:tc>
        <w:tc>
          <w:tcPr/>
          <w:p>
            <w:pPr>
              <w:pStyle w:val="Compact"/>
            </w:pPr>
            <w:r>
              <w:t xml:space="preserve">nach Ausführung der Rohinstallation der Heizungs-, Sanitär- und Elektroanlagen sowie nach Fenstereinbau</w:t>
            </w:r>
          </w:p>
        </w:tc>
        <w:tc>
          <w:tcPr/>
          <w:p>
            <w:pPr>
              <w:pStyle w:val="Compact"/>
            </w:pPr>
            <w:r>
              <w:t xml:space="preserve">7,5 %</w:t>
            </w:r>
          </w:p>
        </w:tc>
      </w:tr>
      <w:tr>
        <w:tc>
          <w:tcPr/>
          <w:p>
            <w:pPr>
              <w:pStyle w:val="Compact"/>
            </w:pPr>
            <w:r>
              <w:t xml:space="preserve">5. Rate</w:t>
            </w:r>
          </w:p>
        </w:tc>
        <w:tc>
          <w:tcPr/>
          <w:p>
            <w:pPr>
              <w:pStyle w:val="Compact"/>
            </w:pPr>
            <w:r>
              <w:t xml:space="preserve">nach Innenputz und Estrich</w:t>
            </w:r>
          </w:p>
        </w:tc>
        <w:tc>
          <w:tcPr/>
          <w:p>
            <w:pPr>
              <w:pStyle w:val="Compact"/>
            </w:pPr>
            <w:r>
              <w:t xml:space="preserve">6,0 %</w:t>
            </w:r>
          </w:p>
        </w:tc>
      </w:tr>
      <w:tr>
        <w:tc>
          <w:tcPr/>
          <w:p>
            <w:pPr>
              <w:pStyle w:val="Compact"/>
            </w:pPr>
            <w:r>
              <w:t xml:space="preserve">6. Rate</w:t>
            </w:r>
          </w:p>
        </w:tc>
        <w:tc>
          <w:tcPr/>
          <w:p>
            <w:pPr>
              <w:pStyle w:val="Compact"/>
            </w:pPr>
            <w:r>
              <w:t xml:space="preserve">nach Herstellung der Dachflächen, Fassadenarbeiten und Fliesenarbeiten</w:t>
            </w:r>
          </w:p>
        </w:tc>
        <w:tc>
          <w:tcPr/>
          <w:p>
            <w:pPr>
              <w:pStyle w:val="Compact"/>
            </w:pPr>
            <w:r>
              <w:t xml:space="preserve">5,0 %</w:t>
            </w:r>
          </w:p>
        </w:tc>
      </w:tr>
      <w:tr>
        <w:tc>
          <w:tcPr/>
          <w:p>
            <w:pPr>
              <w:pStyle w:val="Compact"/>
            </w:pPr>
            <w:r>
              <w:t xml:space="preserve">7. Rate</w:t>
            </w:r>
          </w:p>
        </w:tc>
        <w:tc>
          <w:tcPr/>
          <w:p>
            <w:pPr>
              <w:pStyle w:val="Compact"/>
            </w:pPr>
            <w:r>
              <w:t xml:space="preserve">nach Bezugsfertigkeit</w:t>
            </w:r>
          </w:p>
        </w:tc>
        <w:tc>
          <w:tcPr/>
          <w:p>
            <w:pPr>
              <w:pStyle w:val="Compact"/>
            </w:pPr>
            <w:r>
              <w:t xml:space="preserve">5,5 %</w:t>
            </w:r>
          </w:p>
        </w:tc>
      </w:tr>
      <w:tr>
        <w:tc>
          <w:tcPr/>
          <w:p>
            <w:pPr>
              <w:pStyle w:val="Compact"/>
            </w:pPr>
            <w:r>
              <w:t xml:space="preserve">8. Rate</w:t>
            </w:r>
          </w:p>
        </w:tc>
        <w:tc>
          <w:tcPr/>
          <w:p>
            <w:pPr>
              <w:pStyle w:val="Compact"/>
            </w:pPr>
            <w:r>
              <w:t xml:space="preserve">nach vollständiger Fertigstellung und Übergabe sämtlicher Außenanlagen</w:t>
            </w:r>
          </w:p>
        </w:tc>
        <w:tc>
          <w:tcPr/>
          <w:p>
            <w:pPr>
              <w:pStyle w:val="Compact"/>
            </w:pPr>
            <w:r>
              <w:t xml:space="preserve">3,0 %</w:t>
            </w:r>
          </w:p>
        </w:tc>
      </w:tr>
    </w:tbl>
    <w:p>
      <w:pPr>
        <w:pStyle w:val="BodyText"/>
      </w:pPr>
      <w:r>
        <w:t xml:space="preserve">Die Raten sind jeweils zur Zahlung fällig, wenn der Verkäufer den Käufer unter Vorlage einer Bestätigung des Bauleiters über den Baufortschritt schriftlich zur Zahlung aufgefordert hat. Eine Vor-Ort-Prüfung des Bautenstandes durch den Käufer oder eine von ihm beauftragte Person ist nicht erforderlich; der Käufer erkennt die Bauleiterbestätigung als ausreichenden Nachweis an.</w:t>
      </w:r>
    </w:p>
    <w:p>
      <w:pPr>
        <w:pStyle w:val="BodyText"/>
      </w:pPr>
      <w:r>
        <w:t xml:space="preserve">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p>
      <w:pPr>
        <w:pStyle w:val="BodyText"/>
      </w:pPr>
      <w:r>
        <w:t xml:space="preserve">Im Verzugsfall trägt der Käufer die Beweislast dafür, dass den Verkäufer ein Verschulden an der Verzögerung trifft. Der Verkäufer ist nach Eintritt des Verzugs berechtigt, die Eintragung der Auflassungsvormerkung gemäß § 10 dieses Vertrages beim Grundbuchamt durch einseitige Erklärung gegenüber dem amtierenden Notar zur Löschung zu bringen; einer Mitwirkung des Käufers bedarf es nicht.</w:t>
      </w:r>
    </w:p>
    <w:p>
      <w:pPr>
        <w:pStyle w:val="BodyText"/>
      </w:pPr>
      <w:r>
        <w:rPr>
          <w:b/>
          <w:bCs/>
        </w:rPr>
        <w:t xml:space="preserve">3.3</w:t>
      </w:r>
      <w:r>
        <w:t xml:space="preserve"> </w:t>
      </w:r>
      <w:r>
        <w:t xml:space="preserve">Vertragserfüllungssicherheit</w:t>
      </w:r>
    </w:p>
    <w:p>
      <w:pPr>
        <w:pStyle w:val="BodyText"/>
      </w:pPr>
      <w:r>
        <w:t xml:space="preserve">Der Verkäufer hat dem Käufer keine Sicherheit nach § 650m Abs. 2 BGB zu stellen. Die Parteien sind sich einig, dass eine Sicherheitsleistung in dieser Form für den vorliegenden Vertrag nicht erforderlich ist. Der Käufer verzichtet ausdrücklich auf etwaige weitergehende gesetzliche Sicherungsrechte, soweit dies rechtlich zulässig ist.</w:t>
      </w:r>
    </w:p>
    <w:p>
      <w:pPr>
        <w:pStyle w:val="BodyText"/>
      </w:pPr>
      <w:r>
        <w:rPr>
          <w:b/>
          <w:bCs/>
        </w:rPr>
        <w:t xml:space="preserve">3.4</w:t>
      </w:r>
      <w:r>
        <w:t xml:space="preserve"> </w:t>
      </w:r>
      <w:r>
        <w:t xml:space="preserve">Reservierungsgebühr. Die Parteien erklären, dass der Käufer vor der Beurkundung an den Verkäufer eine Reservierungsgebühr in Höhe von 22 000,00 EUR gezahlt hat. Diese Reservierungsgebühr wird mit der 1. Kaufpreisrate nicht verrechnet, sondern verbleibt als Entgelt für die Reservierungsleistung beim Verkäufer.</w:t>
      </w:r>
    </w:p>
    <w:p>
      <w:pPr>
        <w:pStyle w:val="BodyText"/>
      </w:pPr>
      <w:r>
        <w:rPr>
          <w:b/>
          <w:bCs/>
        </w:rPr>
        <w:t xml:space="preserve">3.5</w:t>
      </w:r>
      <w:r>
        <w:t xml:space="preserve"> </w:t>
      </w:r>
      <w:r>
        <w:t xml:space="preserve">Sonderwünsche. Sonderwünsche des Käufers außerhalb der Standardausstattung sind vor Beginn der jeweils betroffenen Bauleistung vollständig und im Voraus zu zahlen. Die Vergütung für individuelle Beratungen durch den Verkäufer beträgt 180,00 EUR netto je angefangener Beratungsstunde. Eine Verrechnung im MaBV-Ratenplan findet nicht statt.</w:t>
      </w:r>
    </w:p>
    <w:bookmarkEnd w:id="15"/>
    <w:bookmarkStart w:id="16" w:name="Xacd27a9a0599f387afb098c717c3b96c90edba0"/>
    <w:p>
      <w:pPr>
        <w:pStyle w:val="Heading1"/>
      </w:pPr>
      <w:r>
        <w:t xml:space="preserve">§ 4 Belastungsvollmacht, Kaufpreisfinanzierung</w:t>
      </w:r>
    </w:p>
    <w:p>
      <w:pPr>
        <w:pStyle w:val="FirstParagraph"/>
      </w:pPr>
      <w:r>
        <w:rPr>
          <w:b/>
          <w:bCs/>
        </w:rPr>
        <w:t xml:space="preserve">4.1</w:t>
      </w:r>
      <w:r>
        <w:t xml:space="preserve"> </w:t>
      </w:r>
      <w:r>
        <w:t xml:space="preserve">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p>
      <w:pPr>
        <w:pStyle w:val="BodyText"/>
      </w:pPr>
      <w:r>
        <w:rPr>
          <w:b/>
          <w:bCs/>
        </w:rPr>
        <w:t xml:space="preserve">4.2</w:t>
      </w:r>
      <w:r>
        <w:t xml:space="preserve"> </w:t>
      </w:r>
      <w:r>
        <w:t xml:space="preserve">Eine persönliche Haftung des Käufers darf dabei begründet werden, soweit dies die finanzierende Bank zur Auszahlung der Darlehensvaluta verlangt. Eine betragsmäßige Begrenzung der persönlichen Haftung ist nicht erforderlich.</w:t>
      </w:r>
    </w:p>
    <w:p>
      <w:pPr>
        <w:pStyle w:val="BodyText"/>
      </w:pPr>
      <w:r>
        <w:rPr>
          <w:b/>
          <w:bCs/>
        </w:rPr>
        <w:t xml:space="preserve">4.3</w:t>
      </w:r>
      <w:r>
        <w:t xml:space="preserve"> </w:t>
      </w:r>
      <w:r>
        <w:t xml:space="preserve">Die Grundpfandrechte können in jeder Höhe und mit jeder gesetzlich zulässigen Verzinsung bestellt werden, ohne dass eine betragsmäßige Obergrenze einzuhalten ist. Der Käufer trägt sämtliche damit verbundenen Kosten.</w:t>
      </w:r>
    </w:p>
    <w:bookmarkEnd w:id="16"/>
    <w:bookmarkStart w:id="17" w:name="baupflicht-baubeschreibung"/>
    <w:p>
      <w:pPr>
        <w:pStyle w:val="Heading1"/>
      </w:pPr>
      <w:r>
        <w:t xml:space="preserve">§ 5 Baupflicht, Baubeschreibung</w:t>
      </w:r>
    </w:p>
    <w:p>
      <w:pPr>
        <w:pStyle w:val="FirstParagraph"/>
      </w:pPr>
      <w:r>
        <w:rPr>
          <w:b/>
          <w:bCs/>
        </w:rPr>
        <w:t xml:space="preserve">5.1</w:t>
      </w:r>
      <w:r>
        <w:t xml:space="preserve"> </w:t>
      </w:r>
      <w:r>
        <w:t xml:space="preserve">Der Verkäufer verpflichtet sich, den Kaufgegenstand nach Maßgabe der Baubeschreibung in der Fassung Februar 2026, Version 7.2, der Bezugsurkunden und der diesem Vertrag zugrunde liegenden Pläne herzustellen.</w:t>
      </w:r>
    </w:p>
    <w:p>
      <w:pPr>
        <w:pStyle w:val="BodyText"/>
      </w:pPr>
      <w:r>
        <w:rPr>
          <w:b/>
          <w:bCs/>
        </w:rPr>
        <w:t xml:space="preserve">5.3</w:t>
      </w:r>
      <w:r>
        <w:t xml:space="preserve"> </w:t>
      </w:r>
      <w:r>
        <w:t xml:space="preserve">Soweit die Baubeschreibung Wahlmöglichkeiten bei Material, Farbe oder Form vorsieht, erhält der Käufer im Rahmen einer Bemusterung die Möglichkeit, sofern der Baufortschritt es noch zulässt, eine entsprechende Auswahl zu treffen.</w:t>
      </w:r>
    </w:p>
    <w:p>
      <w:pPr>
        <w:pStyle w:val="BodyText"/>
      </w:pPr>
      <w:r>
        <w:t xml:space="preserve">Die Bemusterung erfolgt im vom Verkäufer benannten Bemusterungszentrum Berlin-Schöneberg. Im Kaufpreis enthalten sind drei Beratungsstunden. Darüber hinausgehender Beratungsaufwand des Verkäufers ist durch den Käufer mit einem Stundensatz von 180,00 EUR netto zu vergüten.</w:t>
      </w:r>
    </w:p>
    <w:p>
      <w:pPr>
        <w:pStyle w:val="BodyText"/>
      </w:pPr>
      <w:r>
        <w:t xml:space="preserve">Die Bemusterung hat spätestens vier Wochen nach Aufforderung des Verkäufers stattzufinden. Reagiert der Käufer auf die Aufforderung nicht oder nicht rechtzeitig, wählt der Verkäufer nach billigem Ermessen aus der Standardausstattung aus; ein Anspruch auf nachträgliche Änderung besteht nicht.</w:t>
      </w:r>
    </w:p>
    <w:p>
      <w:pPr>
        <w:pStyle w:val="BodyText"/>
      </w:pPr>
      <w:r>
        <w:rPr>
          <w:b/>
          <w:bCs/>
        </w:rPr>
        <w:t xml:space="preserve">5.4</w:t>
      </w:r>
      <w:r>
        <w:t xml:space="preserve"> </w:t>
      </w:r>
      <w:r>
        <w:t xml:space="preserve">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p>
      <w:pPr>
        <w:pStyle w:val="BodyText"/>
      </w:pPr>
      <w:r>
        <w:rPr>
          <w:b/>
          <w:bCs/>
        </w:rPr>
        <w:t xml:space="preserve">5.5</w:t>
      </w:r>
      <w:r>
        <w:t xml:space="preserve"> </w:t>
      </w:r>
      <w:r>
        <w:t xml:space="preserve">Soweit die Baubeschreibung keine oder unbestimmte Angaben hinsichtlich notwendiger Leistungen enthält, ist der Verkäufer gemäß § 315 BGB zur Leistungsbestimmung nach billigem Ermessen berechtigt. Die von dem Verkäufer bestimmte Leistung muss von einfacher Art und Güte sein und der allgemeinen Qualität des Bauvorhabens entsprechen.</w:t>
      </w:r>
    </w:p>
    <w:p>
      <w:pPr>
        <w:pStyle w:val="BodyText"/>
      </w:pPr>
      <w:r>
        <w:rPr>
          <w:b/>
          <w:bCs/>
        </w:rPr>
        <w:t xml:space="preserve">5.6</w:t>
      </w:r>
      <w:r>
        <w:t xml:space="preserve"> </w:t>
      </w:r>
      <w:r>
        <w:t xml:space="preserve">Der Verkäufer hat die Leistungen nach den anerkannten Regeln der Technik</w:t>
      </w:r>
      <w:r>
        <w:t xml:space="preserve"> </w:t>
      </w:r>
      <w:r>
        <w:rPr>
          <w:b/>
          <w:bCs/>
        </w:rPr>
        <w:t xml:space="preserve">zum Tag der Erteilung der Baugenehmigung</w:t>
      </w:r>
      <w:r>
        <w:t xml:space="preserve"> </w:t>
      </w:r>
      <w:r>
        <w:t xml:space="preserve">zu errichten. Spätere Änderungen der anerkannten Regeln der Technik wirken sich auf die geschuldete Leistung nicht aus.</w:t>
      </w:r>
    </w:p>
    <w:p>
      <w:pPr>
        <w:pStyle w:val="BodyText"/>
      </w:pPr>
      <w:r>
        <w:rPr>
          <w:b/>
          <w:bCs/>
        </w:rPr>
        <w:t xml:space="preserve">5.7</w:t>
      </w:r>
      <w:r>
        <w:t xml:space="preserve"> </w:t>
      </w:r>
      <w:r>
        <w:t xml:space="preserve">Änderungen in Planung und Ausführung durch den Verkäufer sind zulässig, wenn sie aufgrund behördlicher Vorgaben oder Auflagen, Gesetzesänderungen, statischer Notwendigkeit, Bauablauf-Erfordernissen oder sonstigen Rechtsgründen erforderlich sind.</w:t>
      </w:r>
    </w:p>
    <w:p>
      <w:pPr>
        <w:pStyle w:val="BodyText"/>
      </w:pPr>
      <w:r>
        <w:rPr>
          <w:b/>
          <w:bCs/>
        </w:rPr>
        <w:t xml:space="preserve">5.8</w:t>
      </w:r>
      <w:r>
        <w:t xml:space="preserve"> </w:t>
      </w:r>
      <w:r>
        <w:t xml:space="preserve">Termine</w:t>
      </w:r>
    </w:p>
    <w:p>
      <w:pPr>
        <w:pStyle w:val="BodyText"/>
      </w:pPr>
      <w:r>
        <w:t xml:space="preserve">5.8.1 Der Verkäufer wird die gemäß § 5.1 geschuldeten Bauleistungen voraussichtlich bis 30.09.2027 bezugsfertig herstellen.</w:t>
      </w:r>
    </w:p>
    <w:p>
      <w:pPr>
        <w:pStyle w:val="BodyText"/>
      </w:pPr>
      <w:r>
        <w:t xml:space="preserve">Behinderungen bei der Herstellung des Bauvorhabens aus Umständen, die vom Verkäufer nicht zu vertreten sind, z. B. höhere Gewalt, Pandemielagen, Lieferengpässe, Streik, Aussperrung, Witterungsverhältnisse einschließlich Hitze- und Kälteperioden, Wechselkursbewegungen bei Baustoffen, Personalengpässe oder sonstige für den Verkäufer unabwendbare oder nicht zumutbare Umstände, verlängern die jeweils betroffene Herstellungsfrist um die Dauer der Behinderung zuzüglich eines angemessenen Zuschlags für die Wiederaufnahme.</w:t>
      </w:r>
    </w:p>
    <w:p>
      <w:pPr>
        <w:pStyle w:val="BodyText"/>
      </w:pPr>
      <w:r>
        <w:t xml:space="preserve">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p>
      <w:pPr>
        <w:pStyle w:val="BodyText"/>
      </w:pPr>
      <w:r>
        <w:rPr>
          <w:b/>
          <w:bCs/>
        </w:rPr>
        <w:t xml:space="preserve">5.9</w:t>
      </w:r>
      <w:r>
        <w:t xml:space="preserve"> </w:t>
      </w:r>
      <w:r>
        <w:t xml:space="preserve">Wohnfläche</w:t>
      </w:r>
    </w:p>
    <w:p>
      <w:pPr>
        <w:pStyle w:val="BodyText"/>
      </w:pPr>
      <w:r>
        <w:t xml:space="preserve">5.9.1 Die nach Maßgabe des § 5.1 herzustellende Wohnfläche beträgt ca. 118,4 m². Die Flächenberechnung erfolgt nach DIN 277.</w:t>
      </w:r>
    </w:p>
    <w:p>
      <w:pPr>
        <w:pStyle w:val="BodyText"/>
      </w:pPr>
      <w:r>
        <w:t xml:space="preserve">5.9.2 Aus einer Unterschreitung der vorstehenden Wohnfläche kann der Käufer nur Rechte herleiten, wenn die Unterschreitung 8 % der vorstehenden Wohnfläche übersteigt.</w:t>
      </w:r>
    </w:p>
    <w:p>
      <w:pPr>
        <w:pStyle w:val="BodyText"/>
      </w:pPr>
      <w:r>
        <w:rPr>
          <w:b/>
          <w:bCs/>
        </w:rPr>
        <w:t xml:space="preserve">5.10</w:t>
      </w:r>
      <w:r>
        <w:t xml:space="preserve"> </w:t>
      </w:r>
      <w:r>
        <w:t xml:space="preserve">Energiestandard. Das Bauvorhaben wird nach den zum Tag der Baugenehmigung geltenden energetischen Anforderungen errichtet. Eine bestimmte KfW-Effizienzhausklasse oder ein bestimmter GEG-Standard wird nicht geschuldet.</w:t>
      </w:r>
    </w:p>
    <w:p>
      <w:pPr>
        <w:pStyle w:val="BodyText"/>
      </w:pPr>
      <w:r>
        <w:rPr>
          <w:b/>
          <w:bCs/>
        </w:rPr>
        <w:t xml:space="preserve">5.11</w:t>
      </w:r>
      <w:r>
        <w:t xml:space="preserve"> </w:t>
      </w:r>
      <w:r>
        <w:t xml:space="preserve">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bookmarkEnd w:id="17"/>
    <w:bookmarkStart w:id="18" w:name="Xf95df7023395c5238d26d19148165edbf6ad5ae"/>
    <w:p>
      <w:pPr>
        <w:pStyle w:val="Heading1"/>
      </w:pPr>
      <w:r>
        <w:t xml:space="preserve">§ 6 Wirtschaftlicher Besitzübergang, Abnahme, Schlüsselübergabe</w:t>
      </w:r>
    </w:p>
    <w:p>
      <w:pPr>
        <w:pStyle w:val="FirstParagraph"/>
      </w:pPr>
      <w:r>
        <w:rPr>
          <w:b/>
          <w:bCs/>
        </w:rPr>
        <w:t xml:space="preserve">6.1</w:t>
      </w:r>
      <w:r>
        <w:t xml:space="preserve"> </w:t>
      </w:r>
      <w:r>
        <w:t xml:space="preserve">Besitz, Nutzen, Lasten, Steuern, Abgaben und Gefahren des Kaufgegenstandes gehen mit dem Tag der Übergabe der Sondereigentumseinheit auf den Käufer über. Die Schlüsselübergabe an den Käufer erfolgt erst nach vollständiger Zahlung des Gesamtkaufpreises einschließlich aller Sonderwunsch- und Mehrkostenbeträge. Bestehende, der Übergabe nicht entgegenstehende Mängel berechtigen den Käufer nicht zur Verweigerung der Zahlung der Schlussrate oder zur Forderung nach Schlüsselübergabe Zug um Zug gegen Sicherheitsleistung.</w:t>
      </w:r>
    </w:p>
    <w:p>
      <w:pPr>
        <w:pStyle w:val="BodyText"/>
      </w:pPr>
      <w:r>
        <w:rPr>
          <w:b/>
          <w:bCs/>
        </w:rPr>
        <w:t xml:space="preserve">6.2</w:t>
      </w:r>
      <w:r>
        <w:t xml:space="preserve"> </w:t>
      </w:r>
      <w:r>
        <w:t xml:space="preserve">Abnahme der Sondereigentumseinheit</w:t>
      </w:r>
    </w:p>
    <w:p>
      <w:pPr>
        <w:pStyle w:val="BodyText"/>
      </w:pPr>
      <w:r>
        <w:t xml:space="preserve">6.2.1 Die Sondereigentumseinheit wird vor Bezug nach einer gemeinsamen Begehung abgenommen. Hierzu teilt der Verkäufer dem Käufer schriftlich die bezugsfertige Herstellung mit und fordert ihn unter Setzung einer Frist von zehn Tagen zur Begehung und Abnahme auf.</w:t>
      </w:r>
    </w:p>
    <w:p>
      <w:pPr>
        <w:pStyle w:val="BodyText"/>
      </w:pPr>
      <w:r>
        <w:t xml:space="preserve">Erscheint der Käufer zum mitgeteilten Termin nicht oder verweigert er die Unterzeichnung der Niederschrift ohne Angabe eines Grundes, gilt die Sondereigentumseinheit mit Ablauf des Termins als abgenommen. Ein gesonderter Hinweis nach § 640 Abs. 2 S. 2 BGB ist hierfür nicht erforderlich, da der Käufer mit Unterzeichnung dieses Vertrages bereits umfassend belehrt worden ist.</w:t>
      </w:r>
    </w:p>
    <w:p>
      <w:pPr>
        <w:pStyle w:val="BodyText"/>
      </w:pPr>
      <w:r>
        <w:t xml:space="preserve">6.2.2 Schönheitsfehler und geringfügige Abweichungen, deren Beseitigung nicht mehr als 3 % der Sondereigentumsteilbetragssumme erfordern würde, sind als gewöhnlich und vertragsgemäß hinzunehmen und begründen keine Mängelrechte.</w:t>
      </w:r>
    </w:p>
    <w:p>
      <w:pPr>
        <w:pStyle w:val="BodyText"/>
      </w:pPr>
      <w:r>
        <w:rPr>
          <w:b/>
          <w:bCs/>
        </w:rPr>
        <w:t xml:space="preserve">6.3</w:t>
      </w:r>
      <w:r>
        <w:t xml:space="preserve"> </w:t>
      </w:r>
      <w:r>
        <w:t xml:space="preserve">Abnahme des Gemeinschaftseigentums</w:t>
      </w:r>
    </w:p>
    <w:p>
      <w:pPr>
        <w:pStyle w:val="BodyText"/>
      </w:pPr>
      <w:r>
        <w:t xml:space="preserve">6.3.1 Die Abnahme des Gemeinschaftseigentums obliegt der WEG-Verwaltung, die vom Verkäufer als Erstverwalter eingesetzt wird. Die WEG-Verwaltung ist berechtigt und verpflichtet, das Gemeinschaftseigentum nach Fertigstellung mit Wirkung für und gegen sämtliche Erwerber abzunehmen.</w:t>
      </w:r>
    </w:p>
    <w:p>
      <w:pPr>
        <w:pStyle w:val="BodyText"/>
      </w:pPr>
      <w:r>
        <w:t xml:space="preserve">6.3.2 Der vom Verkäufer eingesetzte Erstverwalter wird die Abnahme nach Begutachtung durch einen vom Verkäufer benannten Sachverständigen erklären. Die Kosten des Sachverständigen tragen Verkäufer und Käufer hälftig.</w:t>
      </w:r>
    </w:p>
    <w:p>
      <w:pPr>
        <w:pStyle w:val="BodyText"/>
      </w:pPr>
      <w:r>
        <w:t xml:space="preserve">6.3.3 Reicht die Begutachtung durch den Sachverständigen aus, gilt die Abnahme mit Übermittlung der Abnahmeerklärung an die WEG-Verwaltung als erfolgt; einer Mitwirkung der einzelnen Erwerber bedarf es nicht.</w:t>
      </w:r>
    </w:p>
    <w:bookmarkEnd w:id="18"/>
    <w:bookmarkStart w:id="19" w:name="erschließungskosten"/>
    <w:p>
      <w:pPr>
        <w:pStyle w:val="Heading1"/>
      </w:pPr>
      <w:r>
        <w:t xml:space="preserve">§ 7 Erschließungskosten</w:t>
      </w:r>
    </w:p>
    <w:p>
      <w:pPr>
        <w:pStyle w:val="FirstParagraph"/>
      </w:pPr>
      <w:r>
        <w:rPr>
          <w:b/>
          <w:bCs/>
        </w:rPr>
        <w:t xml:space="preserve">7.1</w:t>
      </w:r>
      <w:r>
        <w:t xml:space="preserve"> </w:t>
      </w:r>
      <w:r>
        <w:t xml:space="preserve">Sämtliche Kosten der Erschließung sowie der erstmaligen Anschlüsse des Kaufgegenstandes an Ver- und Entsorgungsanlagen einschließlich Anschlussgebühren, Herstellungsbeiträge und Abgaben nach den entsprechenden Verordnungen des Landes Brandenburg trägt der Käufer anteilig nach seinem Miteigentumsanteil.</w:t>
      </w:r>
    </w:p>
    <w:p>
      <w:pPr>
        <w:pStyle w:val="BodyText"/>
      </w:pPr>
      <w:r>
        <w:rPr>
          <w:b/>
          <w:bCs/>
        </w:rPr>
        <w:t xml:space="preserve">7.2</w:t>
      </w:r>
      <w:r>
        <w:t xml:space="preserve"> </w:t>
      </w:r>
      <w:r>
        <w:t xml:space="preserve">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bookmarkEnd w:id="19"/>
    <w:bookmarkStart w:id="20" w:name="zutritt-zur-baustelle"/>
    <w:p>
      <w:pPr>
        <w:pStyle w:val="Heading1"/>
      </w:pPr>
      <w:r>
        <w:t xml:space="preserve">§ 8 Zutritt zur Baustelle</w:t>
      </w:r>
    </w:p>
    <w:p>
      <w:pPr>
        <w:pStyle w:val="FirstParagraph"/>
      </w:pPr>
      <w:r>
        <w:rPr>
          <w:b/>
          <w:bCs/>
        </w:rPr>
        <w:t xml:space="preserve">8.1</w:t>
      </w:r>
      <w:r>
        <w:t xml:space="preserve"> </w:t>
      </w:r>
      <w:r>
        <w:t xml:space="preserve">Der Käufer darf das Grundstück während der Bauzeit nicht ohne ausdrückliche schriftliche Zustimmung des Verkäufers betreten. Eigene Bautenstandskontrollen sind nicht zulässig. Verstöße gegen diese Regelung berechtigen den Verkäufer zur Geltendmachung einer Vertragsstrafe in Höhe von 2 500,00 EUR pro Vorfall.</w:t>
      </w:r>
    </w:p>
    <w:bookmarkEnd w:id="20"/>
    <w:bookmarkStart w:id="21" w:name="haftung-mängelrechte-verzug-verjährung"/>
    <w:p>
      <w:pPr>
        <w:pStyle w:val="Heading1"/>
      </w:pPr>
      <w:r>
        <w:t xml:space="preserve">§ 9 Haftung, Mängelrechte, Verzug, Verjährung</w:t>
      </w:r>
    </w:p>
    <w:p>
      <w:pPr>
        <w:pStyle w:val="FirstParagraph"/>
      </w:pPr>
      <w:r>
        <w:rPr>
          <w:b/>
          <w:bCs/>
        </w:rPr>
        <w:t xml:space="preserve">9.1</w:t>
      </w:r>
      <w:r>
        <w:t xml:space="preserve"> </w:t>
      </w:r>
      <w:r>
        <w:t xml:space="preserve">Der Verkäufer schuldet den lastenfreien Besitz- und Eigentumsübergang des Vertragsgegenstandes, soweit nicht Lasten und Rechte ausdrücklich übernommen werden.</w:t>
      </w:r>
    </w:p>
    <w:p>
      <w:pPr>
        <w:pStyle w:val="BodyText"/>
      </w:pPr>
      <w:r>
        <w:rPr>
          <w:b/>
          <w:bCs/>
        </w:rPr>
        <w:t xml:space="preserve">9.2</w:t>
      </w:r>
      <w:r>
        <w:t xml:space="preserve"> </w:t>
      </w:r>
      <w:r>
        <w:t xml:space="preserve">Der Verkäufer schuldet weder die Verwendbarkeit des Kaufgegenstandes für Zwecke des Käufers noch dessen Eignung zur Erreichung steuerlicher Ziele des Käufers.</w:t>
      </w:r>
    </w:p>
    <w:p>
      <w:pPr>
        <w:pStyle w:val="BodyText"/>
      </w:pPr>
      <w:r>
        <w:rPr>
          <w:b/>
          <w:bCs/>
        </w:rPr>
        <w:t xml:space="preserve">9.3</w:t>
      </w:r>
      <w:r>
        <w:t xml:space="preserve"> </w:t>
      </w:r>
      <w:r>
        <w:t xml:space="preserve">Alle Ansprüche und Rechte des Käufers wegen eines Sachmangels des Grundstücks sind ausgeschlossen, ausgenommen Schadensersatzansprüche wegen Vorsatzes.</w:t>
      </w:r>
    </w:p>
    <w:p>
      <w:pPr>
        <w:pStyle w:val="BodyText"/>
      </w:pPr>
      <w:r>
        <w:rPr>
          <w:b/>
          <w:bCs/>
        </w:rPr>
        <w:t xml:space="preserve">9.4</w:t>
      </w:r>
      <w:r>
        <w:t xml:space="preserve"> </w:t>
      </w:r>
      <w:r>
        <w:t xml:space="preserve">Hinsichtlich des herzustellenden Bauwerks gelten die Regelungen des Werkvertragsrechts gem. §§ 633 ff. BGB mit folgender Maßgabe:</w:t>
      </w:r>
    </w:p>
    <w:p>
      <w:pPr>
        <w:pStyle w:val="Compact"/>
        <w:numPr>
          <w:ilvl w:val="0"/>
          <w:numId w:val="1002"/>
        </w:numPr>
      </w:pPr>
      <w:r>
        <w:t xml:space="preserve">Der Käufer kann zuerst nur Nacherfüllung verlangen. Ist das Verlangen der Nacherfüllung unzumutbar, verweigert der Verkäufer die Nacherfüllung oder schlägt diese dreimal fehl, kann der Käufer — jeweils bei Vorliegen der gesetzlichen Voraussetzungen — den Kaufpreis angemessen mindern oder vom Vertrag zurücktreten.</w:t>
      </w:r>
    </w:p>
    <w:p>
      <w:pPr>
        <w:pStyle w:val="Compact"/>
        <w:numPr>
          <w:ilvl w:val="0"/>
          <w:numId w:val="1002"/>
        </w:numPr>
      </w:pPr>
      <w:r>
        <w:t xml:space="preserve">Das Selbstvornahmerecht des Käufers nach § 637 BGB ist ausgeschlossen.</w:t>
      </w:r>
    </w:p>
    <w:p>
      <w:pPr>
        <w:pStyle w:val="Compact"/>
        <w:numPr>
          <w:ilvl w:val="0"/>
          <w:numId w:val="1002"/>
        </w:numPr>
      </w:pPr>
      <w:r>
        <w:t xml:space="preserve">Mängel sind binnen einer Ausschlussfrist von 14 Kalendertagen nach Entdeckung schriftlich gegenüber dem Verkäufer per Einwurf-Einschreiben zu rügen. Nach Ablauf dieser Frist sind sämtliche Ansprüche und Rechte wegen des Mangels ausgeschlossen.</w:t>
      </w:r>
    </w:p>
    <w:p>
      <w:pPr>
        <w:pStyle w:val="Compact"/>
        <w:numPr>
          <w:ilvl w:val="0"/>
          <w:numId w:val="1002"/>
        </w:numPr>
      </w:pPr>
      <w:r>
        <w:t xml:space="preserve">Die Verjährungsfrist für Mängelansprüche beträgt zwei Jahre ab schriftlicher Abnahmebestätigung durch den Verkäufer.</w:t>
      </w:r>
    </w:p>
    <w:p>
      <w:pPr>
        <w:pStyle w:val="Compact"/>
        <w:numPr>
          <w:ilvl w:val="0"/>
          <w:numId w:val="1002"/>
        </w:numPr>
      </w:pPr>
      <w:r>
        <w:t xml:space="preserve">Mängelbeseitigung erfolgt durch vom Verkäufer benannte und beauftragte Handwerker. Die Beauftragung anderer Handwerker durch den Käufer entbindet den Verkäufer von jeder Verpflichtung.</w:t>
      </w:r>
    </w:p>
    <w:p>
      <w:pPr>
        <w:pStyle w:val="FirstParagraph"/>
      </w:pPr>
      <w:r>
        <w:rPr>
          <w:b/>
          <w:bCs/>
        </w:rPr>
        <w:t xml:space="preserve">9.5</w:t>
      </w:r>
      <w:r>
        <w:t xml:space="preserve"> </w:t>
      </w:r>
      <w:r>
        <w:t xml:space="preserve">Schäden an Gebrauchsteilen und sonstigen Bauteilen, die aufgrund bestimmungsgemäßen Gebrauches über eine nur begrenzte Nutzungsdauer verfügen und/oder ständiger Wartung bedürfen, stellen keinen Mangel dar.</w:t>
      </w:r>
    </w:p>
    <w:p>
      <w:pPr>
        <w:pStyle w:val="BodyText"/>
      </w:pPr>
      <w:r>
        <w:rPr>
          <w:b/>
          <w:bCs/>
        </w:rPr>
        <w:t xml:space="preserve">9.6</w:t>
      </w:r>
      <w:r>
        <w:t xml:space="preserve"> </w:t>
      </w:r>
      <w:r>
        <w:t xml:space="preserve">Der Verkäufer ist berechtigt, dem Käufer für den Fall, dass bei der Abnahme unwesentliche Mängel und/oder unwesentliche Restarbeiten festgestellt werden, eine unwiderrufliche selbstschuldnerische Bürgschaft eines Bürgen gemäß § 2 Abs. 2 MaBV zur Abwendung des Zurückbehaltungsrechts auszuhändigen. Die Bürgschaft ist vom Käufer mit Unterzeichnung des Abnahmeprotokolls unverzüglich an den Verkäufer zurückzugeben; die Rückgabe ist unabhängig davon zu erklären, ob die Restarbeiten tatsächlich erbracht oder die Mängel tatsächlich beseitigt sind.</w:t>
      </w:r>
    </w:p>
    <w:bookmarkEnd w:id="21"/>
    <w:bookmarkStart w:id="22" w:name="vormerkung"/>
    <w:p>
      <w:pPr>
        <w:pStyle w:val="Heading1"/>
      </w:pPr>
      <w:r>
        <w:t xml:space="preserve">§ 10 Vormerkung</w:t>
      </w:r>
    </w:p>
    <w:p>
      <w:pPr>
        <w:pStyle w:val="FirstParagraph"/>
      </w:pPr>
      <w:r>
        <w:rPr>
          <w:b/>
          <w:bCs/>
        </w:rPr>
        <w:t xml:space="preserve">10.1</w:t>
      </w:r>
      <w:r>
        <w:t xml:space="preserve"> </w:t>
      </w:r>
      <w:r>
        <w:t xml:space="preserve">Zur Sicherung des Anspruchs des Käufers auf Verschaffung des Eigentums an dem Kaufgegenstand wird die Eintragung einer Eigentumsvormerkung nach § 883 BGB zugunsten des Käufers im Wohnungsgrundbuch durch den Verkäufer bewilligt und durch die Parteien beantragt.</w:t>
      </w:r>
    </w:p>
    <w:p>
      <w:pPr>
        <w:pStyle w:val="BodyText"/>
      </w:pPr>
      <w:r>
        <w:rPr>
          <w:b/>
          <w:bCs/>
        </w:rPr>
        <w:t xml:space="preserve">10.2</w:t>
      </w:r>
      <w:r>
        <w:t xml:space="preserve"> </w:t>
      </w:r>
      <w:r>
        <w:t xml:space="preserve">Die Vormerkung steht unter der auflösenden Bedingung der Einreichung einer Erklärung des amtierenden Notars beim Grundbuchamt, dass der gesicherte Anspruch nicht (mehr) besteht. Eine inhaltliche Prüfung dieser Erklärung durch das Grundbuchamt findet nicht statt. Der Verkäufer ist berechtigt, eine derartige Erklärung des Notars im Falle des Zahlungsverzuges des Käufers nach § 3.2 letzter Absatz unmittelbar herbeizuführen.</w:t>
      </w:r>
    </w:p>
    <w:p>
      <w:pPr>
        <w:pStyle w:val="BodyText"/>
      </w:pPr>
      <w:r>
        <w:rPr>
          <w:b/>
          <w:bCs/>
        </w:rPr>
        <w:t xml:space="preserve">10.3</w:t>
      </w:r>
      <w:r>
        <w:t xml:space="preserve"> </w:t>
      </w:r>
      <w:r>
        <w:t xml:space="preserve">Der Käufer beantragt schon heute die Löschung der Eigentumsvormerkung Zug um Zug mit Vollzug der Auflassung.</w:t>
      </w:r>
    </w:p>
    <w:bookmarkEnd w:id="22"/>
    <w:bookmarkStart w:id="23" w:name="auflassung"/>
    <w:p>
      <w:pPr>
        <w:pStyle w:val="Heading1"/>
      </w:pPr>
      <w:r>
        <w:t xml:space="preserve">§ 11 Auflassung</w:t>
      </w:r>
    </w:p>
    <w:p>
      <w:pPr>
        <w:pStyle w:val="FirstParagraph"/>
      </w:pPr>
      <w:r>
        <w:t xml:space="preserve">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bookmarkEnd w:id="23"/>
    <w:bookmarkStart w:id="24" w:name="vollmachten"/>
    <w:p>
      <w:pPr>
        <w:pStyle w:val="Heading1"/>
      </w:pPr>
      <w:r>
        <w:t xml:space="preserve">§ 12 Vollmachten</w:t>
      </w:r>
    </w:p>
    <w:p>
      <w:pPr>
        <w:pStyle w:val="FirstParagraph"/>
      </w:pPr>
      <w:r>
        <w:rPr>
          <w:b/>
          <w:bCs/>
        </w:rPr>
        <w:t xml:space="preserve">12.1</w:t>
      </w:r>
      <w:r>
        <w:t xml:space="preserve"> </w:t>
      </w:r>
      <w:r>
        <w:t xml:space="preserve">Der Käufer bevollmächtigt den Verkäufer unwiderruflich, die Teilungserklärung einschließlich Gemeinschaftsordnung jederzeit ohne weitere Mitwirkung des Käufers zu ändern, insbesondere zur Anpassung der Aufteilungspläne, zur Verschiebung von Sondernutzungsrechten und zur Änderung der Kostentragungsregelungen. Die Vollmacht erstreckt sich auch auf die Sondereigentumseinheit des Käufers, soweit dies aus baulichen oder wirtschaftlichen Gründen erforderlich ist.</w:t>
      </w:r>
    </w:p>
    <w:p>
      <w:pPr>
        <w:pStyle w:val="BodyText"/>
      </w:pPr>
      <w:r>
        <w:rPr>
          <w:b/>
          <w:bCs/>
        </w:rPr>
        <w:t xml:space="preserve">12.2</w:t>
      </w:r>
      <w:r>
        <w:t xml:space="preserve"> </w:t>
      </w:r>
      <w:r>
        <w:t xml:space="preserve">Die Vollmacht ist von den Beschränkungen des § 181 BGB befreit. Der Käufer verzichtet auf Widerruf, soweit dies rechtlich zulässig ist.</w:t>
      </w:r>
    </w:p>
    <w:p>
      <w:pPr>
        <w:pStyle w:val="BodyText"/>
      </w:pPr>
      <w:r>
        <w:rPr>
          <w:b/>
          <w:bCs/>
        </w:rPr>
        <w:t xml:space="preserve">12.3</w:t>
      </w:r>
      <w:r>
        <w:t xml:space="preserve"> </w:t>
      </w:r>
      <w:r>
        <w:t xml:space="preserve">Der Käufer bevollmächtigt den Verkäufer ferner, sämtliche zur Durchführung dieses Vertrages erforderlichen Anträge, Erklärungen und Verzichte beim Grundbuchamt, bei Behörden und gegenüber Dritten abzugeben.</w:t>
      </w:r>
    </w:p>
    <w:bookmarkEnd w:id="24"/>
    <w:bookmarkStart w:id="25" w:name="schlussbestimmungen"/>
    <w:p>
      <w:pPr>
        <w:pStyle w:val="Heading1"/>
      </w:pPr>
      <w:r>
        <w:t xml:space="preserve">§ 13 Schlussbestimmungen</w:t>
      </w:r>
    </w:p>
    <w:p>
      <w:pPr>
        <w:pStyle w:val="FirstParagraph"/>
      </w:pPr>
      <w:r>
        <w:rPr>
          <w:b/>
          <w:bCs/>
        </w:rPr>
        <w:t xml:space="preserve">13.1</w:t>
      </w:r>
      <w:r>
        <w:t xml:space="preserve"> </w:t>
      </w:r>
      <w:r>
        <w:t xml:space="preserve">Mündliche Nebenabreden bestehen nicht. Änderungen und Ergänzungen dieses Vertrages bedürfen der notariellen Beurkundung, soweit gesetzlich vorgeschrieben, im Übrigen der Schriftform.</w:t>
      </w:r>
    </w:p>
    <w:p>
      <w:pPr>
        <w:pStyle w:val="BodyText"/>
      </w:pPr>
      <w:r>
        <w:rPr>
          <w:b/>
          <w:bCs/>
        </w:rPr>
        <w:t xml:space="preserve">13.2</w:t>
      </w:r>
      <w:r>
        <w:t xml:space="preserve"> </w:t>
      </w:r>
      <w:r>
        <w:t xml:space="preserve">Sollte eine Bestimmung dieses Vertrages unwirksam sein oder werden, so wird die Wirksamkeit der übrigen Bestimmungen davon nicht berührt.</w:t>
      </w:r>
    </w:p>
    <w:p>
      <w:pPr>
        <w:pStyle w:val="BodyText"/>
      </w:pPr>
      <w:r>
        <w:rPr>
          <w:b/>
          <w:bCs/>
        </w:rPr>
        <w:t xml:space="preserve">13.3</w:t>
      </w:r>
      <w:r>
        <w:t xml:space="preserve"> </w:t>
      </w:r>
      <w:r>
        <w:t xml:space="preserve">Gerichtsstand für sämtliche Streitigkeiten aus diesem Vertrag ist Berlin, soweit dies rechtlich zulässig ist.</w:t>
      </w:r>
    </w:p>
    <w:p>
      <w:pPr>
        <w:pStyle w:val="BodyText"/>
      </w:pPr>
      <w:r>
        <w:rPr>
          <w:b/>
          <w:bCs/>
        </w:rPr>
        <w:t xml:space="preserve">13.4</w:t>
      </w:r>
      <w:r>
        <w:t xml:space="preserve"> </w:t>
      </w:r>
      <w:r>
        <w:t xml:space="preserve">Die Kosten dieser Urkunde und ihres Vollzugs trägt der Käufer.</w:t>
      </w:r>
    </w:p>
    <w:bookmarkEnd w:id="25"/>
    <w:bookmarkStart w:id="26" w:name="belehrungen"/>
    <w:p>
      <w:pPr>
        <w:pStyle w:val="Heading1"/>
      </w:pPr>
      <w:r>
        <w:t xml:space="preserve">§ 14 Belehrungen</w:t>
      </w:r>
    </w:p>
    <w:p>
      <w:pPr>
        <w:pStyle w:val="FirstParagraph"/>
      </w:pPr>
      <w:r>
        <w:t xml:space="preserve">Der Notar hat die Beteiligten belehrt über:</w:t>
      </w:r>
    </w:p>
    <w:p>
      <w:pPr>
        <w:pStyle w:val="Compact"/>
        <w:numPr>
          <w:ilvl w:val="0"/>
          <w:numId w:val="1003"/>
        </w:numPr>
      </w:pPr>
      <w:r>
        <w:t xml:space="preserve">den Inhalt und die Bedeutung dieses Vertrages,</w:t>
      </w:r>
    </w:p>
    <w:p>
      <w:pPr>
        <w:pStyle w:val="Compact"/>
        <w:numPr>
          <w:ilvl w:val="0"/>
          <w:numId w:val="1003"/>
        </w:numPr>
      </w:pPr>
      <w:r>
        <w:t xml:space="preserve">die Bedeutung der Bezugnahme nach § 13a BeurkG,</w:t>
      </w:r>
    </w:p>
    <w:p>
      <w:pPr>
        <w:pStyle w:val="Compact"/>
        <w:numPr>
          <w:ilvl w:val="0"/>
          <w:numId w:val="1003"/>
        </w:numPr>
      </w:pPr>
      <w:r>
        <w:t xml:space="preserve">die Eigentumsübertragung erst mit Eintragung im Grundbuch,</w:t>
      </w:r>
    </w:p>
    <w:p>
      <w:pPr>
        <w:pStyle w:val="Compact"/>
        <w:numPr>
          <w:ilvl w:val="0"/>
          <w:numId w:val="1003"/>
        </w:numPr>
      </w:pPr>
      <w:r>
        <w:t xml:space="preserve">die Bedeutung der Auflassungsvormerkung,</w:t>
      </w:r>
    </w:p>
    <w:p>
      <w:pPr>
        <w:pStyle w:val="Compact"/>
        <w:numPr>
          <w:ilvl w:val="0"/>
          <w:numId w:val="1003"/>
        </w:numPr>
      </w:pPr>
      <w:r>
        <w:t xml:space="preserve">die Bedeutung der Belastungsvollmacht,</w:t>
      </w:r>
    </w:p>
    <w:p>
      <w:pPr>
        <w:pStyle w:val="Compact"/>
        <w:numPr>
          <w:ilvl w:val="0"/>
          <w:numId w:val="1003"/>
        </w:numPr>
      </w:pPr>
      <w:r>
        <w:t xml:space="preserve">die gesetzliche Verjährungsfrist für Mängelansprüche im Werkvertragsrecht.</w:t>
      </w:r>
    </w:p>
    <w:p>
      <w:pPr>
        <w:pStyle w:val="FirstParagraph"/>
      </w:pPr>
      <w:r>
        <w:t xml:space="preserve">Der Notar hat nicht über die Wirksamkeit einzelner Klauseln dieses Vertrages belehrt; eine inhaltliche Kontrolle der Vertragsklauseln durch den Notar ist nicht erfolgt und auch nicht geschuldet.</w:t>
      </w:r>
    </w:p>
    <w:bookmarkEnd w:id="26"/>
    <w:bookmarkStart w:id="27" w:name="unterschriften"/>
    <w:p>
      <w:pPr>
        <w:pStyle w:val="Heading1"/>
      </w:pPr>
      <w:r>
        <w:t xml:space="preserve">Unterschriften</w:t>
      </w:r>
    </w:p>
    <w:p>
      <w:pPr>
        <w:pStyle w:val="FirstParagraph"/>
      </w:pPr>
      <w:r>
        <w:t xml:space="preserve">Die Erschienenen erklärten, dass sie auf das Verlesen der Bezugsurkunden verzichten, da ihnen deren Inhalt bekannt ist. Diese Niederschrift wurde den Erschienenen vom Notar vorgelesen, von ihnen genehmigt und sodann eigenhändig wie folgt unterschrieben:</w:t>
      </w:r>
    </w:p>
    <w:p>
      <w:pPr>
        <w:pStyle w:val="BodyText"/>
      </w:pPr>
      <w:r>
        <w:br/>
      </w:r>
    </w:p>
    <w:p>
      <w:pPr>
        <w:pStyle w:val="BodyText"/>
      </w:pPr>
      <w:r>
        <w:br/>
      </w:r>
    </w:p>
    <w:p>
      <w:pPr>
        <w:pStyle w:val="BodyText"/>
      </w:pPr>
      <w:r>
        <w:t xml:space="preserve">——————————————————————————</w:t>
      </w:r>
    </w:p>
    <w:p>
      <w:pPr>
        <w:pStyle w:val="BodyText"/>
      </w:pPr>
      <w:r>
        <w:t xml:space="preserve">Roswitha Quendel-Bingenheimer (für Verkäufer)</w:t>
      </w:r>
    </w:p>
    <w:p>
      <w:pPr>
        <w:pStyle w:val="BodyText"/>
      </w:pPr>
      <w:r>
        <w:br/>
      </w:r>
    </w:p>
    <w:p>
      <w:pPr>
        <w:pStyle w:val="BodyText"/>
      </w:pPr>
      <w:r>
        <w:br/>
      </w:r>
    </w:p>
    <w:p>
      <w:pPr>
        <w:pStyle w:val="BodyText"/>
      </w:pPr>
      <w:r>
        <w:t xml:space="preserve">——————————————————————————</w:t>
      </w:r>
    </w:p>
    <w:p>
      <w:pPr>
        <w:pStyle w:val="BodyText"/>
      </w:pPr>
      <w:r>
        <w:t xml:space="preserve">Dr. Eberwein Übelacker-Strohmeyer (Käufer)</w:t>
      </w:r>
    </w:p>
    <w:p>
      <w:pPr>
        <w:pStyle w:val="BodyText"/>
      </w:pPr>
      <w:r>
        <w:br/>
      </w:r>
    </w:p>
    <w:p>
      <w:pPr>
        <w:pStyle w:val="BodyText"/>
      </w:pPr>
      <w:r>
        <w:br/>
      </w:r>
    </w:p>
    <w:p>
      <w:pPr>
        <w:pStyle w:val="BodyText"/>
      </w:pPr>
      <w:r>
        <w:t xml:space="preserve">——————————————————————————</w:t>
      </w:r>
    </w:p>
    <w:p>
      <w:pPr>
        <w:pStyle w:val="BodyText"/>
      </w:pPr>
      <w:r>
        <w:t xml:space="preserve">Dr. Adalbert von Sickingen-Querfurt, Notar</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Wohnungsbauträgervertrag mit Auflassung — UR-Nr. 188/2026 KQ</dc:title>
  <dc:creator/>
  <cp:keywords/>
  <dcterms:created xsi:type="dcterms:W3CDTF">2026-06-16T15:28:41Z</dcterms:created>
  <dcterms:modified xsi:type="dcterms:W3CDTF">2026-06-16T15:28:41Z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Testakte „Bauträgervertrag aus der Hölle” — fiktive Urkunde mit eingebauten Mängeln zu Schulungszwecken</vt:lpwstr>
  </property>
</Properties>
</file>