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Korrespondenz, Aktenvermerk und Beweis-/Fristenlogik</w:t>
      </w:r>
    </w:p>
    <w:p>
      <w:pPr>
        <w:pStyle w:val="Subtitle"/>
      </w:pPr>
      <w:r>
        <w:t xml:space="preserve">Testakte „Bauträgervertrag aus der Hölle” — fiktive Mandatsbegleitung zu Schulungszwecken</w:t>
      </w:r>
    </w:p>
    <w:bookmarkStart w:id="15" w:name="X439e42fc981a8fb981d162796501258335aa165"/>
    <w:p>
      <w:pPr>
        <w:pStyle w:val="Heading1"/>
      </w:pPr>
      <w:r>
        <w:t xml:space="preserve">Akte Hohenwartshofen / Übelacker-Strohmeyer</w:t>
      </w:r>
    </w:p>
    <w:p>
      <w:pPr>
        <w:pStyle w:val="FirstParagraph"/>
      </w:pPr>
      <w:r>
        <w:t xml:space="preserve">Beraterkanzlei: Bremsbüttel &amp; Habermehl Rechtsanwälte, Berlin</w:t>
      </w:r>
    </w:p>
    <w:p>
      <w:pPr>
        <w:pStyle w:val="BodyText"/>
      </w:pPr>
      <w:r>
        <w:t xml:space="preserve">Beratender Anwalt: Hartwich von Eichensteiger</w:t>
      </w:r>
    </w:p>
    <w:p>
      <w:pPr>
        <w:pStyle w:val="BodyText"/>
      </w:pPr>
      <w:r>
        <w:t xml:space="preserve">Aktenzeichen: 0426-26 BE</w:t>
      </w:r>
    </w:p>
    <w:bookmarkStart w:id="9" w:name="mandantenanfrage-per-e-mail"/>
    <w:p>
      <w:pPr>
        <w:pStyle w:val="Heading2"/>
      </w:pPr>
      <w:r>
        <w:t xml:space="preserve">Mandantenanfrage per E-Mail</w:t>
      </w:r>
    </w:p>
    <w:p>
      <w:pPr>
        <w:pStyle w:val="SourceCode"/>
      </w:pPr>
      <w:r>
        <w:rPr>
          <w:rStyle w:val="VerbatimChar"/>
        </w:rPr>
        <w:t xml:space="preserve">Von:      ebue@uebelacker-mail.test</w:t>
      </w:r>
      <w:r>
        <w:br/>
      </w:r>
      <w:r>
        <w:rPr>
          <w:rStyle w:val="VerbatimChar"/>
        </w:rPr>
        <w:t xml:space="preserve">An:       eichensteiger@bremsbuettel-habermehl.test</w:t>
      </w:r>
      <w:r>
        <w:br/>
      </w:r>
      <w:r>
        <w:rPr>
          <w:rStyle w:val="VerbatimChar"/>
        </w:rPr>
        <w:t xml:space="preserve">Datum:    Mo 23.03.2026, 21:34 Uhr</w:t>
      </w:r>
      <w:r>
        <w:br/>
      </w:r>
      <w:r>
        <w:rPr>
          <w:rStyle w:val="VerbatimChar"/>
        </w:rPr>
        <w:t xml:space="preserve">Betreff:  Bauträgervertrag „Quartier am Birkenpfuhl" — bitte um Prüfung</w:t>
      </w:r>
    </w:p>
    <w:p>
      <w:pPr>
        <w:pStyle w:val="FirstParagraph"/>
      </w:pPr>
      <w:r>
        <w:t xml:space="preserve">Sehr geehrter Herr von Eichensteiger,</w:t>
      </w:r>
    </w:p>
    <w:p>
      <w:pPr>
        <w:pStyle w:val="BodyText"/>
      </w:pPr>
      <w:r>
        <w:t xml:space="preserve">ich habe am 14. März 2026 den anliegenden Bauträgervertrag in der Notarkanzlei Dr. von Sickingen-Querfurt beurkunden lassen. Es geht um eine Eigentumswohnung im Bauprojekt „Quartier am Birkenpfuhl” in Kannenberg-Niederwall (zwischen Stahnsdorf und Kleinmachnow gelegen). Es handelt sich um ein Großprojekt mit 287 Wohneinheiten in zwölf Häusern, die Bauträgerin ist die Hohenwartshofen Quartiersentwicklung GmbH &amp; Co. KG.</w:t>
      </w:r>
    </w:p>
    <w:p>
      <w:pPr>
        <w:pStyle w:val="BodyText"/>
      </w:pPr>
      <w:r>
        <w:t xml:space="preserve">Der Kaufpreis beträgt knapp 828 000 Euro. Vier Tage nach der Beurkundung kam die erste Ratenanforderung — über mehr als die Hälfte des Kaufpreises, fällig binnen 30 Tagen. Mir kam das hoch vor. Ich habe daraufhin den Vertrag noch einmal gelesen und an mehreren Stellen Bedenken bekommen, ohne genau benennen zu können, warum.</w:t>
      </w:r>
    </w:p>
    <w:p>
      <w:pPr>
        <w:pStyle w:val="BodyText"/>
      </w:pPr>
      <w:r>
        <w:t xml:space="preserve">Konkret beschäftigen mich folgende Punkte:</w:t>
      </w:r>
    </w:p>
    <w:p>
      <w:pPr>
        <w:numPr>
          <w:ilvl w:val="0"/>
          <w:numId w:val="1001"/>
        </w:numPr>
      </w:pPr>
      <w:r>
        <w:t xml:space="preserve">Der Vertrag enthält an keiner Stelle einen Hinweis darauf, dass ich bei der ersten Rate 5 Prozent als Sicherheit einbehalten dürfte. Ich habe aus einer Verbraucherzentralen-Broschüre eine entsprechende Andeutung in Erinnerung.</w:t>
      </w:r>
    </w:p>
    <w:p>
      <w:pPr>
        <w:numPr>
          <w:ilvl w:val="0"/>
          <w:numId w:val="1001"/>
        </w:numPr>
      </w:pPr>
      <w:r>
        <w:t xml:space="preserve">Die erste Rate beträgt 56 Prozent. Ein befreundeter Architekt hat mir gesagt, das könne nicht der gesetzliche Ratenplan sein — der habe deutlich kleinere Anfangsraten.</w:t>
      </w:r>
    </w:p>
    <w:p>
      <w:pPr>
        <w:numPr>
          <w:ilvl w:val="0"/>
          <w:numId w:val="1001"/>
        </w:numPr>
      </w:pPr>
      <w:r>
        <w:t xml:space="preserve">In § 9 steht, dass meine Mängelansprüche nach zwei Jahren verjähren. Ich dachte, beim Hausbau gelten fünf Jahre.</w:t>
      </w:r>
    </w:p>
    <w:p>
      <w:pPr>
        <w:numPr>
          <w:ilvl w:val="0"/>
          <w:numId w:val="1001"/>
        </w:numPr>
      </w:pPr>
      <w:r>
        <w:t xml:space="preserve">In § 5 steht, dass das Selbstvornahmerecht ausgeschlossen ist. Selbst wenn der Bauträger nicht repariert, dürfte ich also nicht selbst beauftragen.</w:t>
      </w:r>
    </w:p>
    <w:p>
      <w:pPr>
        <w:numPr>
          <w:ilvl w:val="0"/>
          <w:numId w:val="1001"/>
        </w:numPr>
      </w:pPr>
      <w:r>
        <w:t xml:space="preserve">In § 6.3 wird die Abnahme des Gemeinschaftseigentums dem Erstverwalter übertragen, den der Bauträger selbst einsetzt.</w:t>
      </w:r>
    </w:p>
    <w:p>
      <w:pPr>
        <w:numPr>
          <w:ilvl w:val="0"/>
          <w:numId w:val="1001"/>
        </w:numPr>
      </w:pPr>
      <w:r>
        <w:t xml:space="preserve">In § 10.2 darf der Bauträger einseitig die Löschung meiner Auflassungsvormerkung herbeiführen, wenn ich angeblich in Verzug bin.</w:t>
      </w:r>
    </w:p>
    <w:p>
      <w:pPr>
        <w:numPr>
          <w:ilvl w:val="0"/>
          <w:numId w:val="1001"/>
        </w:numPr>
      </w:pPr>
      <w:r>
        <w:t xml:space="preserve">Die Schlüssel bekomme ich angeblich erst gegen vollständige Zahlung — auch wenn noch Mängel da sind.</w:t>
      </w:r>
    </w:p>
    <w:p>
      <w:pPr>
        <w:pStyle w:val="FirstParagraph"/>
      </w:pPr>
      <w:r>
        <w:t xml:space="preserve">Ich habe inzwischen die Reservierungsgebühr von 22 000 Euro überwiesen (Anfang Februar, vor Beurkundung). Die erste Rate (knapp 464 000 Euro) ist seit der Anforderung am 18. März fällig, eine Mahnung ist noch nicht eingegangen.</w:t>
      </w:r>
    </w:p>
    <w:p>
      <w:pPr>
        <w:pStyle w:val="BodyText"/>
      </w:pPr>
      <w:r>
        <w:t xml:space="preserve">Kann der Vertrag in dieser Form Bestand haben? Welche Klauseln sind angreifbar? Welche Risiken bestehen jetzt, nach Beurkundung? Welche Schritte würden Sie mir konkret empfehlen?</w:t>
      </w:r>
    </w:p>
    <w:p>
      <w:pPr>
        <w:pStyle w:val="BodyText"/>
      </w:pPr>
      <w:r>
        <w:t xml:space="preserve">Vielen Dank vorab. Ich bin sehr beunruhigt.</w:t>
      </w:r>
    </w:p>
    <w:p>
      <w:pPr>
        <w:pStyle w:val="BodyText"/>
      </w:pPr>
      <w:r>
        <w:t xml:space="preserve">Mit freundlichen Grüßen</w:t>
      </w:r>
    </w:p>
    <w:p>
      <w:pPr>
        <w:pStyle w:val="BodyText"/>
      </w:pPr>
      <w:r>
        <w:t xml:space="preserve">Dr. Eberwein Übelacker-Strohmeyer</w:t>
      </w:r>
    </w:p>
    <w:bookmarkEnd w:id="9"/>
    <w:bookmarkStart w:id="10" w:name="interner-aktenvermerk-vom-25.03.2026"/>
    <w:p>
      <w:pPr>
        <w:pStyle w:val="Heading2"/>
      </w:pPr>
      <w:r>
        <w:t xml:space="preserve">Interner Aktenvermerk vom 25.03.2026</w:t>
      </w:r>
    </w:p>
    <w:p>
      <w:pPr>
        <w:pStyle w:val="FirstParagraph"/>
      </w:pPr>
      <w:r>
        <w:t xml:space="preserve">Mandantenkontakt: telefonisch am 24.03.2026, 16:20 Uhr, Dauer 47 Minuten. Anwesend: Dr. Übelacker-Strohmeyer, RA von Eichensteiger.</w:t>
      </w:r>
    </w:p>
    <w:p>
      <w:pPr>
        <w:pStyle w:val="BodyText"/>
      </w:pPr>
      <w:r>
        <w:t xml:space="preserve">Der Mandant ist promovierter Wirtschaftshistoriker, beruflich nicht juristisch vorgebildet, finanziert die Wohnung als Altersvorsorge teils aus Eigenkapital, teils über ein Annuitätendarlehen der Postbau-Spar AG (Zusage liegt vor). Die Show-Wohnung in Haus 5 hat ihn überzeugt; die Baubeschreibung hat er erst nach der Beurkundung in Ruhe gelesen.</w:t>
      </w:r>
    </w:p>
    <w:p>
      <w:pPr>
        <w:pStyle w:val="BodyText"/>
      </w:pPr>
      <w:r>
        <w:t xml:space="preserve">Die Vorlage des Vertragsentwurfs durch die Notarin erfolgte sieben Tage vor dem Beurkundungstermin. Auf den Hinweis der Notarin, dass damit die zweiwöchige Frist nach § 17 Abs. 2a BeurkG nicht eingehalten ist, hat der Mandant einen vorformulierten Verzicht unterschrieben. Den Verzicht sieht der Mandant heute kritisch.</w:t>
      </w:r>
    </w:p>
    <w:p>
      <w:pPr>
        <w:pStyle w:val="BodyText"/>
      </w:pPr>
      <w:r>
        <w:t xml:space="preserve">Die Baubeschreibung — in der Fassung „Februar 2026, Version 7.2” — ist nicht mitbeurkundet, sondern wurde lose ausgehändigt. Ob dieselbe Fassung allen anderen Erwerbern im Projekt vorliegt, ist offen. Es kursieren wohl mehrere Versionen.</w:t>
      </w:r>
    </w:p>
    <w:p>
      <w:pPr>
        <w:pStyle w:val="BodyText"/>
      </w:pPr>
      <w:r>
        <w:t xml:space="preserve">Die Bezugsurkunden (Teilungserklärung plus sieben Nachträge) wurden in der Beurkundungssitzung nicht vorgelesen; der Mandant hat dem Verzicht nach § 13a BeurkG zugestimmt, ohne den Inhalt aller Nachträge zu kennen.</w:t>
      </w:r>
    </w:p>
    <w:p>
      <w:pPr>
        <w:pStyle w:val="BodyText"/>
      </w:pPr>
      <w:r>
        <w:t xml:space="preserve">Der Architekt-Bekannte des Mandanten (Dipl.-Ing. Wolfram Bockhusen) hat eine Erstdurchsicht der Baubeschreibung vorgenommen und mehrere offene Punkte markiert: keine konkrete Energieklasse, keine konkrete Marken-/Klassenfestlegung bei Sanitär, Bodenbelägen, Innentüren; Verweis auf „einfache Art und Güte” im Vertrag widerspricht dem Verkaufsprospekt, der durchgehend von „gehobener Ausstattung” spricht.</w:t>
      </w:r>
    </w:p>
    <w:p>
      <w:pPr>
        <w:pStyle w:val="BodyText"/>
      </w:pPr>
      <w:r>
        <w:t xml:space="preserve">Die Mandantenstimmung ist beunruhigt, aber kooperationsbereit. Eine Rückabwicklung will der Mandant aktuell nicht; das Projekt ist von ihm aus inhaltlichen Gründen gewollt. Ziel ist: Klauselbereinigung, soweit durchsetzbar, plus realistische Risikoabschätzung der nicht mehr veränderbaren Punkte.</w:t>
      </w:r>
    </w:p>
    <w:p>
      <w:pPr>
        <w:pStyle w:val="BodyText"/>
      </w:pPr>
      <w:r>
        <w:t xml:space="preserve">Sofortmaßnahmen:</w:t>
      </w:r>
    </w:p>
    <w:p>
      <w:pPr>
        <w:pStyle w:val="Compact"/>
        <w:numPr>
          <w:ilvl w:val="0"/>
          <w:numId w:val="1002"/>
        </w:numPr>
      </w:pPr>
      <w:r>
        <w:t xml:space="preserve">Erste Rate nicht ungeprüft zahlen. Vor Zahlung Prüfung MaBV-Konformität und Sicherheitsleistung nach § 650m Abs. 2 BGB einfordern.</w:t>
      </w:r>
    </w:p>
    <w:p>
      <w:pPr>
        <w:pStyle w:val="Compact"/>
        <w:numPr>
          <w:ilvl w:val="0"/>
          <w:numId w:val="1002"/>
        </w:numPr>
      </w:pPr>
      <w:r>
        <w:t xml:space="preserve">Bauleiterbestätigung anfordern, eigene Inaugenscheinnahme oder durch Bockhusen.</w:t>
      </w:r>
    </w:p>
    <w:p>
      <w:pPr>
        <w:pStyle w:val="Compact"/>
        <w:numPr>
          <w:ilvl w:val="0"/>
          <w:numId w:val="1002"/>
        </w:numPr>
      </w:pPr>
      <w:r>
        <w:t xml:space="preserve">Frist für anwaltliche Antwort an den Bauträger: 15.04.2026.</w:t>
      </w:r>
    </w:p>
    <w:p>
      <w:pPr>
        <w:pStyle w:val="Compact"/>
        <w:numPr>
          <w:ilvl w:val="0"/>
          <w:numId w:val="1002"/>
        </w:numPr>
      </w:pPr>
      <w:r>
        <w:t xml:space="preserve">Reservierungsgebühr: Verrechnung mit der ersten Rate fordern; § 3.4 ist potenziell unwirksam.</w:t>
      </w:r>
    </w:p>
    <w:bookmarkEnd w:id="10"/>
    <w:bookmarkStart w:id="11" w:name="e-mail-an-mandant-zur-strategie"/>
    <w:p>
      <w:pPr>
        <w:pStyle w:val="Heading2"/>
      </w:pPr>
      <w:r>
        <w:t xml:space="preserve">E-Mail an Mandant zur Strategie</w:t>
      </w:r>
    </w:p>
    <w:p>
      <w:pPr>
        <w:pStyle w:val="SourceCode"/>
      </w:pPr>
      <w:r>
        <w:rPr>
          <w:rStyle w:val="VerbatimChar"/>
        </w:rPr>
        <w:t xml:space="preserve">Von:      eichensteiger@bremsbuettel-habermehl.test</w:t>
      </w:r>
      <w:r>
        <w:br/>
      </w:r>
      <w:r>
        <w:rPr>
          <w:rStyle w:val="VerbatimChar"/>
        </w:rPr>
        <w:t xml:space="preserve">An:       ebue@uebelacker-mail.test</w:t>
      </w:r>
      <w:r>
        <w:br/>
      </w:r>
      <w:r>
        <w:rPr>
          <w:rStyle w:val="VerbatimChar"/>
        </w:rPr>
        <w:t xml:space="preserve">Datum:    Mi 25.03.2026, 11:14 Uhr</w:t>
      </w:r>
      <w:r>
        <w:br/>
      </w:r>
      <w:r>
        <w:rPr>
          <w:rStyle w:val="VerbatimChar"/>
        </w:rPr>
        <w:t xml:space="preserve">Betreff:  Re: Bauträgervertrag „Quartier am Birkenpfuhl" — Erstanalyse</w:t>
      </w:r>
    </w:p>
    <w:p>
      <w:pPr>
        <w:pStyle w:val="FirstParagraph"/>
      </w:pPr>
      <w:r>
        <w:t xml:space="preserve">Sehr geehrter Herr Dr. Übelacker-Strohmeyer,</w:t>
      </w:r>
    </w:p>
    <w:p>
      <w:pPr>
        <w:pStyle w:val="BodyText"/>
      </w:pPr>
      <w:r>
        <w:t xml:space="preserve">vielen Dank für Ihre ausführliche Schilderung. Nach erster Durchsicht des Vertrages bestätigen sich Ihre Bedenken weitgehend — und mehr. Der Vertrag enthält eine ungewöhnliche Häufung verbraucherfeindlicher Klauseln, von denen ein erheblicher Teil schon aus sich selbst heraus unwirksam sein dürfte.</w:t>
      </w:r>
    </w:p>
    <w:p>
      <w:pPr>
        <w:pStyle w:val="BodyText"/>
      </w:pPr>
      <w:r>
        <w:t xml:space="preserve">Ich gliedere meine Antwort in drei Teile:</w:t>
      </w:r>
    </w:p>
    <w:p>
      <w:pPr>
        <w:pStyle w:val="BodyText"/>
      </w:pPr>
      <w:r>
        <w:rPr>
          <w:b/>
          <w:bCs/>
        </w:rPr>
        <w:t xml:space="preserve">Teil A — Sofortgefahr.</w:t>
      </w:r>
      <w:r>
        <w:t xml:space="preserve"> </w:t>
      </w:r>
      <w:r>
        <w:t xml:space="preserve">Die erste Rate von 56 Prozent ist auf zwei Ebenen problematisch. Erstens entspricht der Ratenplan in § 3.2 nicht § 3 Abs. 2 MaBV: Die Verordnung lässt maximal sieben zusammengefasste Raten zu — Ihr Plan enthält acht. Zweitens setzt die erste Rate keinen MaBV-Stichmonat voraus; sie soll allein durch Vertragswirksamkeit fällig werden. Beides macht den Ratenplan insgesamt nicht MaBV-konform und damit unwirksam. Statt 56 Prozent darf die erste Rate nach MaBV nur einen kleinen Bruchteil ausmachen — und erst nach Beginn der Erdarbeiten und Vorliegen aller Voraussetzungen des § 3 Abs. 1 MaBV. Bis dahin: nicht zahlen.</w:t>
      </w:r>
    </w:p>
    <w:p>
      <w:pPr>
        <w:pStyle w:val="BodyText"/>
      </w:pPr>
      <w:r>
        <w:rPr>
          <w:b/>
          <w:bCs/>
        </w:rPr>
        <w:t xml:space="preserve">Teil B — Strukturelle Klauselrisiken.</w:t>
      </w:r>
      <w:r>
        <w:t xml:space="preserve"> </w:t>
      </w:r>
      <w:r>
        <w:t xml:space="preserve">Mehrere Klauseln sind aus meiner Sicht nach §§ 307 ff. BGB unwirksam: die Beweislastumkehr in § 3.2 (gegen § 309 Nr. 15 lit. a BGB), die pauschale Empfangsbestätigung in § 0.2 (gegen § 309 Nr. 15 lit. b BGB), der Selbstvornahmeausschluss in § 9.4, die Verkürzung der Verjährung auf zwei Jahre, die Abnahmeklausel zugunsten des Bauträger-Erstverwalters, die Wohnflächentoleranz von 8 Prozent, die einseitige Vormerkungslöschung, die Schlüsselverweigerung trotz Mängeln, die unbegrenzte Belastungsvollmacht mit persönlicher Haftung, die unwiderrufliche Vollmacht zur Änderung der eigenen Sondereigentumseinheit, sowie der vollständige Verzicht auf den Sicherheitseinbehalt nach § 650m BGB.</w:t>
      </w:r>
    </w:p>
    <w:p>
      <w:pPr>
        <w:pStyle w:val="BodyText"/>
      </w:pPr>
      <w:r>
        <w:rPr>
          <w:b/>
          <w:bCs/>
        </w:rPr>
        <w:t xml:space="preserve">Teil C — Strategie.</w:t>
      </w:r>
      <w:r>
        <w:t xml:space="preserve"> </w:t>
      </w:r>
      <w:r>
        <w:t xml:space="preserve">Ich schlage vor, dass wir den Vertrag in einem formalen Korrekturschreiben an den Bauträger angreifen. Ziel ist nicht die Anfechtung (die ist nach Beurkundung praktisch ausgeschlossen), sondern die Feststellung der Unwirksamkeit einzelner Klauseln plus konkrete Nachverhandlung. Parallel klären wir, ob der Notar seine Belehrungspflicht hinreichend erfüllt hat (§ 17 BeurkG); bei der gehäuften Klausellage kommt eine Notarhaftung nach § 19 BNotO in Betracht.</w:t>
      </w:r>
    </w:p>
    <w:p>
      <w:pPr>
        <w:pStyle w:val="BodyText"/>
      </w:pPr>
      <w:r>
        <w:t xml:space="preserve">Ich werde Ihnen bis Ende der Woche das Gutachten und das Korrekturschreiben senden. Bis dahin bitte:</w:t>
      </w:r>
    </w:p>
    <w:p>
      <w:pPr>
        <w:pStyle w:val="Compact"/>
        <w:numPr>
          <w:ilvl w:val="0"/>
          <w:numId w:val="1003"/>
        </w:numPr>
      </w:pPr>
      <w:r>
        <w:t xml:space="preserve">Zahlung der ersten Rate aussetzen.</w:t>
      </w:r>
    </w:p>
    <w:p>
      <w:pPr>
        <w:pStyle w:val="Compact"/>
        <w:numPr>
          <w:ilvl w:val="0"/>
          <w:numId w:val="1003"/>
        </w:numPr>
      </w:pPr>
      <w:r>
        <w:t xml:space="preserve">Schriftverkehr mit dem Bauträger ausschließlich über die Kanzlei.</w:t>
      </w:r>
    </w:p>
    <w:p>
      <w:pPr>
        <w:pStyle w:val="Compact"/>
        <w:numPr>
          <w:ilvl w:val="0"/>
          <w:numId w:val="1003"/>
        </w:numPr>
      </w:pPr>
      <w:r>
        <w:t xml:space="preserve">Sämtliche Verkaufsunterlagen, Visualisierungen, Prospekte, Show-Wohnungs-Fotos sichern.</w:t>
      </w:r>
    </w:p>
    <w:p>
      <w:pPr>
        <w:pStyle w:val="FirstParagraph"/>
      </w:pPr>
      <w:r>
        <w:t xml:space="preserve">Mit freundlichen Grüßen</w:t>
      </w:r>
    </w:p>
    <w:p>
      <w:pPr>
        <w:pStyle w:val="BodyText"/>
      </w:pPr>
      <w:r>
        <w:t xml:space="preserve">Hartwich von Eichensteiger</w:t>
      </w:r>
    </w:p>
    <w:p>
      <w:pPr>
        <w:pStyle w:val="BodyText"/>
      </w:pPr>
      <w:r>
        <w:t xml:space="preserve">Rechtsanwalt</w:t>
      </w:r>
    </w:p>
    <w:bookmarkEnd w:id="11"/>
    <w:bookmarkStart w:id="12" w:name="beweis--und-fristenlogik"/>
    <w:p>
      <w:pPr>
        <w:pStyle w:val="Heading2"/>
      </w:pPr>
      <w:r>
        <w:t xml:space="preserve">Beweis- und Fristenlogik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Punkt</w:t>
            </w:r>
          </w:p>
        </w:tc>
        <w:tc>
          <w:tcPr/>
          <w:p>
            <w:pPr>
              <w:pStyle w:val="Compact"/>
            </w:pPr>
            <w:r>
              <w:t xml:space="preserve">Konkrete Frage</w:t>
            </w:r>
          </w:p>
        </w:tc>
        <w:tc>
          <w:tcPr/>
          <w:p>
            <w:pPr>
              <w:pStyle w:val="Compact"/>
            </w:pPr>
            <w:r>
              <w:t xml:space="preserve">Benötigter Beleg</w:t>
            </w:r>
          </w:p>
        </w:tc>
        <w:tc>
          <w:tcPr/>
          <w:p>
            <w:pPr>
              <w:pStyle w:val="Compact"/>
            </w:pPr>
            <w:r>
              <w:t xml:space="preserve">Risiko, wenn offen</w:t>
            </w:r>
          </w:p>
        </w:tc>
      </w:tr>
      <w:tr>
        <w:tc>
          <w:tcPr/>
          <w:p>
            <w:pPr>
              <w:pStyle w:val="Compact"/>
            </w:pPr>
            <w:r>
              <w:t xml:space="preserve">Beurkundungsdatum</w:t>
            </w:r>
          </w:p>
        </w:tc>
        <w:tc>
          <w:tcPr/>
          <w:p>
            <w:pPr>
              <w:pStyle w:val="Compact"/>
            </w:pPr>
            <w:r>
              <w:t xml:space="preserve">Wann wurde beurkundet?</w:t>
            </w:r>
          </w:p>
        </w:tc>
        <w:tc>
          <w:tcPr/>
          <w:p>
            <w:pPr>
              <w:pStyle w:val="Compact"/>
            </w:pPr>
            <w:r>
              <w:t xml:space="preserve">UR-Nr. 188/2026 KQ vom 14.03.2026</w:t>
            </w:r>
          </w:p>
        </w:tc>
        <w:tc>
          <w:tcPr/>
          <w:p>
            <w:pPr>
              <w:pStyle w:val="Compact"/>
            </w:pPr>
            <w:r>
              <w:t xml:space="preserve">Ausgangspunkt aller Fristen</w:t>
            </w:r>
          </w:p>
        </w:tc>
      </w:tr>
      <w:tr>
        <w:tc>
          <w:tcPr/>
          <w:p>
            <w:pPr>
              <w:pStyle w:val="Compact"/>
            </w:pPr>
            <w:r>
              <w:t xml:space="preserve">Entwurfsfrist § 17 Abs. 2a BeurkG</w:t>
            </w:r>
          </w:p>
        </w:tc>
        <w:tc>
          <w:tcPr/>
          <w:p>
            <w:pPr>
              <w:pStyle w:val="Compact"/>
            </w:pPr>
            <w:r>
              <w:t xml:space="preserve">Lag der Entwurf zwei Wochen vor?</w:t>
            </w:r>
          </w:p>
        </w:tc>
        <w:tc>
          <w:tcPr/>
          <w:p>
            <w:pPr>
              <w:pStyle w:val="Compact"/>
            </w:pPr>
            <w:r>
              <w:t xml:space="preserve">E-Mail des Notars mit Übersendungsdatum</w:t>
            </w:r>
          </w:p>
        </w:tc>
        <w:tc>
          <w:tcPr/>
          <w:p>
            <w:pPr>
              <w:pStyle w:val="Compact"/>
            </w:pPr>
            <w:r>
              <w:t xml:space="preserve">Verzichtserklärung möglicherweise nicht wirksam</w:t>
            </w:r>
          </w:p>
        </w:tc>
      </w:tr>
      <w:tr>
        <w:tc>
          <w:tcPr/>
          <w:p>
            <w:pPr>
              <w:pStyle w:val="Compact"/>
            </w:pPr>
            <w:r>
              <w:t xml:space="preserve">Bezugsurkunden</w:t>
            </w:r>
          </w:p>
        </w:tc>
        <w:tc>
          <w:tcPr/>
          <w:p>
            <w:pPr>
              <w:pStyle w:val="Compact"/>
            </w:pPr>
            <w:r>
              <w:t xml:space="preserve">Wurden alle sieben Nachträge zur TE übergeben?</w:t>
            </w:r>
          </w:p>
        </w:tc>
        <w:tc>
          <w:tcPr/>
          <w:p>
            <w:pPr>
              <w:pStyle w:val="Compact"/>
            </w:pPr>
            <w:r>
              <w:t xml:space="preserve">Quittung Notar</w:t>
            </w:r>
          </w:p>
        </w:tc>
        <w:tc>
          <w:tcPr/>
          <w:p>
            <w:pPr>
              <w:pStyle w:val="Compact"/>
            </w:pPr>
            <w:r>
              <w:t xml:space="preserve">Bezugnahme nach § 13a BeurkG potenziell unwirksam</w:t>
            </w:r>
          </w:p>
        </w:tc>
      </w:tr>
      <w:tr>
        <w:tc>
          <w:tcPr/>
          <w:p>
            <w:pPr>
              <w:pStyle w:val="Compact"/>
            </w:pPr>
            <w:r>
              <w:t xml:space="preserve">Baubeschreibung</w:t>
            </w:r>
          </w:p>
        </w:tc>
        <w:tc>
          <w:tcPr/>
          <w:p>
            <w:pPr>
              <w:pStyle w:val="Compact"/>
            </w:pPr>
            <w:r>
              <w:t xml:space="preserve">Welche Version ist Vertragsbestandteil?</w:t>
            </w:r>
          </w:p>
        </w:tc>
        <w:tc>
          <w:tcPr/>
          <w:p>
            <w:pPr>
              <w:pStyle w:val="Compact"/>
            </w:pPr>
            <w:r>
              <w:t xml:space="preserve">Eindeutig datiertes Exemplar</w:t>
            </w:r>
          </w:p>
        </w:tc>
        <w:tc>
          <w:tcPr/>
          <w:p>
            <w:pPr>
              <w:pStyle w:val="Compact"/>
            </w:pPr>
            <w:r>
              <w:t xml:space="preserve">Bausoll nicht eindeutig festgelegt</w:t>
            </w:r>
          </w:p>
        </w:tc>
      </w:tr>
      <w:tr>
        <w:tc>
          <w:tcPr/>
          <w:p>
            <w:pPr>
              <w:pStyle w:val="Compact"/>
            </w:pPr>
            <w:r>
              <w:t xml:space="preserve">Reservierungsgebühr</w:t>
            </w:r>
          </w:p>
        </w:tc>
        <w:tc>
          <w:tcPr/>
          <w:p>
            <w:pPr>
              <w:pStyle w:val="Compact"/>
            </w:pPr>
            <w:r>
              <w:t xml:space="preserve">Wann gezahlt, mit welchem Verwendungszweck?</w:t>
            </w:r>
          </w:p>
        </w:tc>
        <w:tc>
          <w:tcPr/>
          <w:p>
            <w:pPr>
              <w:pStyle w:val="Compact"/>
            </w:pPr>
            <w:r>
              <w:t xml:space="preserve">Banküberweisung Anfang Februar 2026</w:t>
            </w:r>
          </w:p>
        </w:tc>
        <w:tc>
          <w:tcPr/>
          <w:p>
            <w:pPr>
              <w:pStyle w:val="Compact"/>
            </w:pPr>
            <w:r>
              <w:t xml:space="preserve">Verrechnungsanspruch ggf. nicht durchsetzbar</w:t>
            </w:r>
          </w:p>
        </w:tc>
      </w:tr>
      <w:tr>
        <w:tc>
          <w:tcPr/>
          <w:p>
            <w:pPr>
              <w:pStyle w:val="Compact"/>
            </w:pPr>
            <w:r>
              <w:t xml:space="preserve">Erste Ratenanforderung</w:t>
            </w:r>
          </w:p>
        </w:tc>
        <w:tc>
          <w:tcPr/>
          <w:p>
            <w:pPr>
              <w:pStyle w:val="Compact"/>
            </w:pPr>
            <w:r>
              <w:t xml:space="preserve">Wann übermittelt, mit welcher Begründung?</w:t>
            </w:r>
          </w:p>
        </w:tc>
        <w:tc>
          <w:tcPr/>
          <w:p>
            <w:pPr>
              <w:pStyle w:val="Compact"/>
            </w:pPr>
            <w:r>
              <w:t xml:space="preserve">Schreiben Bauträgerin vom 18.03.2026</w:t>
            </w:r>
          </w:p>
        </w:tc>
        <w:tc>
          <w:tcPr/>
          <w:p>
            <w:pPr>
              <w:pStyle w:val="Compact"/>
            </w:pPr>
            <w:r>
              <w:t xml:space="preserve">Voraussetzungen § 3 Abs. 1 MaBV prüfen</w:t>
            </w:r>
          </w:p>
        </w:tc>
      </w:tr>
      <w:tr>
        <w:tc>
          <w:tcPr/>
          <w:p>
            <w:pPr>
              <w:pStyle w:val="Compact"/>
            </w:pPr>
            <w:r>
              <w:t xml:space="preserve">Bautenstand</w:t>
            </w:r>
          </w:p>
        </w:tc>
        <w:tc>
          <w:tcPr/>
          <w:p>
            <w:pPr>
              <w:pStyle w:val="Compact"/>
            </w:pPr>
            <w:r>
              <w:t xml:space="preserve">Sind Erdarbeiten begonnen? Stichmonat erreicht?</w:t>
            </w:r>
          </w:p>
        </w:tc>
        <w:tc>
          <w:tcPr/>
          <w:p>
            <w:pPr>
              <w:pStyle w:val="Compact"/>
            </w:pPr>
            <w:r>
              <w:t xml:space="preserve">Bauleiterbestätigung</w:t>
            </w:r>
          </w:p>
        </w:tc>
        <w:tc>
          <w:tcPr/>
          <w:p>
            <w:pPr>
              <w:pStyle w:val="Compact"/>
            </w:pPr>
            <w:r>
              <w:t xml:space="preserve">MaBV-Konformität</w:t>
            </w:r>
          </w:p>
        </w:tc>
      </w:tr>
      <w:tr>
        <w:tc>
          <w:tcPr/>
          <w:p>
            <w:pPr>
              <w:pStyle w:val="Compact"/>
            </w:pPr>
            <w:r>
              <w:t xml:space="preserve">Auflassungsvormerkung</w:t>
            </w:r>
          </w:p>
        </w:tc>
        <w:tc>
          <w:tcPr/>
          <w:p>
            <w:pPr>
              <w:pStyle w:val="Compact"/>
            </w:pPr>
            <w:r>
              <w:t xml:space="preserve">Wann beantragt, wann eingetragen?</w:t>
            </w:r>
          </w:p>
        </w:tc>
        <w:tc>
          <w:tcPr/>
          <w:p>
            <w:pPr>
              <w:pStyle w:val="Compact"/>
            </w:pPr>
            <w:r>
              <w:t xml:space="preserve">Grundbuchauszug</w:t>
            </w:r>
          </w:p>
        </w:tc>
        <w:tc>
          <w:tcPr/>
          <w:p>
            <w:pPr>
              <w:pStyle w:val="Compact"/>
            </w:pPr>
            <w:r>
              <w:t xml:space="preserve">Schutz der dinglichen Sicherung</w:t>
            </w:r>
          </w:p>
        </w:tc>
      </w:tr>
      <w:tr>
        <w:tc>
          <w:tcPr/>
          <w:p>
            <w:pPr>
              <w:pStyle w:val="Compact"/>
            </w:pPr>
            <w:r>
              <w:t xml:space="preserve">Lastenfreistellung</w:t>
            </w:r>
          </w:p>
        </w:tc>
        <w:tc>
          <w:tcPr/>
          <w:p>
            <w:pPr>
              <w:pStyle w:val="Compact"/>
            </w:pPr>
            <w:r>
              <w:t xml:space="preserve">Erklärung vorhanden?</w:t>
            </w:r>
          </w:p>
        </w:tc>
        <w:tc>
          <w:tcPr/>
          <w:p>
            <w:pPr>
              <w:pStyle w:val="Compact"/>
            </w:pPr>
            <w:r>
              <w:t xml:space="preserve">Freistellungserklärung im Original</w:t>
            </w:r>
          </w:p>
        </w:tc>
        <w:tc>
          <w:tcPr/>
          <w:p>
            <w:pPr>
              <w:pStyle w:val="Compact"/>
            </w:pPr>
            <w:r>
              <w:t xml:space="preserve">Insolvenzrisiko</w:t>
            </w:r>
          </w:p>
        </w:tc>
      </w:tr>
      <w:tr>
        <w:tc>
          <w:tcPr/>
          <w:p>
            <w:pPr>
              <w:pStyle w:val="Compact"/>
            </w:pPr>
            <w:r>
              <w:t xml:space="preserve">Baugenehmigung Haus 4</w:t>
            </w:r>
          </w:p>
        </w:tc>
        <w:tc>
          <w:tcPr/>
          <w:p>
            <w:pPr>
              <w:pStyle w:val="Compact"/>
            </w:pPr>
            <w:r>
              <w:t xml:space="preserve">Liegt vor oder steht aus?</w:t>
            </w:r>
          </w:p>
        </w:tc>
        <w:tc>
          <w:tcPr/>
          <w:p>
            <w:pPr>
              <w:pStyle w:val="Compact"/>
            </w:pPr>
            <w:r>
              <w:t xml:space="preserve">Bescheid Landkreis</w:t>
            </w:r>
          </w:p>
        </w:tc>
        <w:tc>
          <w:tcPr/>
          <w:p>
            <w:pPr>
              <w:pStyle w:val="Compact"/>
            </w:pPr>
            <w:r>
              <w:t xml:space="preserve">Fälligkeitsvoraussetzung</w:t>
            </w:r>
          </w:p>
        </w:tc>
      </w:tr>
      <w:tr>
        <w:tc>
          <w:tcPr/>
          <w:p>
            <w:pPr>
              <w:pStyle w:val="Compact"/>
            </w:pPr>
            <w:r>
              <w:t xml:space="preserve">Show-Wohnung</w:t>
            </w:r>
          </w:p>
        </w:tc>
        <w:tc>
          <w:tcPr/>
          <w:p>
            <w:pPr>
              <w:pStyle w:val="Compact"/>
            </w:pPr>
            <w:r>
              <w:t xml:space="preserve">Welche Ausstattung wurde gezeigt?</w:t>
            </w:r>
          </w:p>
        </w:tc>
        <w:tc>
          <w:tcPr/>
          <w:p>
            <w:pPr>
              <w:pStyle w:val="Compact"/>
            </w:pPr>
            <w:r>
              <w:t xml:space="preserve">Fotos, Vertriebsbroschüren</w:t>
            </w:r>
          </w:p>
        </w:tc>
        <w:tc>
          <w:tcPr/>
          <w:p>
            <w:pPr>
              <w:pStyle w:val="Compact"/>
            </w:pPr>
            <w:r>
              <w:t xml:space="preserve">Auslegung Bausoll</w:t>
            </w:r>
          </w:p>
        </w:tc>
      </w:tr>
      <w:tr>
        <w:tc>
          <w:tcPr/>
          <w:p>
            <w:pPr>
              <w:pStyle w:val="Compact"/>
            </w:pPr>
            <w:r>
              <w:t xml:space="preserve">Bemusterung</w:t>
            </w:r>
          </w:p>
        </w:tc>
        <w:tc>
          <w:tcPr/>
          <w:p>
            <w:pPr>
              <w:pStyle w:val="Compact"/>
            </w:pPr>
            <w:r>
              <w:t xml:space="preserve">Wann findet sie statt?</w:t>
            </w:r>
          </w:p>
        </w:tc>
        <w:tc>
          <w:tcPr/>
          <w:p>
            <w:pPr>
              <w:pStyle w:val="Compact"/>
            </w:pPr>
            <w:r>
              <w:t xml:space="preserve">Schreiben des Verkäufers</w:t>
            </w:r>
          </w:p>
        </w:tc>
        <w:tc>
          <w:tcPr/>
          <w:p>
            <w:pPr>
              <w:pStyle w:val="Compact"/>
            </w:pPr>
            <w:r>
              <w:t xml:space="preserve">4-Wochen-Frist beachten</w:t>
            </w:r>
          </w:p>
        </w:tc>
      </w:tr>
      <w:tr>
        <w:tc>
          <w:tcPr/>
          <w:p>
            <w:pPr>
              <w:pStyle w:val="Compact"/>
            </w:pPr>
            <w:r>
              <w:t xml:space="preserve">Mängelrügefrist 14 Tage</w:t>
            </w:r>
          </w:p>
        </w:tc>
        <w:tc>
          <w:tcPr/>
          <w:p>
            <w:pPr>
              <w:pStyle w:val="Compact"/>
            </w:pPr>
            <w:r>
              <w:t xml:space="preserve">Wirksam?</w:t>
            </w:r>
          </w:p>
        </w:tc>
        <w:tc>
          <w:tcPr/>
          <w:p>
            <w:pPr>
              <w:pStyle w:val="Compact"/>
            </w:pPr>
            <w:r>
              <w:t xml:space="preserve">AGB-Kontrolle</w:t>
            </w:r>
          </w:p>
        </w:tc>
        <w:tc>
          <w:tcPr/>
          <w:p>
            <w:pPr>
              <w:pStyle w:val="Compact"/>
            </w:pPr>
            <w:r>
              <w:t xml:space="preserve">Ausschlussfrist potenziell unwirksam</w:t>
            </w:r>
          </w:p>
        </w:tc>
      </w:tr>
      <w:tr>
        <w:tc>
          <w:tcPr/>
          <w:p>
            <w:pPr>
              <w:pStyle w:val="Compact"/>
            </w:pPr>
            <w:r>
              <w:t xml:space="preserve">Verjährung Mängel</w:t>
            </w:r>
          </w:p>
        </w:tc>
        <w:tc>
          <w:tcPr/>
          <w:p>
            <w:pPr>
              <w:pStyle w:val="Compact"/>
            </w:pPr>
            <w:r>
              <w:t xml:space="preserve">2 oder 5 Jahre?</w:t>
            </w:r>
          </w:p>
        </w:tc>
        <w:tc>
          <w:tcPr/>
          <w:p>
            <w:pPr>
              <w:pStyle w:val="Compact"/>
            </w:pPr>
            <w:r>
              <w:t xml:space="preserve">AGB-Kontrolle § 634a BGB</w:t>
            </w:r>
          </w:p>
        </w:tc>
        <w:tc>
          <w:tcPr/>
          <w:p>
            <w:pPr>
              <w:pStyle w:val="Compact"/>
            </w:pPr>
            <w:r>
              <w:t xml:space="preserve">Verkürzung wahrscheinlich unwirksam</w:t>
            </w:r>
          </w:p>
        </w:tc>
      </w:tr>
    </w:tbl>
    <w:bookmarkEnd w:id="12"/>
    <w:bookmarkStart w:id="13" w:name="eskalationsplan"/>
    <w:p>
      <w:pPr>
        <w:pStyle w:val="Heading2"/>
      </w:pPr>
      <w:r>
        <w:t xml:space="preserve">Eskalationsplan</w:t>
      </w:r>
    </w:p>
    <w:p>
      <w:pPr>
        <w:pStyle w:val="FirstParagraph"/>
      </w:pPr>
      <w:r>
        <w:rPr>
          <w:b/>
          <w:bCs/>
        </w:rPr>
        <w:t xml:space="preserve">Stufe 1 — Außergerichtliche Klauselbereinigung.</w:t>
      </w:r>
      <w:r>
        <w:t xml:space="preserve"> </w:t>
      </w:r>
      <w:r>
        <w:t xml:space="preserve">Anwaltliches Korrekturschreiben an die Bauträgerin mit klauselgenauer Aufstellung der Unwirksamkeitspunkte und Vorschlägen für die Nachverhandlung. Frist: 25.04.2026. Inhaltliches Ziel: Anerkennung der Unwirksamkeit, Aufnahme einer Sicherheit nach § 650m BGB, MaBV-konformer Ratenplan in höchstens sieben Raten, Streichung der einseitigen Vormerkungslöschung, Streichung des Selbstvornahmeausschlusses, Wiederherstellung der gesetzlichen Mängelverjährung, neutrale Abnahme des Gemeinschaftseigentums.</w:t>
      </w:r>
    </w:p>
    <w:p>
      <w:pPr>
        <w:pStyle w:val="BodyText"/>
      </w:pPr>
      <w:r>
        <w:rPr>
          <w:b/>
          <w:bCs/>
        </w:rPr>
        <w:t xml:space="preserve">Stufe 2 — Notarbeteiligung.</w:t>
      </w:r>
      <w:r>
        <w:t xml:space="preserve"> </w:t>
      </w:r>
      <w:r>
        <w:t xml:space="preserve">Schreiben an den beurkundenden Notar mit Bitte um Stellungnahme zur Belehrungspraxis und zur AGB-Lage. Hinweis auf § 17 BeurkG und auf die offene Notarhaftungsfrage.</w:t>
      </w:r>
    </w:p>
    <w:p>
      <w:pPr>
        <w:pStyle w:val="BodyText"/>
      </w:pPr>
      <w:r>
        <w:rPr>
          <w:b/>
          <w:bCs/>
        </w:rPr>
        <w:t xml:space="preserve">Stufe 3 — Feststellungs- und Leistungsklage.</w:t>
      </w:r>
      <w:r>
        <w:t xml:space="preserve"> </w:t>
      </w:r>
      <w:r>
        <w:t xml:space="preserve">Wenn die Bauträgerin auf Stufe 1 nicht reagiert: Feststellungsklage zur Unwirksamkeit einzelner Klauseln; ggf. Leistungsklage auf MaBV-konformen Ratenplan und Sicherheitsleistung.</w:t>
      </w:r>
    </w:p>
    <w:p>
      <w:pPr>
        <w:pStyle w:val="BodyText"/>
      </w:pPr>
      <w:r>
        <w:rPr>
          <w:b/>
          <w:bCs/>
        </w:rPr>
        <w:t xml:space="preserve">Stufe 4 — Notaraufsicht / Notarhaftung.</w:t>
      </w:r>
      <w:r>
        <w:t xml:space="preserve"> </w:t>
      </w:r>
      <w:r>
        <w:t xml:space="preserve">Beschwerde bei der Notaraufsicht des Kammergerichts; bei Vermögensschaden Schadensersatzklage nach § 19 BNotO. Stufe 4 kommt insbesondere in Betracht, wenn der Vertrag in der konkreten Form bei anderen Erwerbern desselben Projekts ebenfalls beurkundet wurde.</w:t>
      </w:r>
    </w:p>
    <w:p>
      <w:pPr>
        <w:pStyle w:val="BodyText"/>
      </w:pPr>
      <w:r>
        <w:rPr>
          <w:b/>
          <w:bCs/>
        </w:rPr>
        <w:t xml:space="preserve">Stufe 5 — Rückabwicklung.</w:t>
      </w:r>
      <w:r>
        <w:t xml:space="preserve"> </w:t>
      </w:r>
      <w:r>
        <w:t xml:space="preserve">Nur als ultima ratio, wenn die Bauträgerin keinerlei Bewegung zeigt. Voraussetzung: Nichtigkeit des Gesamtvertrages nach § 139 BGB infolge Aushöhlung des Verbraucherschutzes.</w:t>
      </w:r>
    </w:p>
    <w:bookmarkEnd w:id="13"/>
    <w:bookmarkStart w:id="14" w:name="honorarvereinbarung-auszug"/>
    <w:p>
      <w:pPr>
        <w:pStyle w:val="Heading2"/>
      </w:pPr>
      <w:r>
        <w:t xml:space="preserve">Honorarvereinbarung (Auszug)</w:t>
      </w:r>
    </w:p>
    <w:p>
      <w:pPr>
        <w:pStyle w:val="FirstParagraph"/>
      </w:pPr>
      <w:r>
        <w:t xml:space="preserve">Vorgehensweise nach Stundensatz 380,00 EUR netto, Sekretariatspauschale 25,00 EUR je Mandatsschreiben. Stufe 1 wird mit voraussichtlich 14 bis 22 Stunden veranschlagt. Stufen 2 bis 4 werden mit separatem Kostenvoranschlag begleitet. Schadensersatzklage nach § 19 BNotO erfolgt nach RVG.</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Korrespondenz, Aktenvermerk und Beweis-/Fristenlogik</dc:title>
  <dc:creator/>
  <cp:keywords/>
  <dcterms:created xsi:type="dcterms:W3CDTF">2026-06-16T15:28:41Z</dcterms:created>
  <dcterms:modified xsi:type="dcterms:W3CDTF">2026-06-16T15:28:41Z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Testakte „Bauträgervertrag aus der Hölle” — fiktive Mandatsbegleitung zu Schulungszwecken</vt:lpwstr>
  </property>
</Properties>
</file>