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Anwaltliches Gutachten — Lösungsschlüssel zur Testakte</w:t>
      </w:r>
    </w:p>
    <w:p>
      <w:pPr>
        <w:pStyle w:val="Subtitle"/>
      </w:pPr>
      <w:r>
        <w:t xml:space="preserve">Testakte „Bauträgervertrag aus der Hölle” — fiktives Gutachten zu Schulungszwecken</w:t>
      </w:r>
    </w:p>
    <w:bookmarkStart w:id="9" w:name="anwaltliches-gutachten"/>
    <w:p>
      <w:pPr>
        <w:pStyle w:val="Heading1"/>
      </w:pPr>
      <w:r>
        <w:t xml:space="preserve">Anwaltliches Gutachten</w:t>
      </w:r>
    </w:p>
    <w:p>
      <w:pPr>
        <w:pStyle w:val="FirstParagraph"/>
      </w:pPr>
      <w:r>
        <w:t xml:space="preserve">Bremsbüttel &amp; Habermehl Rechtsanwälte</w:t>
      </w:r>
    </w:p>
    <w:p>
      <w:pPr>
        <w:pStyle w:val="BodyText"/>
      </w:pPr>
      <w:r>
        <w:t xml:space="preserve">Hartwich von Eichensteiger</w:t>
      </w:r>
    </w:p>
    <w:p>
      <w:pPr>
        <w:pStyle w:val="BodyText"/>
      </w:pPr>
      <w:r>
        <w:t xml:space="preserve">Aktenzeichen 0426-26 BE</w:t>
      </w:r>
    </w:p>
    <w:p>
      <w:pPr>
        <w:pStyle w:val="BodyText"/>
      </w:pPr>
      <w:r>
        <w:t xml:space="preserve">Berlin, den 30. März 2026</w:t>
      </w:r>
    </w:p>
    <w:p>
      <w:pPr>
        <w:pStyle w:val="BodyText"/>
      </w:pPr>
      <w:r>
        <w:br/>
      </w:r>
    </w:p>
    <w:p>
      <w:pPr>
        <w:pStyle w:val="BodyText"/>
      </w:pPr>
      <w:r>
        <w:br/>
      </w:r>
    </w:p>
    <w:p>
      <w:pPr>
        <w:pStyle w:val="BodyText"/>
      </w:pPr>
      <w:r>
        <w:rPr>
          <w:b/>
          <w:bCs/>
        </w:rPr>
        <w:t xml:space="preserve">Hohenwartshofen Quartiersentwicklung GmbH &amp; Co. KG</w:t>
      </w:r>
    </w:p>
    <w:p>
      <w:pPr>
        <w:pStyle w:val="BodyText"/>
      </w:pPr>
      <w:r>
        <w:t xml:space="preserve">vertr. d. d. Komplementärin Hohenwartshofen Verwaltungs GmbH</w:t>
      </w:r>
    </w:p>
    <w:p>
      <w:pPr>
        <w:pStyle w:val="BodyText"/>
      </w:pPr>
      <w:r>
        <w:t xml:space="preserve">— diese vertr. d. d. Geschäftsführer Bertfried Quasthoff-Lieblang —</w:t>
      </w:r>
    </w:p>
    <w:p>
      <w:pPr>
        <w:pStyle w:val="BodyText"/>
      </w:pPr>
      <w:r>
        <w:t xml:space="preserve">Schloßstraße 88, 12163 Berlin</w:t>
      </w:r>
    </w:p>
    <w:p>
      <w:pPr>
        <w:pStyle w:val="BodyText"/>
      </w:pPr>
      <w:r>
        <w:br/>
      </w:r>
    </w:p>
    <w:p>
      <w:pPr>
        <w:pStyle w:val="BodyText"/>
      </w:pPr>
      <w:r>
        <w:br/>
      </w:r>
    </w:p>
    <w:p>
      <w:pPr>
        <w:pStyle w:val="BodyText"/>
      </w:pPr>
      <w:r>
        <w:rPr>
          <w:b/>
          <w:bCs/>
        </w:rPr>
        <w:t xml:space="preserve">Bauträgervertrag Übelacker-Strohmeyer / Hohenwartshofen — UR-Nr. 188/2026 KQ — Beanstandungen und Berichtigungsverlangen</w:t>
      </w:r>
    </w:p>
    <w:p>
      <w:pPr>
        <w:pStyle w:val="BodyText"/>
      </w:pPr>
      <w:r>
        <w:t xml:space="preserve">Sehr geehrte Damen und Herren,</w:t>
      </w:r>
    </w:p>
    <w:p>
      <w:pPr>
        <w:pStyle w:val="BodyText"/>
      </w:pPr>
      <w:r>
        <w:t xml:space="preserve">unter Beifügung der auf uns lautenden Vollmacht zeigen wir die anwaltliche Vertretung des Erwerbers Herrn Dr. Eberwein Übelacker-Strohmeyer in der oben bezeichneten Angelegenheit an.</w:t>
      </w:r>
    </w:p>
    <w:p>
      <w:pPr>
        <w:pStyle w:val="BodyText"/>
      </w:pPr>
      <w:r>
        <w:t xml:space="preserve">Wir haben den Wohnungsbauträgervertrag mit Auflassung in der Fassung der notariellen Urkunde des Herrn Notar Dr. Adalbert von Sickingen-Querfurt vom 14. März 2026, UR-Nr. 188/2026 KQ, einschließlich der mitbeurkundeten Bezugsurkunde 1 sowie der lose ausgehändigten Baubeschreibung in der Fassung Februar 2026, Version 7.2 geprüft.</w:t>
      </w:r>
    </w:p>
    <w:p>
      <w:pPr>
        <w:pStyle w:val="BodyText"/>
      </w:pPr>
      <w:r>
        <w:t xml:space="preserve">Der Vertrag enthält eine Häufung von Klauseln, die nach unserer Einschätzung gegen zwingendes Verbraucherrecht, gegen die Makler- und Bauträgerverordnung sowie gegen die §§ 305 ff. BGB verstoßen. Wir bitten um Korrektur in der nachstehend bezeichneten Form.</w:t>
      </w:r>
    </w:p>
    <w:bookmarkEnd w:id="9"/>
    <w:bookmarkStart w:id="16" w:name="pflicht-prüfblock"/>
    <w:p>
      <w:pPr>
        <w:pStyle w:val="Heading1"/>
      </w:pPr>
      <w:r>
        <w:t xml:space="preserve">Pflicht-Prüfblock</w:t>
      </w:r>
    </w:p>
    <w:bookmarkStart w:id="10" w:name="Xa66fc37b720283b5cbef3b5d91778e52dea0f63"/>
    <w:p>
      <w:pPr>
        <w:pStyle w:val="Heading2"/>
      </w:pPr>
      <w:r>
        <w:t xml:space="preserve">1. § 650m BGB — 5-Prozent-Sicherheitseinbehalt verschwiegen</w:t>
      </w:r>
    </w:p>
    <w:p>
      <w:pPr>
        <w:pStyle w:val="FirstParagraph"/>
      </w:pPr>
      <w:r>
        <w:t xml:space="preserve">§ 3.3 des Vertrages bestimmt, dass der Verkäufer keine Sicherheit nach § 650m Abs. 2 BGB zu stellen hat. Der Käufer verzichte ausdrücklich auf etwaige weitergehende gesetzliche Sicherungsrechte.</w:t>
      </w:r>
    </w:p>
    <w:p>
      <w:pPr>
        <w:pStyle w:val="BodyText"/>
      </w:pPr>
      <w:r>
        <w:t xml:space="preserve">Diese Regelung verstößt gegen § 650m BGB. Bei einem Verbraucherbauträgervertrag — und ein solcher liegt nach § 650u BGB unstreitig vor — hat der Erwerber das Recht, bei der ersten Abschlagszahlung 5 Prozent der Gesamtvergütung als Sicherheit einzubehalten oder vom Bauträger eine Sicherheitsleistung in entsprechender Höhe zu verlangen. Dieses Recht ist zwingend; ein vorab erklärter Verzicht ist unwirksam.</w:t>
      </w:r>
    </w:p>
    <w:p>
      <w:pPr>
        <w:pStyle w:val="BodyText"/>
      </w:pPr>
      <w:r>
        <w:t xml:space="preserve">Befund: 🔴 schwerwiegender Verstoß. Klausel unwirksam. Berichtigungsverlangen: ersatzlose Streichung des § 3.3 und Aufnahme einer Belehrung über das Recht auf den 5-Prozent-Einbehalt.</w:t>
      </w:r>
    </w:p>
    <w:bookmarkEnd w:id="10"/>
    <w:bookmarkStart w:id="11" w:name="nr.-15-lit.-a-bgb-beweislastumkehr"/>
    <w:p>
      <w:pPr>
        <w:pStyle w:val="Heading2"/>
      </w:pPr>
      <w:r>
        <w:t xml:space="preserve">2. § 309 Nr. 15 lit. a BGB — Beweislastumkehr</w:t>
      </w:r>
    </w:p>
    <w:p>
      <w:pPr>
        <w:pStyle w:val="FirstParagraph"/>
      </w:pPr>
      <w:r>
        <w:t xml:space="preserve">§ 3.2 letzter Absatz bestimmt: „Im Verzugsfall trägt der Käufer die Beweislast dafür, dass den Verkäufer ein Verschulden an der Verzögerung trifft.”</w:t>
      </w:r>
    </w:p>
    <w:p>
      <w:pPr>
        <w:pStyle w:val="BodyText"/>
      </w:pPr>
      <w:r>
        <w:t xml:space="preserve">Diese Klausel verstößt unmittelbar gegen § 309 Nr. 15 lit. a BGB. Sie ist unwirksam.</w:t>
      </w:r>
    </w:p>
    <w:p>
      <w:pPr>
        <w:pStyle w:val="BodyText"/>
      </w:pPr>
      <w:r>
        <w:t xml:space="preserve">Befund: 🔴 unwirksam.</w:t>
      </w:r>
    </w:p>
    <w:bookmarkEnd w:id="11"/>
    <w:bookmarkStart w:id="12" w:name="Xca6b4183d8d2c5b6356d684771e9f19c030cec8"/>
    <w:p>
      <w:pPr>
        <w:pStyle w:val="Heading2"/>
      </w:pPr>
      <w:r>
        <w:t xml:space="preserve">3. § 309 Nr. 15 lit. b BGB — Empfangsbestätigung als Tatsachenerklärung</w:t>
      </w:r>
    </w:p>
    <w:p>
      <w:pPr>
        <w:pStyle w:val="FirstParagraph"/>
      </w:pPr>
      <w:r>
        <w:t xml:space="preserve">§ 0.2 letzter Absatz bestimmt: „Der Käufer bestätigt mit Unterzeichnung dieses Vertrages, dass er die Baubeschreibung sowie sämtliche Bezugsurkunden in vollem Umfang erhalten, gelesen, verstanden und mit fachkundiger Hilfe geprüft hat …”</w:t>
      </w:r>
    </w:p>
    <w:p>
      <w:pPr>
        <w:pStyle w:val="BodyText"/>
      </w:pPr>
      <w:r>
        <w:t xml:space="preserve">Die Klausel umfasst nicht nur den Empfang, sondern auch die Kenntnisnahme und das Verständnis. Sie verstößt damit unmittelbar gegen § 309 Nr. 15 lit. b BGB.</w:t>
      </w:r>
    </w:p>
    <w:p>
      <w:pPr>
        <w:pStyle w:val="BodyText"/>
      </w:pPr>
      <w:r>
        <w:t xml:space="preserve">Befund: 🔴 unwirksam.</w:t>
      </w:r>
    </w:p>
    <w:bookmarkEnd w:id="12"/>
    <w:bookmarkStart w:id="13" w:name="abs.-1-s.-2-bgb-transparenz"/>
    <w:p>
      <w:pPr>
        <w:pStyle w:val="Heading2"/>
      </w:pPr>
      <w:r>
        <w:t xml:space="preserve">4. § 307 Abs. 1 S. 2 BGB — Transparenz</w:t>
      </w:r>
    </w:p>
    <w:p>
      <w:pPr>
        <w:pStyle w:val="FirstParagraph"/>
      </w:pPr>
      <w:r>
        <w:t xml:space="preserve">Der Vertrag verweist nach § 13a BeurkG auf sieben Nachträge zur Teilungserklärung. Hinzu kommt die nicht mitbeurkundete Baubeschreibung in einer Versionsnummerierung. Aus Sicht eines durchschnittlichen Verbrauchers ist die tatsächliche Tragweite der Vertragsbindung nicht zumutbar zu erschließen. Hinzu treten der Verzicht auf die zweiwöchige Entwurfsfrist nach § 17 Abs. 2a BeurkG sowie der Verzicht auf das Vorlesen der Bezugsurkunden.</w:t>
      </w:r>
    </w:p>
    <w:p>
      <w:pPr>
        <w:pStyle w:val="BodyText"/>
      </w:pPr>
      <w:r>
        <w:t xml:space="preserve">Befund: 🟠 bis 🔴.</w:t>
      </w:r>
    </w:p>
    <w:bookmarkEnd w:id="13"/>
    <w:bookmarkStart w:id="14" w:name="X39746cf009c04b5b9e7512d87f7ea7b72d1d9b2"/>
    <w:p>
      <w:pPr>
        <w:pStyle w:val="Heading2"/>
      </w:pPr>
      <w:r>
        <w:t xml:space="preserve">5. Druckmuster und Eingriffe in dingliche Sicherung</w:t>
      </w:r>
    </w:p>
    <w:p>
      <w:pPr>
        <w:pStyle w:val="FirstParagraph"/>
      </w:pPr>
      <w:r>
        <w:t xml:space="preserve">Drei Klauseln greifen in unangemessener Weise in die dingliche Sicherung des Erwerbers ein: § 10.2 (einseitige Vormerkungslöschung), § 6.1 (Schlüsselübergabe nur gegen vollständige Zahlung trotz Mängeln), § 6.3.2 (hälftige Sachverständigenkosten beim Erwerber).</w:t>
      </w:r>
    </w:p>
    <w:p>
      <w:pPr>
        <w:pStyle w:val="BodyText"/>
      </w:pPr>
      <w:r>
        <w:t xml:space="preserve">Befund: 🔴 schwerwiegende Aushöhlung des Verbraucherschutzes.</w:t>
      </w:r>
    </w:p>
    <w:bookmarkEnd w:id="14"/>
    <w:bookmarkStart w:id="15" w:name="k-bgb-leistungsbeschreibung-lückenhaft"/>
    <w:p>
      <w:pPr>
        <w:pStyle w:val="Heading2"/>
      </w:pPr>
      <w:r>
        <w:t xml:space="preserve">6. § 650k BGB — Leistungsbeschreibung lückenhaft</w:t>
      </w:r>
    </w:p>
    <w:p>
      <w:pPr>
        <w:pStyle w:val="FirstParagraph"/>
      </w:pPr>
      <w:r>
        <w:t xml:space="preserve">Die Baubeschreibung wird in § 0.2 als Vertragsbestandteil bezeichnet, ist jedoch nicht mitbeurkundet. Sie enthält keine konkreten Hersteller- oder Klassenangaben zu Sanitärobjekten, Bodenbelägen, Innentüren, Elektroinstallation, Heizungstechnik. Der Energiestandard wird in § 5.10 nur als „die zum Tag der Baugenehmigung geltenden energetischen Anforderungen” angegeben. Die Lücken-Schließungs-Klausel in § 5.5 verweist auf § 315 BGB und auf eine Leistung „von einfacher Art und Güte” — was den verbreiteten Maßstab „mittlerer Art und Güte” gezielt unterläuft.</w:t>
      </w:r>
    </w:p>
    <w:p>
      <w:pPr>
        <w:pStyle w:val="BodyText"/>
      </w:pPr>
      <w:r>
        <w:t xml:space="preserve">Befund: 🔴 Bausoll nicht hinreichend konkretisiert.</w:t>
      </w:r>
    </w:p>
    <w:bookmarkEnd w:id="15"/>
    <w:bookmarkEnd w:id="16"/>
    <w:bookmarkStart w:id="39" w:name="weitere-klauselgenaue-beanstandungen"/>
    <w:p>
      <w:pPr>
        <w:pStyle w:val="Heading1"/>
      </w:pPr>
      <w:r>
        <w:t xml:space="preserve">Weitere klauselgenaue Beanstandungen</w:t>
      </w:r>
    </w:p>
    <w:bookmarkStart w:id="17" w:name="X47738a3eface78894bb2cf825ea857e7be93dd7"/>
    <w:p>
      <w:pPr>
        <w:pStyle w:val="Heading2"/>
      </w:pPr>
      <w:r>
        <w:t xml:space="preserve">7. § 3.2 — MaBV-Ratenplan nicht konform (8 statt 7 Raten, 56-Prozent-Vorabrate)</w:t>
      </w:r>
    </w:p>
    <w:p>
      <w:pPr>
        <w:pStyle w:val="FirstParagraph"/>
      </w:pPr>
      <w:r>
        <w:t xml:space="preserve">Der Ratenplan in § 3.2 sieht acht Ratenstufen vor. § 3 Abs. 2 MaBV lässt maximal sieben zusammengefasste Raten zu. Damit ist der Ratenplan schon aus formalen Gründen nicht MaBV-konform.</w:t>
      </w:r>
    </w:p>
    <w:p>
      <w:pPr>
        <w:pStyle w:val="BodyText"/>
      </w:pPr>
      <w:r>
        <w:t xml:space="preserve">Gravierender ist die erste Rate von 56 Prozent. Sie ist nach dem Wortlaut „mit Wirksamkeit des Vertrages und Vorliegen der Voraussetzungen nach § 3.1, jedoch vor Beginn der Erdarbeiten” fällig — und damit ohne MaBV-Stichmonat. § 3 Abs. 2 MaBV verlangt für jede Rate einen konkreten Baufortschritt; eine Rate vor Beginn der Erdarbeiten ist mit der Verordnung nicht vereinbar.</w:t>
      </w:r>
    </w:p>
    <w:p>
      <w:pPr>
        <w:pStyle w:val="BodyText"/>
      </w:pPr>
      <w:r>
        <w:t xml:space="preserve">Folge: Der Ratenplan ist insgesamt nicht MaBV-konform. Die Forderung der ersten Rate vom 18. März 2026 ist nicht fällig.</w:t>
      </w:r>
    </w:p>
    <w:p>
      <w:pPr>
        <w:pStyle w:val="BodyText"/>
      </w:pPr>
      <w:r>
        <w:t xml:space="preserve">Befund: 🔴 schwerwiegender Verstoß.</w:t>
      </w:r>
    </w:p>
    <w:bookmarkEnd w:id="17"/>
    <w:bookmarkStart w:id="18" w:name="reservierungsgebühr"/>
    <w:p>
      <w:pPr>
        <w:pStyle w:val="Heading2"/>
      </w:pPr>
      <w:r>
        <w:t xml:space="preserve">8. § 3.4 — Reservierungsgebühr</w:t>
      </w:r>
    </w:p>
    <w:p>
      <w:pPr>
        <w:pStyle w:val="FirstParagraph"/>
      </w:pPr>
      <w:r>
        <w:t xml:space="preserve">§ 3.4 bestimmt, dass die vor Beurkundung gezahlte Reservierungsgebühr von 22 000,00 EUR nicht mit der ersten Kaufpreisrate verrechnet wird, sondern als Entgelt beim Verkäufer verbleibt.</w:t>
      </w:r>
    </w:p>
    <w:p>
      <w:pPr>
        <w:pStyle w:val="BodyText"/>
      </w:pPr>
      <w:r>
        <w:t xml:space="preserve">Eine 22 000,00 EUR-Gebühr ohne klare Gegenleistung dürfte gegen das Beurkundungserfordernis nach § 311b Abs. 1 BGB verstoßen, da sie wirtschaftlich Vertragsbindung erzeugt, ohne als Vertragsbestandteil ordnungsgemäß beurkundet zu sein.</w:t>
      </w:r>
    </w:p>
    <w:p>
      <w:pPr>
        <w:pStyle w:val="BodyText"/>
      </w:pPr>
      <w:r>
        <w:t xml:space="preserve">Befund: 🟠 bis 🔴.</w:t>
      </w:r>
    </w:p>
    <w:bookmarkEnd w:id="18"/>
    <w:bookmarkStart w:id="19" w:name="X195b45521f3d07e316d97cb04f6732f876c4d5a"/>
    <w:p>
      <w:pPr>
        <w:pStyle w:val="Heading2"/>
      </w:pPr>
      <w:r>
        <w:t xml:space="preserve">9. § 4 — Belastungsvollmacht unbegrenzt, persönliche Haftung</w:t>
      </w:r>
    </w:p>
    <w:p>
      <w:pPr>
        <w:pStyle w:val="FirstParagraph"/>
      </w:pPr>
      <w:r>
        <w:t xml:space="preserve">§ 4.2 lässt eine persönliche Haftung des Käufers ohne betragsmäßige Begrenzung zu. § 4.3 erlaubt Grundpfandrechte „in jeder Höhe”, ohne Obergrenze.</w:t>
      </w:r>
    </w:p>
    <w:p>
      <w:pPr>
        <w:pStyle w:val="BodyText"/>
      </w:pPr>
      <w:r>
        <w:t xml:space="preserve">Beide Klauseln sind nach § 307 BGB unangemessen.</w:t>
      </w:r>
    </w:p>
    <w:p>
      <w:pPr>
        <w:pStyle w:val="BodyText"/>
      </w:pPr>
      <w:r>
        <w:t xml:space="preserve">Befund: 🔴.</w:t>
      </w:r>
    </w:p>
    <w:bookmarkEnd w:id="19"/>
    <w:bookmarkStart w:id="20" w:name="bemusterung-und-sonderwunsch-stundensatz"/>
    <w:p>
      <w:pPr>
        <w:pStyle w:val="Heading2"/>
      </w:pPr>
      <w:r>
        <w:t xml:space="preserve">10. § 5.3 — Bemusterung und Sonderwunsch-Stundensatz</w:t>
      </w:r>
    </w:p>
    <w:p>
      <w:pPr>
        <w:pStyle w:val="FirstParagraph"/>
      </w:pPr>
      <w:r>
        <w:t xml:space="preserve">§ 5.3 sieht drei Beratungsstunden im Kaufpreis und einen Stundensatz von 180,00 EUR netto vor. Sonderwünsche sind nach § 3.5 vollständig im Voraus zu zahlen.</w:t>
      </w:r>
    </w:p>
    <w:p>
      <w:pPr>
        <w:pStyle w:val="BodyText"/>
      </w:pPr>
      <w:r>
        <w:t xml:space="preserve">Befund: 🟠.</w:t>
      </w:r>
    </w:p>
    <w:bookmarkEnd w:id="20"/>
    <w:bookmarkStart w:id="21" w:name="X4473c0958a48dd7a2e6f3b4ae35ca2bd6560803"/>
    <w:p>
      <w:pPr>
        <w:pStyle w:val="Heading2"/>
      </w:pPr>
      <w:r>
        <w:t xml:space="preserve">11. § 5.4 — Disclaimer Verkaufsunterlagen, Show-Wohnung</w:t>
      </w:r>
    </w:p>
    <w:p>
      <w:pPr>
        <w:pStyle w:val="FirstParagraph"/>
      </w:pPr>
      <w:r>
        <w:t xml:space="preserve">§ 5.4 ist als AGB an sich nicht unwirksam, führt aber dazu, dass der materielle Schutz nur durch konkrete Baubeschreibung entsteht — die hier wiederum lückenhaft ist.</w:t>
      </w:r>
    </w:p>
    <w:p>
      <w:pPr>
        <w:pStyle w:val="BodyText"/>
      </w:pPr>
      <w:r>
        <w:t xml:space="preserve">Befund: 🟠 (im Verbund mit Nr. 6 verschärfend).</w:t>
      </w:r>
    </w:p>
    <w:bookmarkEnd w:id="21"/>
    <w:bookmarkStart w:id="22" w:name="bgb-klausel-mit-einfacher-art-und-güte"/>
    <w:p>
      <w:pPr>
        <w:pStyle w:val="Heading2"/>
      </w:pPr>
      <w:r>
        <w:t xml:space="preserve">12. § 5.5 — § 315-BGB-Klausel mit „einfacher Art und Güte”</w:t>
      </w:r>
    </w:p>
    <w:p>
      <w:pPr>
        <w:pStyle w:val="FirstParagraph"/>
      </w:pPr>
      <w:r>
        <w:t xml:space="preserve">Das Mindestmaß „einfacher Art und Güte” liegt unterhalb des gesetzlichen Mindestmaßes „mittlerer Art und Güte” und ist damit eine unangemessene Benachteiligung im Sinne des § 307 BGB.</w:t>
      </w:r>
    </w:p>
    <w:p>
      <w:pPr>
        <w:pStyle w:val="BodyText"/>
      </w:pPr>
      <w:r>
        <w:t xml:space="preserve">Befund: 🔴.</w:t>
      </w:r>
    </w:p>
    <w:bookmarkEnd w:id="22"/>
    <w:bookmarkStart w:id="23" w:name="X7835f8bd3d5c16597e62cdd5a931e7b899b2fff"/>
    <w:p>
      <w:pPr>
        <w:pStyle w:val="Heading2"/>
      </w:pPr>
      <w:r>
        <w:t xml:space="preserve">13. § 5.6 — Anerkannte Regeln der Technik am Tag der Baugenehmigung</w:t>
      </w:r>
    </w:p>
    <w:p>
      <w:pPr>
        <w:pStyle w:val="FirstParagraph"/>
      </w:pPr>
      <w:r>
        <w:t xml:space="preserve">§ 5.6 stellt für die anerkannten Regeln der Technik auf den Tag der Baugenehmigung ab — also einen Zeitpunkt, der noch vor dem Vertragsschluss liegen kann. Sachgerecht ist nach werkvertragsrechtlichen Grundsätzen der Tag der Fertigstellung.</w:t>
      </w:r>
    </w:p>
    <w:p>
      <w:pPr>
        <w:pStyle w:val="BodyText"/>
      </w:pPr>
      <w:r>
        <w:t xml:space="preserve">Befund: 🔴.</w:t>
      </w:r>
    </w:p>
    <w:bookmarkEnd w:id="23"/>
    <w:bookmarkStart w:id="24" w:name="Xd8908a648ecf4a3a1a216aeb6e26bd19f5f015d"/>
    <w:p>
      <w:pPr>
        <w:pStyle w:val="Heading2"/>
      </w:pPr>
      <w:r>
        <w:t xml:space="preserve">14. § 5.8.2 — Vertragsstrafe 0,5 Promille pro Tag, Gesamtdeckel 12 Prozent</w:t>
      </w:r>
    </w:p>
    <w:p>
      <w:pPr>
        <w:pStyle w:val="FirstParagraph"/>
      </w:pPr>
      <w:r>
        <w:t xml:space="preserve">Die Vertragsstrafe von 0,5 Promille pro Tag mit Gesamtdeckel 12 Prozent liegt nach gängiger BGH-Linie über der zulässigen Höhe (Hinweis: Rechtsprechung vor Schriftsatzverwendung live verifizieren). Die übliche Obergrenze beträgt 0,2 bis 0,3 Promille pro Tag, Gesamtdeckel 5 Prozent.</w:t>
      </w:r>
    </w:p>
    <w:p>
      <w:pPr>
        <w:pStyle w:val="BodyText"/>
      </w:pPr>
      <w:r>
        <w:t xml:space="preserve">Befund: 🟠 bis 🔴.</w:t>
      </w:r>
    </w:p>
    <w:bookmarkEnd w:id="24"/>
    <w:bookmarkStart w:id="25" w:name="termin-als-voraussichtlich"/>
    <w:p>
      <w:pPr>
        <w:pStyle w:val="Heading2"/>
      </w:pPr>
      <w:r>
        <w:t xml:space="preserve">15. § 5.8.1 — Termin als „voraussichtlich”</w:t>
      </w:r>
    </w:p>
    <w:p>
      <w:pPr>
        <w:pStyle w:val="FirstParagraph"/>
      </w:pPr>
      <w:r>
        <w:t xml:space="preserve">§ 5.8.1 verwendet „voraussichtlich” als Terminqualifikation, in Verbindung mit weiten Vorbehaltsklauseln.</w:t>
      </w:r>
    </w:p>
    <w:p>
      <w:pPr>
        <w:pStyle w:val="BodyText"/>
      </w:pPr>
      <w:r>
        <w:t xml:space="preserve">Befund: 🟠.</w:t>
      </w:r>
    </w:p>
    <w:bookmarkEnd w:id="25"/>
    <w:bookmarkStart w:id="26" w:name="Xa04d724c1077c369fd61305d415e1820d9c390d"/>
    <w:p>
      <w:pPr>
        <w:pStyle w:val="Heading2"/>
      </w:pPr>
      <w:r>
        <w:t xml:space="preserve">16. § 5.9 — Wohnflächentoleranz 8 Prozent nach DIN 277</w:t>
      </w:r>
    </w:p>
    <w:p>
      <w:pPr>
        <w:pStyle w:val="FirstParagraph"/>
      </w:pPr>
      <w:r>
        <w:t xml:space="preserve">§ 5.9.1 schreibt die Flächenberechnung nach DIN 277 vor; § 5.9.2 schließt Rechte des Käufers bei Unterschreitungen bis 8 Prozent aus.</w:t>
      </w:r>
    </w:p>
    <w:p>
      <w:pPr>
        <w:pStyle w:val="BodyText"/>
      </w:pPr>
      <w:r>
        <w:t xml:space="preserve">Die Rechtsprechung sieht Abweichungen von 1 Prozent, eventuell auch 2 Prozent, als geringfügig an. 8 Prozent ist deutlich darüber.</w:t>
      </w:r>
    </w:p>
    <w:p>
      <w:pPr>
        <w:pStyle w:val="BodyText"/>
      </w:pPr>
      <w:r>
        <w:t xml:space="preserve">Befund: 🔴.</w:t>
      </w:r>
    </w:p>
    <w:bookmarkEnd w:id="26"/>
    <w:bookmarkStart w:id="27" w:name="energiestandard"/>
    <w:p>
      <w:pPr>
        <w:pStyle w:val="Heading2"/>
      </w:pPr>
      <w:r>
        <w:t xml:space="preserve">17. § 5.10 — Energiestandard</w:t>
      </w:r>
    </w:p>
    <w:p>
      <w:pPr>
        <w:pStyle w:val="FirstParagraph"/>
      </w:pPr>
      <w:r>
        <w:t xml:space="preserve">§ 5.10 schuldet lediglich „die zum Tag der Baugenehmigung geltenden energetischen Anforderungen” und schließt eine bestimmte KfW-Effizienzhausklasse oder GEG-Stufe ausdrücklich aus.</w:t>
      </w:r>
    </w:p>
    <w:p>
      <w:pPr>
        <w:pStyle w:val="BodyText"/>
      </w:pPr>
      <w:r>
        <w:t xml:space="preserve">Befund: 🔴.</w:t>
      </w:r>
    </w:p>
    <w:bookmarkEnd w:id="27"/>
    <w:bookmarkStart w:id="28" w:name="ohne-geld-keine-schlüssel"/>
    <w:p>
      <w:pPr>
        <w:pStyle w:val="Heading2"/>
      </w:pPr>
      <w:r>
        <w:t xml:space="preserve">18. § 6.1 — „Ohne Geld keine Schlüssel”</w:t>
      </w:r>
    </w:p>
    <w:p>
      <w:pPr>
        <w:pStyle w:val="FirstParagraph"/>
      </w:pPr>
      <w:r>
        <w:t xml:space="preserve">Bereits unter Pflichtpunkt 5 behandelt. Befund: 🔴.</w:t>
      </w:r>
    </w:p>
    <w:bookmarkEnd w:id="28"/>
    <w:bookmarkStart w:id="29" w:name="X208ece732749f2899f3ec754d55eaecb305e6fc"/>
    <w:p>
      <w:pPr>
        <w:pStyle w:val="Heading2"/>
      </w:pPr>
      <w:r>
        <w:t xml:space="preserve">19. § 6.2 — Abnahme Sondereigentum, 10-Tage-Frist, Abnahmefiktion</w:t>
      </w:r>
    </w:p>
    <w:p>
      <w:pPr>
        <w:pStyle w:val="FirstParagraph"/>
      </w:pPr>
      <w:r>
        <w:t xml:space="preserve">§ 6.2.1 sieht eine 10-Tage-Frist und eine Abnahmefiktion ohne gesonderten Hinweis nach § 640 Abs. 2 S. 2 BGB vor.</w:t>
      </w:r>
    </w:p>
    <w:p>
      <w:pPr>
        <w:pStyle w:val="BodyText"/>
      </w:pPr>
      <w:r>
        <w:t xml:space="preserve">Befund: 🔴.</w:t>
      </w:r>
    </w:p>
    <w:bookmarkEnd w:id="29"/>
    <w:bookmarkStart w:id="30" w:name="schönheitsfehler-klausel-3-prozent"/>
    <w:p>
      <w:pPr>
        <w:pStyle w:val="Heading2"/>
      </w:pPr>
      <w:r>
        <w:t xml:space="preserve">20. § 6.2.2 — Schönheitsfehler-Klausel 3 Prozent</w:t>
      </w:r>
    </w:p>
    <w:p>
      <w:pPr>
        <w:pStyle w:val="FirstParagraph"/>
      </w:pPr>
      <w:r>
        <w:t xml:space="preserve">Eine pauschale Schwelle dieser Art höhlt die Mängelrechte nach § 633 BGB aus und ist nach § 307 BGB unwirksam.</w:t>
      </w:r>
    </w:p>
    <w:p>
      <w:pPr>
        <w:pStyle w:val="BodyText"/>
      </w:pPr>
      <w:r>
        <w:t xml:space="preserve">Befund: 🔴.</w:t>
      </w:r>
    </w:p>
    <w:bookmarkEnd w:id="30"/>
    <w:bookmarkStart w:id="31" w:name="Xe7bcf4c6ad247541baa710cd15ea08d7712bc5e"/>
    <w:p>
      <w:pPr>
        <w:pStyle w:val="Heading2"/>
      </w:pPr>
      <w:r>
        <w:t xml:space="preserve">21. § 6.3 — Abnahme Gemeinschaftseigentum durch vom Bauträger eingesetzten Erstverwalter</w:t>
      </w:r>
    </w:p>
    <w:p>
      <w:pPr>
        <w:pStyle w:val="FirstParagraph"/>
      </w:pPr>
      <w:r>
        <w:t xml:space="preserve">§ 6.3.1 überträgt die Abnahme dem vom Verkäufer eingesetzten Erstverwalter. § 6.3.2 lässt die Begutachtung durch einen vom Verkäufer benannten Sachverständigen genügen.</w:t>
      </w:r>
    </w:p>
    <w:p>
      <w:pPr>
        <w:pStyle w:val="BodyText"/>
      </w:pPr>
      <w:r>
        <w:t xml:space="preserve">Diese Konstruktion ist nach ständiger BGH-Rechtsprechung zur Selbstabnahme unwirksam (Hinweis: live verifizieren).</w:t>
      </w:r>
    </w:p>
    <w:p>
      <w:pPr>
        <w:pStyle w:val="BodyText"/>
      </w:pPr>
      <w:r>
        <w:t xml:space="preserve">Befund: 🔴.</w:t>
      </w:r>
    </w:p>
    <w:bookmarkEnd w:id="31"/>
    <w:bookmarkStart w:id="32" w:name="erschließungskosten-beim-käufer"/>
    <w:p>
      <w:pPr>
        <w:pStyle w:val="Heading2"/>
      </w:pPr>
      <w:r>
        <w:t xml:space="preserve">22. § 7 — Erschließungskosten beim Käufer</w:t>
      </w:r>
    </w:p>
    <w:p>
      <w:pPr>
        <w:pStyle w:val="FirstParagraph"/>
      </w:pPr>
      <w:r>
        <w:t xml:space="preserve">§ 7.1 lastet sämtliche Erschließungskosten dem Käufer an. Die Schätzung von 28 000,00 EUR bis 42 000,00 EUR ist so weit gefasst, dass sie das Transparenzgebot verletzt.</w:t>
      </w:r>
    </w:p>
    <w:p>
      <w:pPr>
        <w:pStyle w:val="BodyText"/>
      </w:pPr>
      <w:r>
        <w:t xml:space="preserve">Befund: 🔴.</w:t>
      </w:r>
    </w:p>
    <w:bookmarkEnd w:id="32"/>
    <w:bookmarkStart w:id="33" w:name="X3d5d12bc76bfe3fc4994926dcaa16e03602f4d1"/>
    <w:p>
      <w:pPr>
        <w:pStyle w:val="Heading2"/>
      </w:pPr>
      <w:r>
        <w:t xml:space="preserve">23. § 8 — Zutrittsverbot zur Baustelle, Vertragsstrafe</w:t>
      </w:r>
    </w:p>
    <w:p>
      <w:pPr>
        <w:pStyle w:val="FirstParagraph"/>
      </w:pPr>
      <w:r>
        <w:t xml:space="preserve">§ 8.1 untersagt dem Käufer den Zutritt zur Baustelle ohne ausdrückliche Zustimmung und sieht eine Vertragsstrafe von 2 500,00 EUR pro Vorfall vor. Eigene Bautenstandskontrollen — die der Käufer nach der MaBV-Logik gerade vornehmen sollte — werden damit faktisch ausgeschlossen.</w:t>
      </w:r>
    </w:p>
    <w:p>
      <w:pPr>
        <w:pStyle w:val="BodyText"/>
      </w:pPr>
      <w:r>
        <w:t xml:space="preserve">Befund: 🔴.</w:t>
      </w:r>
    </w:p>
    <w:bookmarkEnd w:id="33"/>
    <w:bookmarkStart w:id="34" w:name="mängelrechte-beschnitten"/>
    <w:p>
      <w:pPr>
        <w:pStyle w:val="Heading2"/>
      </w:pPr>
      <w:r>
        <w:t xml:space="preserve">24. § 9.4 — Mängelrechte beschnitten</w:t>
      </w:r>
    </w:p>
    <w:p>
      <w:pPr>
        <w:pStyle w:val="FirstParagraph"/>
      </w:pPr>
      <w:r>
        <w:t xml:space="preserve">Mehrere Klauseln aus § 9.4 sind beanstandungsfähig:</w:t>
      </w:r>
    </w:p>
    <w:p>
      <w:pPr>
        <w:pStyle w:val="Compact"/>
        <w:numPr>
          <w:ilvl w:val="0"/>
          <w:numId w:val="1001"/>
        </w:numPr>
      </w:pPr>
      <w:r>
        <w:t xml:space="preserve">„dreimaliges Fehlschlagen” der Nacherfüllung als Voraussetzung für Minderung/Rücktritt — § 636 BGB sieht regelmäßig ein zweimaliges Fehlschlagen als ausreichend an. Die Drittfehlschlag-Klausel ist unwirksam.</w:t>
      </w:r>
    </w:p>
    <w:p>
      <w:pPr>
        <w:pStyle w:val="Compact"/>
        <w:numPr>
          <w:ilvl w:val="0"/>
          <w:numId w:val="1001"/>
        </w:numPr>
      </w:pPr>
      <w:r>
        <w:t xml:space="preserve">Selbstvornahmeausschluss § 637 BGB — angreifbar, Rechtsprechung live prüfen.</w:t>
      </w:r>
    </w:p>
    <w:p>
      <w:pPr>
        <w:pStyle w:val="Compact"/>
        <w:numPr>
          <w:ilvl w:val="0"/>
          <w:numId w:val="1001"/>
        </w:numPr>
      </w:pPr>
      <w:r>
        <w:t xml:space="preserve">14-Tage-Mängelrügefrist als Ausschlussfrist — solche Ausschlussfristen sind in AGB im Bauträgerrecht unwirksam.</w:t>
      </w:r>
    </w:p>
    <w:p>
      <w:pPr>
        <w:pStyle w:val="Compact"/>
        <w:numPr>
          <w:ilvl w:val="0"/>
          <w:numId w:val="1001"/>
        </w:numPr>
      </w:pPr>
      <w:r>
        <w:t xml:space="preserve">Verkürzung der Verjährung auf zwei Jahre — verstößt gegen § 634a Abs. 1 Nr. 2 BGB (5 Jahre bei Bauwerken). Die AGB-Verkürzung ist unwirksam.</w:t>
      </w:r>
    </w:p>
    <w:p>
      <w:pPr>
        <w:pStyle w:val="Compact"/>
        <w:numPr>
          <w:ilvl w:val="0"/>
          <w:numId w:val="1001"/>
        </w:numPr>
      </w:pPr>
      <w:r>
        <w:t xml:space="preserve">Verjährungsbeginn ab „schriftlicher Abnahmebestätigung durch den Verkäufer” — verschiebt den Verjährungsbeginn zu Lasten des Erwerbers. Unwirksam.</w:t>
      </w:r>
    </w:p>
    <w:p>
      <w:pPr>
        <w:pStyle w:val="Compact"/>
        <w:numPr>
          <w:ilvl w:val="0"/>
          <w:numId w:val="1001"/>
        </w:numPr>
      </w:pPr>
      <w:r>
        <w:t xml:space="preserve">Mängelbeseitigung nur durch vom Verkäufer benannte Handwerker — schließt den Wettbewerb aus.</w:t>
      </w:r>
    </w:p>
    <w:p>
      <w:pPr>
        <w:pStyle w:val="FirstParagraph"/>
      </w:pPr>
      <w:r>
        <w:t xml:space="preserve">Befund: 🔴 (kumuliert).</w:t>
      </w:r>
    </w:p>
    <w:bookmarkEnd w:id="34"/>
    <w:bookmarkStart w:id="35" w:name="bürgschaftsrückgabe-bei-abnahmeprotokoll"/>
    <w:p>
      <w:pPr>
        <w:pStyle w:val="Heading2"/>
      </w:pPr>
      <w:r>
        <w:t xml:space="preserve">25. § 9.6 — Bürgschaftsrückgabe bei Abnahmeprotokoll</w:t>
      </w:r>
    </w:p>
    <w:p>
      <w:pPr>
        <w:pStyle w:val="FirstParagraph"/>
      </w:pPr>
      <w:r>
        <w:t xml:space="preserve">§ 9.6 verpflichtet den Käufer, die Bürgschaft mit Unterzeichnung des Abnahmeprotokolls zurückzugeben — unabhängig davon, ob Restmängel beseitigt sind. Damit wird der Sicherungszweck der Bürgschaft ausgehöhlt.</w:t>
      </w:r>
    </w:p>
    <w:p>
      <w:pPr>
        <w:pStyle w:val="BodyText"/>
      </w:pPr>
      <w:r>
        <w:t xml:space="preserve">Befund: 🔴.</w:t>
      </w:r>
    </w:p>
    <w:bookmarkEnd w:id="35"/>
    <w:bookmarkStart w:id="36" w:name="vormerkungslöschung"/>
    <w:p>
      <w:pPr>
        <w:pStyle w:val="Heading2"/>
      </w:pPr>
      <w:r>
        <w:t xml:space="preserve">26. § 10.2 — Vormerkungslöschung</w:t>
      </w:r>
    </w:p>
    <w:p>
      <w:pPr>
        <w:pStyle w:val="FirstParagraph"/>
      </w:pPr>
      <w:r>
        <w:t xml:space="preserve">Bereits unter Pflichtpunkt 5 behandelt. Befund: 🔴.</w:t>
      </w:r>
    </w:p>
    <w:bookmarkEnd w:id="36"/>
    <w:bookmarkStart w:id="37" w:name="Xf3ad129af979c2bc354b719bdd12d99a93196cf"/>
    <w:p>
      <w:pPr>
        <w:pStyle w:val="Heading2"/>
      </w:pPr>
      <w:r>
        <w:t xml:space="preserve">27. § 12 — Teilungserklärungs-Änderungsvollmacht ohne Schutz der eigenen Einheit</w:t>
      </w:r>
    </w:p>
    <w:p>
      <w:pPr>
        <w:pStyle w:val="FirstParagraph"/>
      </w:pPr>
      <w:r>
        <w:t xml:space="preserve">§ 12.1 erlaubt dem Verkäufer, die Teilungserklärung jederzeit ohne weitere Mitwirkung des Käufers zu ändern, einschließlich der Sondereigentumseinheit des Käufers selbst. § 12.2 schließt § 181 BGB aus und sieht einen Widerrufsverzicht vor.</w:t>
      </w:r>
    </w:p>
    <w:p>
      <w:pPr>
        <w:pStyle w:val="BodyText"/>
      </w:pPr>
      <w:r>
        <w:t xml:space="preserve">Befund: 🔴.</w:t>
      </w:r>
    </w:p>
    <w:bookmarkEnd w:id="37"/>
    <w:bookmarkStart w:id="38" w:name="notarbelehrung-ohne-agb-prüfung"/>
    <w:p>
      <w:pPr>
        <w:pStyle w:val="Heading2"/>
      </w:pPr>
      <w:r>
        <w:t xml:space="preserve">28. § 14 — Notarbelehrung ohne AGB-Prüfung</w:t>
      </w:r>
    </w:p>
    <w:p>
      <w:pPr>
        <w:pStyle w:val="FirstParagraph"/>
      </w:pPr>
      <w:r>
        <w:t xml:space="preserve">§ 14 stellt ausdrücklich klar, dass eine inhaltliche Kontrolle der Vertragsklauseln durch den Notar nicht erfolgt ist und auch nicht geschuldet sei. Dies steht im Spannungsverhältnis zur Belehrungspflicht des Notars nach § 17 BeurkG.</w:t>
      </w:r>
    </w:p>
    <w:p>
      <w:pPr>
        <w:pStyle w:val="BodyText"/>
      </w:pPr>
      <w:r>
        <w:t xml:space="preserve">Befund: 🟠.</w:t>
      </w:r>
    </w:p>
    <w:bookmarkEnd w:id="38"/>
    <w:bookmarkEnd w:id="39"/>
    <w:bookmarkStart w:id="40" w:name="ampel-bilanz"/>
    <w:p>
      <w:pPr>
        <w:pStyle w:val="Heading1"/>
      </w:pPr>
      <w:r>
        <w:t xml:space="preserve">Ampel-Bilanz</w:t>
      </w:r>
    </w:p>
    <w:p>
      <w:pPr>
        <w:pStyle w:val="FirstParagraph"/>
      </w:pPr>
      <w:r>
        <w:t xml:space="preserve">Pflicht-Prüfblock: 🔴 6 von 6.</w:t>
      </w:r>
    </w:p>
    <w:p>
      <w:pPr>
        <w:pStyle w:val="BodyText"/>
      </w:pPr>
      <w:r>
        <w:t xml:space="preserve">Beanstandete Klauseln in Zahlen:</w:t>
      </w:r>
    </w:p>
    <w:p>
      <w:pPr>
        <w:pStyle w:val="Compact"/>
        <w:numPr>
          <w:ilvl w:val="0"/>
          <w:numId w:val="1002"/>
        </w:numPr>
      </w:pPr>
      <w:r>
        <w:t xml:space="preserve">🔴 rot, klar unwirksam oder schwerwiegend: 22</w:t>
      </w:r>
    </w:p>
    <w:p>
      <w:pPr>
        <w:pStyle w:val="Compact"/>
        <w:numPr>
          <w:ilvl w:val="0"/>
          <w:numId w:val="1002"/>
        </w:numPr>
      </w:pPr>
      <w:r>
        <w:t xml:space="preserve">🟠 orange, Verhandlungspunkt: 4</w:t>
      </w:r>
    </w:p>
    <w:p>
      <w:pPr>
        <w:pStyle w:val="Compact"/>
        <w:numPr>
          <w:ilvl w:val="0"/>
          <w:numId w:val="1002"/>
        </w:numPr>
      </w:pPr>
      <w:r>
        <w:t xml:space="preserve">🟢 grün, unbedenklich: keine im Bereich der geprüften Vorschriften</w:t>
      </w:r>
    </w:p>
    <w:p>
      <w:pPr>
        <w:pStyle w:val="FirstParagraph"/>
      </w:pPr>
      <w:r>
        <w:t xml:space="preserve">Strukturelle Wertung: Der Vertrag ist in der vorgelegten Fassung nicht verbraucherrechtskonform. Die Klauselhäufung ist so umfangreich, dass eine Teil- oder Gesamtnichtigkeit nach § 139 BGB in Betracht kommt.</w:t>
      </w:r>
    </w:p>
    <w:bookmarkEnd w:id="40"/>
    <w:bookmarkStart w:id="41" w:name="empfehlung-an-den-mandanten"/>
    <w:p>
      <w:pPr>
        <w:pStyle w:val="Heading1"/>
      </w:pPr>
      <w:r>
        <w:t xml:space="preserve">Empfehlung an den Mandanten</w:t>
      </w:r>
    </w:p>
    <w:p>
      <w:pPr>
        <w:numPr>
          <w:ilvl w:val="0"/>
          <w:numId w:val="1003"/>
        </w:numPr>
      </w:pPr>
      <w:r>
        <w:t xml:space="preserve">Ratenzahlung aussetzen. Die erste Rate von 56 Prozent ist nach § 3 Abs. 2 MaBV nicht fällig.</w:t>
      </w:r>
    </w:p>
    <w:p>
      <w:pPr>
        <w:numPr>
          <w:ilvl w:val="0"/>
          <w:numId w:val="1003"/>
        </w:numPr>
      </w:pPr>
      <w:r>
        <w:t xml:space="preserve">Anwaltliches Korrekturschreiben mit den vorstehenden 28 Punkten an die Bauträgerin. Frist zur Stellungnahme: vier Wochen.</w:t>
      </w:r>
    </w:p>
    <w:p>
      <w:pPr>
        <w:numPr>
          <w:ilvl w:val="0"/>
          <w:numId w:val="1003"/>
        </w:numPr>
      </w:pPr>
      <w:r>
        <w:t xml:space="preserve">Notarbeteiligung. Übermittlung des Korrekturschreibens auch an den beurkundenden Notar mit Bitte um Stellungnahme zur Belehrungspraxis.</w:t>
      </w:r>
    </w:p>
    <w:p>
      <w:pPr>
        <w:numPr>
          <w:ilvl w:val="0"/>
          <w:numId w:val="1003"/>
        </w:numPr>
      </w:pPr>
      <w:r>
        <w:t xml:space="preserve">Bautenstandskontrolle. Eigene Inaugenscheinnahme oder durch Dipl.-Ing. Bockhusen, bevor irgendeine Rate gezahlt wird.</w:t>
      </w:r>
    </w:p>
    <w:p>
      <w:pPr>
        <w:numPr>
          <w:ilvl w:val="0"/>
          <w:numId w:val="1003"/>
        </w:numPr>
      </w:pPr>
      <w:r>
        <w:t xml:space="preserve">Sicherheit nach § 650m BGB einfordern. Schriftliche Aufforderung an die Bauträgerin zur Stellung einer 5-Prozent-Sicherheit; alternativ Einbehalt von 5 Prozent der ersten Rate.</w:t>
      </w:r>
    </w:p>
    <w:p>
      <w:pPr>
        <w:numPr>
          <w:ilvl w:val="0"/>
          <w:numId w:val="1003"/>
        </w:numPr>
      </w:pPr>
      <w:r>
        <w:t xml:space="preserve">Reservierungsgebühr. Verrechnung mit der ersten Rate fordern.</w:t>
      </w:r>
    </w:p>
    <w:p>
      <w:pPr>
        <w:numPr>
          <w:ilvl w:val="0"/>
          <w:numId w:val="1003"/>
        </w:numPr>
      </w:pPr>
      <w:r>
        <w:t xml:space="preserve">Eskalation. Wenn die Bauträgerin auf das Korrekturschreiben nicht oder nicht hinreichend reagiert: Feststellungs- und Leistungsklage; bei systematischem Belehrungsversagen kollektive Beschwerde bei der Notaraufsicht.</w:t>
      </w:r>
    </w:p>
    <w:bookmarkEnd w:id="41"/>
    <w:bookmarkStart w:id="42" w:name="schlusshinweise-zur-rechtsprechung"/>
    <w:p>
      <w:pPr>
        <w:pStyle w:val="Heading1"/>
      </w:pPr>
      <w:r>
        <w:t xml:space="preserve">Schlusshinweise zur Rechtsprechung</w:t>
      </w:r>
    </w:p>
    <w:p>
      <w:pPr>
        <w:pStyle w:val="FirstParagraph"/>
      </w:pPr>
      <w:r>
        <w:t xml:space="preserve">Sämtliche in diesem Gutachten angesprochenen Rechtsprechungslinien sind vor Schriftsatzverwendung mit konkretem Aktenzeichen, Datum und tragender Aussage live nachzuprüfen — über gesetze-im-internet.de, dejure.org oder das Rechtsprechungsportal des Bundes.</w:t>
      </w:r>
    </w:p>
    <w:p>
      <w:pPr>
        <w:pStyle w:val="BodyText"/>
      </w:pPr>
      <w:r>
        <w:br/>
      </w:r>
    </w:p>
    <w:p>
      <w:pPr>
        <w:pStyle w:val="BodyText"/>
      </w:pPr>
      <w:r>
        <w:br/>
      </w:r>
    </w:p>
    <w:p>
      <w:pPr>
        <w:pStyle w:val="BodyText"/>
      </w:pPr>
      <w:r>
        <w:t xml:space="preserve">Mit freundlichen Grüßen</w:t>
      </w:r>
    </w:p>
    <w:p>
      <w:pPr>
        <w:pStyle w:val="BodyText"/>
      </w:pPr>
      <w:r>
        <w:br/>
      </w:r>
    </w:p>
    <w:p>
      <w:pPr>
        <w:pStyle w:val="BodyText"/>
      </w:pPr>
      <w:r>
        <w:br/>
      </w:r>
    </w:p>
    <w:p>
      <w:pPr>
        <w:pStyle w:val="BodyText"/>
      </w:pPr>
      <w:r>
        <w:t xml:space="preserve">Hartwich von Eichensteiger</w:t>
      </w:r>
    </w:p>
    <w:p>
      <w:pPr>
        <w:pStyle w:val="BodyText"/>
      </w:pPr>
      <w:r>
        <w:t xml:space="preserve">Rechtsanwalt</w:t>
      </w:r>
    </w:p>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Anwaltliches Gutachten — Lösungsschlüssel zur Testakte</dc:title>
  <dc:creator/>
  <cp:keywords/>
  <dcterms:created xsi:type="dcterms:W3CDTF">2026-06-16T15:28:41Z</dcterms:created>
  <dcterms:modified xsi:type="dcterms:W3CDTF">2026-06-16T15:28:41Z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Testakte „Bauträgervertrag aus der Hölle” — fiktives Gutachten zu Schulungszwecken</vt:lpwstr>
  </property>
</Properties>
</file>