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bookmarkEnd w:id="9"/>
    <w:bookmarkStart w:id="11" w:name="ur-nr.-7442026-bs"/>
    <w:p>
      <w:pPr>
        <w:pStyle w:val="Heading1"/>
      </w:pPr>
      <w:br w:type="page"/>
      <w:r>
        <w:t xml:space="preserve">UR-Nr. 744/2026 BS</w:t>
      </w:r>
    </w:p>
    <w:bookmarkStart w:id="10" w:name="verhandelt"/>
    <w:p>
      <w:pPr>
        <w:pStyle w:val="Heading2"/>
      </w:pPr>
      <w:r>
        <w:t xml:space="preserve">Verhandelt</w:t>
      </w:r>
    </w:p>
    <w:p>
      <w:pPr>
        <w:pStyle w:val="FirstParagraph"/>
      </w:pPr>
      <w:r>
        <w:t xml:space="preserve">zu Hamburg, am 12. Juni 2026</w:t>
      </w:r>
    </w:p>
    <w:p>
      <w:pPr>
        <w:pStyle w:val="BodyText"/>
      </w:pPr>
      <w:r>
        <w:t xml:space="preserve">Vor mir, der unterzeichnenden Notarin im Bezirk des Hanseatischen Oberlandesgerichts</w:t>
      </w:r>
    </w:p>
    <w:p>
      <w:pPr>
        <w:pStyle w:val="BodyText"/>
      </w:pPr>
      <w:r>
        <w:rPr>
          <w:b/>
          <w:bCs/>
        </w:rPr>
        <w:t xml:space="preserve">Dr. Cornelia Brakelmann-Stüve</w:t>
      </w:r>
    </w:p>
    <w:p>
      <w:pPr>
        <w:pStyle w:val="BodyText"/>
      </w:pPr>
      <w:r>
        <w:t xml:space="preserve">Ballindamm 17, 20095 Hamburg</w:t>
      </w:r>
    </w:p>
    <w:p>
      <w:pPr>
        <w:pStyle w:val="BodyText"/>
      </w:pPr>
      <w:r>
        <w:t xml:space="preserve">erschienen heute:</w:t>
      </w:r>
    </w:p>
    <w:p>
      <w:pPr>
        <w:pStyle w:val="BodyText"/>
      </w:pPr>
      <w:r>
        <w:t xml:space="preserve">Herr</w:t>
      </w:r>
      <w:r>
        <w:t xml:space="preserve"> </w:t>
      </w:r>
      <w:r>
        <w:rPr>
          <w:b/>
          <w:bCs/>
        </w:rPr>
        <w:t xml:space="preserve">Gisbert Tönnemann-Loose</w:t>
      </w:r>
      <w:r>
        <w:t xml:space="preserve">, geboren am 24.09.1972,</w:t>
      </w:r>
    </w:p>
    <w:p>
      <w:pPr>
        <w:pStyle w:val="BodyText"/>
      </w:pPr>
      <w:r>
        <w:t xml:space="preserve">geschäftsansässig: Mundsburger Damm 5, 22087 Hamburg,</w:t>
      </w:r>
    </w:p>
    <w:p>
      <w:pPr>
        <w:pStyle w:val="BodyText"/>
      </w:pPr>
      <w:r>
        <w:t xml:space="preserve">der Notarin von Person bekannt,</w:t>
      </w:r>
    </w:p>
    <w:p>
      <w:pPr>
        <w:pStyle w:val="BodyText"/>
      </w:pPr>
      <w:r>
        <w:t xml:space="preserve">handelnd nicht im eigenen Namen, sondern als alleinvertretungsberechtigter, von den Beschränkungen des § 181 BGB befreiter Geschäftsführer der</w:t>
      </w:r>
    </w:p>
    <w:p>
      <w:pPr>
        <w:pStyle w:val="BodyText"/>
      </w:pPr>
      <w:r>
        <w:rPr>
          <w:b/>
          <w:bCs/>
        </w:rPr>
        <w:t xml:space="preserve">Marewald Verwaltungs GmbH</w:t>
      </w:r>
    </w:p>
    <w:p>
      <w:pPr>
        <w:pStyle w:val="BodyText"/>
      </w:pPr>
      <w:r>
        <w:t xml:space="preserve">(Amtsgericht Hamburg, HRB 158 994),</w:t>
      </w:r>
    </w:p>
    <w:p>
      <w:pPr>
        <w:pStyle w:val="BodyText"/>
      </w:pPr>
      <w:r>
        <w:t xml:space="preserve">diese handelnd als persönlich haftende Gesellschafterin für die</w:t>
      </w:r>
    </w:p>
    <w:p>
      <w:pPr>
        <w:pStyle w:val="BodyText"/>
      </w:pPr>
      <w:r>
        <w:rPr>
          <w:b/>
          <w:bCs/>
        </w:rPr>
        <w:t xml:space="preserve">Marewald Wohnbau GmbH &amp; Co. KG</w:t>
      </w:r>
    </w:p>
    <w:p>
      <w:pPr>
        <w:pStyle w:val="BodyText"/>
      </w:pPr>
      <w:r>
        <w:t xml:space="preserve">(Amtsgericht Hamburg, HRA 121 540),</w:t>
      </w:r>
    </w:p>
    <w:p>
      <w:pPr>
        <w:pStyle w:val="BodyText"/>
      </w:pPr>
      <w:r>
        <w:t xml:space="preserve">Geschäftsanschrift: Mundsburger Damm 5, 22087 Hamburg,</w:t>
      </w:r>
    </w:p>
    <w:p>
      <w:pPr>
        <w:pStyle w:val="BodyText"/>
      </w:pPr>
      <w:r>
        <w:t xml:space="preserve">— nachstehend auch „Verkäufer” genannt —.</w:t>
      </w:r>
    </w:p>
    <w:p>
      <w:pPr>
        <w:pStyle w:val="BodyText"/>
      </w:pPr>
      <w:r>
        <w:t xml:space="preserve">Die Vertretungsberechtigung wurde der Notarin durch Einsicht in das Handelsregister am heutigen Tage nachgewiesen.</w:t>
      </w:r>
    </w:p>
    <w:p>
      <w:pPr>
        <w:pStyle w:val="BodyText"/>
      </w:pPr>
      <w:r>
        <w:t xml:space="preserve">Frau</w:t>
      </w:r>
      <w:r>
        <w:t xml:space="preserve"> </w:t>
      </w:r>
      <w:r>
        <w:rPr>
          <w:b/>
          <w:bCs/>
        </w:rPr>
        <w:t xml:space="preserve">Dr. Henrike Salentin-Voßkamp</w:t>
      </w:r>
      <w:r>
        <w:t xml:space="preserve">, geboren am 07.05.1979,</w:t>
      </w:r>
    </w:p>
    <w:p>
      <w:pPr>
        <w:pStyle w:val="BodyText"/>
      </w:pPr>
      <w:r>
        <w:t xml:space="preserve">wohnhaft: Wandsbeker Chaussee 162, 22089 Hamburg,</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der Notarin erklärten der Erschienene zu 1. auf Rechnung des von ihm Vertretenen und die Erschienene zu 2. auf eigene Rechnung zu handeln.</w:t>
      </w:r>
    </w:p>
    <w:p>
      <w:pPr>
        <w:pStyle w:val="BodyText"/>
      </w:pPr>
      <w:r>
        <w:t xml:space="preserve">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p>
      <w:pPr>
        <w:pStyle w:val="BodyText"/>
      </w:pPr>
      <w:r>
        <w:t xml:space="preserve">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errichtet nach Maßgabe der erteilten Baugenehmigung auf dem Grundstück</w:t>
      </w:r>
    </w:p>
    <w:p>
      <w:pPr>
        <w:pStyle w:val="BlockText"/>
      </w:pPr>
      <w:r>
        <w:t xml:space="preserve">Gemarkung Eilbek, Flur 12, Flurstück 344/9, Gebäude- und Freifläche, „Marewald Höfe”, mit einer grundbuchlichen Größe von insgesamt 6.420 m², nachstehend auch das „Grundstück” genannt,</w:t>
      </w:r>
    </w:p>
    <w:p>
      <w:pPr>
        <w:pStyle w:val="FirstParagraph"/>
      </w:pPr>
      <w:r>
        <w:t xml:space="preserve">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p>
      <w:pPr>
        <w:pStyle w:val="BodyText"/>
      </w:pPr>
      <w:r>
        <w:t xml:space="preserve">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p>
      <w:pPr>
        <w:pStyle w:val="BodyText"/>
      </w:pPr>
      <w:r>
        <w:rPr>
          <w:b/>
          <w:bCs/>
        </w:rPr>
        <w:t xml:space="preserve">0.2</w:t>
      </w:r>
      <w:r>
        <w:t xml:space="preserve"> </w:t>
      </w:r>
      <w:r>
        <w:t xml:space="preserve">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p>
      <w:pPr>
        <w:pStyle w:val="BodyText"/>
      </w:pPr>
      <w:r>
        <w:rPr>
          <w:b/>
          <w:bCs/>
        </w:rPr>
        <w:t xml:space="preserve">0.3</w:t>
      </w:r>
      <w:r>
        <w:t xml:space="preserve"> </w:t>
      </w:r>
      <w:r>
        <w:t xml:space="preserve">Die Baubeschreibung in der Fassung Mai 2026, Version 3.0 (Anlage Baubeschreibung zu dieser Urkunde) ist Gegenstand der Beurkundung und Bestandteil der vom Verkäufer geschuldeten Leistung. Auf das Verlesen wird nicht verzichtet; die Baubeschreibung wurde mitverlesen und als Anlage mitbeurkundet. Visualisierungen, Exposés und die Musterwohnung sind keine selbständigen Vertragsbestandteile; ihre Berücksichtigung als vertragsbegleitende Umstände bei der Auslegung unvollständiger oder unklarer Leistungsbeschreibungen bleibt unberührt.</w:t>
      </w:r>
    </w:p>
    <w:p>
      <w:pPr>
        <w:pStyle w:val="BodyText"/>
      </w:pPr>
      <w:r>
        <w:rPr>
          <w:b/>
          <w:bCs/>
        </w:rPr>
        <w:t xml:space="preserve">0.4</w:t>
      </w:r>
      <w:r>
        <w:t xml:space="preserve"> </w:t>
      </w:r>
      <w:r>
        <w:t xml:space="preserve">Die Abgeschlossenheitsbescheinigung liegt vor. Die Baugenehmigung für die Häuser A bis D vom 14. April 2026 (Az. HH-Wb-2026/0471) liegt vor und wurde der Notarin nachgewiesen.</w:t>
      </w:r>
    </w:p>
    <w:p>
      <w:pPr>
        <w:pStyle w:val="BodyText"/>
      </w:pPr>
      <w:r>
        <w:rPr>
          <w:b/>
          <w:bCs/>
        </w:rPr>
        <w:t xml:space="preserve">0.5</w:t>
      </w:r>
      <w:r>
        <w:t xml:space="preserve"> </w:t>
      </w:r>
      <w:r>
        <w:t xml:space="preserve">Gegenstand dieses Vertrages sind der in § 1 beschriebene Kaufgegenstand sowie die in § 5 und der Anlage Baubeschreibung beschriebene Herstellungsverpflichtung.</w:t>
      </w:r>
    </w:p>
    <w:bookmarkEnd w:id="12"/>
    <w:bookmarkEnd w:id="13"/>
    <w:bookmarkStart w:id="14" w:name="kaufgegenstand"/>
    <w:p>
      <w:pPr>
        <w:pStyle w:val="Heading1"/>
      </w:pPr>
      <w:br w:type="page"/>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Hamburg von Eilbek, Blatt 9 318, eingetragenen Wohnungseigentums:</w:t>
      </w:r>
    </w:p>
    <w:p>
      <w:pPr>
        <w:pStyle w:val="BlockText"/>
      </w:pPr>
      <w:r>
        <w:t xml:space="preserve">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p>
      <w:pPr>
        <w:pStyle w:val="FirstParagraph"/>
      </w:pPr>
      <w:r>
        <w:rPr>
          <w:b/>
          <w:bCs/>
        </w:rPr>
        <w:t xml:space="preserve">1.2</w:t>
      </w:r>
      <w:r>
        <w:t xml:space="preserve"> </w:t>
      </w:r>
      <w:r>
        <w:t xml:space="preserve">Die Sondereigentumseinheit nebst Sondernutzungsrecht am Stellplatz TG-58 und den unter § 5 beschriebenen Bauleistungen wird nachfolgend „Kaufgegenstand” genannt.</w:t>
      </w:r>
    </w:p>
    <w:p>
      <w:pPr>
        <w:pStyle w:val="BodyText"/>
      </w:pPr>
      <w:r>
        <w:rPr>
          <w:b/>
          <w:bCs/>
        </w:rPr>
        <w:t xml:space="preserve">1.3</w:t>
      </w:r>
      <w:r>
        <w:t xml:space="preserve"> </w:t>
      </w:r>
      <w:r>
        <w:t xml:space="preserve">Die Notarin hat das Grundbuch gemäß § 1.1 am heutigen Tage elektronisch eingesehen.</w:t>
      </w:r>
    </w:p>
    <w:p>
      <w:pPr>
        <w:pStyle w:val="BodyText"/>
      </w:pPr>
      <w:r>
        <w:t xml:space="preserve">In Abteilung II sind beschränkte persönliche Dienstbarkeiten zugunsten der Versorgungs- und Netzbetreiber sowie der Freien und Hansestadt Hamburg eingetragen; diese werden vom Käufer übernommen.</w:t>
      </w:r>
    </w:p>
    <w:p>
      <w:pPr>
        <w:pStyle w:val="BodyText"/>
      </w:pPr>
      <w:r>
        <w:t xml:space="preserve">In Abteilung III ist eine Gesamtgrundschuld zugunsten der Norddeutsche Grundkreditbank AG eingetragen. Der Verkäufer wird die lastenfreie Übertragung des Kaufgegenstandes nach Maßgabe von § 3 und § 10 sicherstellen.</w:t>
      </w:r>
    </w:p>
    <w:bookmarkEnd w:id="14"/>
    <w:bookmarkStart w:id="15" w:name="kaufpreis"/>
    <w:p>
      <w:pPr>
        <w:pStyle w:val="Heading1"/>
      </w:pPr>
      <w:br w:type="page"/>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642.000,00 EUR</w:t>
      </w:r>
    </w:p>
    <w:p>
      <w:pPr>
        <w:pStyle w:val="FirstParagraph"/>
      </w:pPr>
      <w:r>
        <w:t xml:space="preserve">zzgl. eines Aufpreises für den Tiefgaragenstellplatz TG-58 von 32.000,00 EUR. Der Gesamtkaufpreis beträgt damit</w:t>
      </w:r>
      <w:r>
        <w:t xml:space="preserve"> </w:t>
      </w:r>
      <w:r>
        <w:rPr>
          <w:b/>
          <w:bCs/>
        </w:rPr>
        <w:t xml:space="preserve">674.000,00 EUR</w:t>
      </w:r>
      <w:r>
        <w:t xml:space="preserve">.</w:t>
      </w:r>
    </w:p>
    <w:p>
      <w:pPr>
        <w:pStyle w:val="BodyText"/>
      </w:pPr>
      <w:r>
        <w:rPr>
          <w:b/>
          <w:bCs/>
        </w:rPr>
        <w:t xml:space="preserve">2.2</w:t>
      </w:r>
      <w:r>
        <w:t xml:space="preserve"> </w:t>
      </w:r>
      <w:r>
        <w:t xml:space="preserve">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p>
      <w:pPr>
        <w:pStyle w:val="BodyText"/>
      </w:pPr>
      <w:r>
        <w:rPr>
          <w:b/>
          <w:bCs/>
        </w:rPr>
        <w:t xml:space="preserve">2.3</w:t>
      </w:r>
      <w:r>
        <w:t xml:space="preserve"> </w:t>
      </w:r>
      <w:r>
        <w:t xml:space="preserve">Nicht im Kaufpreis enthalten sind die bei Notar, Grundbuchamt und Behörden anfallenden Gebühren, die Grunderwerbsteuer, die Kosten der Finanzierung des Käufers sowie Kosten gesondert beauftragter Sonderwünsche (§ 3.5).</w:t>
      </w:r>
    </w:p>
    <w:bookmarkEnd w:id="15"/>
    <w:bookmarkStart w:id="16" w:name="kaufpreiszahlung-fälligkeit-sicherheiten"/>
    <w:p>
      <w:pPr>
        <w:pStyle w:val="Heading1"/>
      </w:pPr>
      <w:br w:type="page"/>
      <w:r>
        <w:t xml:space="preserve">§ 3 Kaufpreiszahlung, Fälligkeit, Sicherheiten</w:t>
      </w:r>
    </w:p>
    <w:p>
      <w:pPr>
        <w:pStyle w:val="FirstParagraph"/>
      </w:pPr>
      <w:r>
        <w:rPr>
          <w:b/>
          <w:bCs/>
        </w:rPr>
        <w:t xml:space="preserve">3.1</w:t>
      </w:r>
      <w:r>
        <w:t xml:space="preserve"> </w:t>
      </w:r>
      <w:r>
        <w:t xml:space="preserve">Die Kaufpreiszahlungen sind frühestens fällig, wenn die Notarin den Parteien schriftlich mitgeteilt hat, dass</w:t>
      </w:r>
    </w:p>
    <w:p>
      <w:pPr>
        <w:numPr>
          <w:ilvl w:val="0"/>
          <w:numId w:val="1001"/>
        </w:numPr>
      </w:pPr>
      <w:r>
        <w:t xml:space="preserve">der Vertrag rechtswirksam zustande gekommen ist und keine vertraglichen Rücktrittsrechte des Verkäufers mehr bestehen,</w:t>
      </w:r>
    </w:p>
    <w:p>
      <w:pPr>
        <w:numPr>
          <w:ilvl w:val="0"/>
          <w:numId w:val="1001"/>
        </w:numPr>
      </w:pPr>
      <w:r>
        <w:t xml:space="preserve">die Auflassungsvormerkung zugunsten des Käufers an vereinbarter Rangstelle im Grundbuch eingetragen ist,</w:t>
      </w:r>
    </w:p>
    <w:p>
      <w:pPr>
        <w:numPr>
          <w:ilvl w:val="0"/>
          <w:numId w:val="1001"/>
        </w:numPr>
      </w:pPr>
      <w:r>
        <w:t xml:space="preserve">die Freistellungserklärung der Norddeutsche Grundkreditbank AG nach § 3 MaBV — auch für den Fall der nicht vollendeten Bauausführung — vorliegt, und</w:t>
      </w:r>
    </w:p>
    <w:p>
      <w:pPr>
        <w:numPr>
          <w:ilvl w:val="0"/>
          <w:numId w:val="1001"/>
        </w:numPr>
      </w:pPr>
      <w:r>
        <w:t xml:space="preserve">die Baugenehmigung für Haus C vorliegt.</w:t>
      </w:r>
    </w:p>
    <w:p>
      <w:pPr>
        <w:pStyle w:val="FirstParagraph"/>
      </w:pPr>
      <w:r>
        <w:t xml:space="preserve">Diese Voraussetzungen entsprechen § 3 Abs. 1 der Makler- und Bauträgerverordnung (MaBV); von ihnen wird nicht zulasten des Käufers abgewichen.</w:t>
      </w:r>
    </w:p>
    <w:p>
      <w:pPr>
        <w:pStyle w:val="BodyText"/>
      </w:pPr>
      <w:r>
        <w:rPr>
          <w:b/>
          <w:bCs/>
        </w:rPr>
        <w:t xml:space="preserve">3.2</w:t>
      </w:r>
      <w:r>
        <w:t xml:space="preserve"> </w:t>
      </w:r>
      <w:r>
        <w:t xml:space="preserve">Der Käufer zahlt den Kaufpreis nach Baufortschritt in sieben Teilbeträgen entsprechend § 3 Abs. 2 MaBV: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Bautenstand</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Dachflächen/Dachrinnen, Rohinstallation Heizung/Sanitär/Elektro und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 einschließlich der Außenanlagen</w:t>
            </w:r>
          </w:p>
        </w:tc>
        <w:tc>
          <w:tcPr/>
          <w:p>
            <w:pPr>
              <w:pStyle w:val="Compact"/>
            </w:pPr>
            <w:r>
              <w:t xml:space="preserve">3,5 %</w:t>
            </w:r>
          </w:p>
        </w:tc>
      </w:tr>
    </w:tbl>
    <w:p>
      <w:pPr>
        <w:pStyle w:val="BodyText"/>
      </w:pPr>
      <w:r>
        <w:t xml:space="preserve">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p>
      <w:pPr>
        <w:pStyle w:val="BodyText"/>
      </w:pPr>
      <w:r>
        <w:rPr>
          <w:b/>
          <w:bCs/>
        </w:rPr>
        <w:t xml:space="preserve">3.3</w:t>
      </w:r>
      <w:r>
        <w:t xml:space="preserve"> </w:t>
      </w:r>
      <w:r>
        <w:t xml:space="preserve">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durch Einbehalt des Käufers nach Maßgabe des § 650m Abs. 2 Satz 3 BGB oder durch unbefristete, selbstschuldnerische Garantie oder ein sonstiges Zahlungsversprechen eines im Inland zum Geschäftsbetrieb befugten Kreditinstituts oder Kreditversicherers geleistet werden. Sie ist zurückzugeben, sobald der gesamte von ihr erfasste Herstellungsumfang tatsächlich rechtzeitig und ohne wesentliche Mängel fertiggestellt ist. Soweit gesicherte Ansprüche wegen Verzögerung oder wesentlicher Mängel fortbestehen, bleibt die Sicherheit in angemessener Höhe bestehen; sonstige gesetzliche Mängelrechte werden durch ihre Rückgabe nicht berührt.</w:t>
      </w:r>
    </w:p>
    <w:p>
      <w:pPr>
        <w:pStyle w:val="BodyText"/>
      </w:pPr>
      <w:r>
        <w:rPr>
          <w:b/>
          <w:bCs/>
        </w:rPr>
        <w:t xml:space="preserve">3.4</w:t>
      </w:r>
      <w:r>
        <w:t xml:space="preserve"> </w:t>
      </w:r>
      <w:r>
        <w:t xml:space="preserve">Vorleistung. Der vor Beurkundung gezahlte Betrag von 5.000,00 EUR wird vorbehaltlos und vollständig auf die erste fällige Kaufpreisrate angerechnet. Mit der Anrechnung sind keine Verzichts-, Anerkenntnis- oder Verfallwirkungen verbunden.</w:t>
      </w:r>
    </w:p>
    <w:p>
      <w:pPr>
        <w:pStyle w:val="BodyText"/>
      </w:pPr>
      <w:r>
        <w:rPr>
          <w:b/>
          <w:bCs/>
        </w:rPr>
        <w:t xml:space="preserve">3.5</w:t>
      </w:r>
      <w:r>
        <w:t xml:space="preserve"> </w:t>
      </w:r>
      <w:r>
        <w:t xml:space="preserve">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178,50 EUR je Stunde einschließlich 19 % Umsatzsteuer vergütet.</w:t>
      </w:r>
    </w:p>
    <w:bookmarkEnd w:id="16"/>
    <w:bookmarkStart w:id="17" w:name="Xacd27a9a0599f387afb098c717c3b96c90edba0"/>
    <w:p>
      <w:pPr>
        <w:pStyle w:val="Heading1"/>
      </w:pPr>
      <w:br w:type="page"/>
      <w:r>
        <w:t xml:space="preserve">§ 4 Belastungsvollmacht, Kaufpreisfinanzierung</w:t>
      </w:r>
    </w:p>
    <w:p>
      <w:pPr>
        <w:pStyle w:val="FirstParagraph"/>
      </w:pPr>
      <w:r>
        <w:rPr>
          <w:b/>
          <w:bCs/>
        </w:rPr>
        <w:t xml:space="preserve">4.1</w:t>
      </w:r>
      <w:r>
        <w:t xml:space="preserve"> </w:t>
      </w:r>
      <w:r>
        <w:t xml:space="preserve">Der Verkäufer bevollmächtigt den Käufer, an dem Kaufgegenstand bereits vor Eigentumsumschreibung Grundpfandrechte zugunsten finanzierender Kreditinstitute zu bestellen und eintragen zu lassen.</w:t>
      </w:r>
    </w:p>
    <w:p>
      <w:pPr>
        <w:pStyle w:val="BodyText"/>
      </w:pPr>
      <w:r>
        <w:rPr>
          <w:b/>
          <w:bCs/>
        </w:rPr>
        <w:t xml:space="preserve">4.2</w:t>
      </w:r>
      <w:r>
        <w:t xml:space="preserve"> </w:t>
      </w:r>
      <w:r>
        <w:t xml:space="preserve">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p>
      <w:pPr>
        <w:pStyle w:val="BodyText"/>
      </w:pPr>
      <w:r>
        <w:rPr>
          <w:b/>
          <w:bCs/>
        </w:rPr>
        <w:t xml:space="preserve">4.3</w:t>
      </w:r>
      <w:r>
        <w:t xml:space="preserve"> </w:t>
      </w:r>
      <w:r>
        <w:t xml:space="preserve">Der Käufer trägt die Kosten der Bestellung, Rangbeschaffung und Löschung der Finanzierungsgrundpfandrechte. Der Verkäufer bleibt verpflichtet, die Lastenfreistellung nach § 3.1 c) und § 10 sicherzustellen.</w:t>
      </w:r>
    </w:p>
    <w:bookmarkEnd w:id="17"/>
    <w:bookmarkStart w:id="18" w:name="baupflicht-baubeschreibung-termine"/>
    <w:p>
      <w:pPr>
        <w:pStyle w:val="Heading1"/>
      </w:pPr>
      <w:br w:type="page"/>
      <w:r>
        <w:t xml:space="preserve">§ 5 Baupflicht, Baubeschreibung, Termine</w:t>
      </w:r>
    </w:p>
    <w:p>
      <w:pPr>
        <w:pStyle w:val="FirstParagraph"/>
      </w:pPr>
      <w:r>
        <w:rPr>
          <w:b/>
          <w:bCs/>
        </w:rPr>
        <w:t xml:space="preserve">5.1</w:t>
      </w:r>
      <w:r>
        <w:t xml:space="preserve"> </w:t>
      </w:r>
      <w:r>
        <w:t xml:space="preserve">Der Verkäufer verpflichtet sich, den Kaufgegenstand entsprechend der mitbeurkundeten Anlage Baubeschreibung (Fassung Mai 2026, Version 3.0), den genehmigten Plänen und den anerkannten Regeln der Technik herzustellen.</w:t>
      </w:r>
    </w:p>
    <w:p>
      <w:pPr>
        <w:pStyle w:val="BodyText"/>
      </w:pPr>
      <w:r>
        <w:rPr>
          <w:b/>
          <w:bCs/>
        </w:rPr>
        <w:t xml:space="preserve">5.2</w:t>
      </w:r>
      <w:r>
        <w:t xml:space="preserve"> </w:t>
      </w:r>
      <w:r>
        <w:t xml:space="preserve">Planung und Bauüberwachung organisiert der Verkäufer in eigener Verantwortung. Planungsunterlagen, welche der Käufer zum Nachweis gegenüber Behörden benötigt, werden ihm rechtzeitig vor Beginn der jeweils betroffenen Ausführung übergeben; die entsprechenden Fertigstellungsnachweise spätestens mit Fertigstellung. Entsprechendes gilt für Nachweise, die ein Darlehensgeber aufgrund einer vom Verkäufer geweckten berechtigten Erwartung verlangt (§ 650n BGB). Darüber hinaus erhält der Käufer oder die Gemeinschaft die vertraglich geschuldeten Bedienungs-, Wartungs-, Prüf- und Revisionsunterlagen zu dem jeweils vereinbarten Übergabezeitpunkt. Reine interne Kalkulations- und Steuerungsunterlagen bleiben vorbehalten.</w:t>
      </w:r>
    </w:p>
    <w:p>
      <w:pPr>
        <w:pStyle w:val="BodyText"/>
      </w:pPr>
      <w:r>
        <w:rPr>
          <w:b/>
          <w:bCs/>
        </w:rPr>
        <w:t xml:space="preserve">5.3</w:t>
      </w:r>
      <w:r>
        <w:t xml:space="preserve"> </w:t>
      </w:r>
      <w:r>
        <w:t xml:space="preserve">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p>
      <w:pPr>
        <w:pStyle w:val="BodyText"/>
      </w:pPr>
      <w:r>
        <w:rPr>
          <w:b/>
          <w:bCs/>
        </w:rPr>
        <w:t xml:space="preserve">5.4</w:t>
      </w:r>
      <w:r>
        <w:t xml:space="preserve"> </w:t>
      </w:r>
      <w:r>
        <w:t xml:space="preserve">Auf eine von Baubeschreibung, Plänen und Vertrag abweichende Ausführung besteht kein Anspruch. Verkaufsunterlagen und Musterwohnung begründen für sich allein keine zusätzliche Beschaffenheitsvereinbarung; Individualabreden und ihre Berücksichtigung als vertragsbegleitende Umstände bei unvollständigen oder unklaren Leistungsbeschreibungen bleiben unberührt.</w:t>
      </w:r>
    </w:p>
    <w:p>
      <w:pPr>
        <w:pStyle w:val="BodyText"/>
      </w:pPr>
      <w:r>
        <w:rPr>
          <w:b/>
          <w:bCs/>
        </w:rPr>
        <w:t xml:space="preserve">5.5</w:t>
      </w:r>
      <w:r>
        <w:t xml:space="preserve"> </w:t>
      </w:r>
      <w:r>
        <w:t xml:space="preserve">Enthält die Baubeschreibung zu notwendigen Leistungen keine oder unbestimmte Angaben, wird das Bausoll unter Berücksichtigung sämtlicher vertragsbegleitender Umstände, insbesondere des Komfort- und Qualitätsstandards der Ausstattungslinie „Marewald Komfort C”, bestimmt; Zweifel gehen zulasten des Verkäufers. Geschuldet sind mindestens die anerkannten Regeln der Technik und die nach diesem Auslegungsmaßstab erforderliche Qualität.</w:t>
      </w:r>
    </w:p>
    <w:p>
      <w:pPr>
        <w:pStyle w:val="BodyText"/>
      </w:pPr>
      <w:r>
        <w:rPr>
          <w:b/>
          <w:bCs/>
        </w:rPr>
        <w:t xml:space="preserve">5.6</w:t>
      </w:r>
      <w:r>
        <w:t xml:space="preserve"> </w:t>
      </w:r>
      <w:r>
        <w:t xml:space="preserve">Der Verkäufer schuldet die Einhaltung der anerkannten Regeln der Technik</w:t>
      </w:r>
      <w:r>
        <w:t xml:space="preserve"> </w:t>
      </w:r>
      <w:r>
        <w:rPr>
          <w:b/>
          <w:bCs/>
        </w:rPr>
        <w:t xml:space="preserve">im Zeitpunkt der Abnahme</w:t>
      </w:r>
      <w:r>
        <w:t xml:space="preserve">.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p>
      <w:pPr>
        <w:pStyle w:val="BodyText"/>
      </w:pPr>
      <w:r>
        <w:rPr>
          <w:b/>
          <w:bCs/>
        </w:rPr>
        <w:t xml:space="preserve">5.7</w:t>
      </w:r>
      <w:r>
        <w:t xml:space="preserve"> </w:t>
      </w:r>
      <w:r>
        <w:t xml:space="preserve">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p>
      <w:pPr>
        <w:pStyle w:val="BodyText"/>
      </w:pPr>
      <w:r>
        <w:rPr>
          <w:b/>
          <w:bCs/>
        </w:rPr>
        <w:t xml:space="preserve">5.8</w:t>
      </w:r>
      <w:r>
        <w:t xml:space="preserve"> </w:t>
      </w:r>
      <w:r>
        <w:t xml:space="preserve">Termine</w:t>
      </w:r>
    </w:p>
    <w:p>
      <w:pPr>
        <w:pStyle w:val="BodyText"/>
      </w:pPr>
      <w:r>
        <w:t xml:space="preserve">5.8.1 Der Verkäufer stellt den Kaufgegenstand</w:t>
      </w:r>
      <w:r>
        <w:t xml:space="preserve"> </w:t>
      </w:r>
      <w:r>
        <w:rPr>
          <w:b/>
          <w:bCs/>
        </w:rPr>
        <w:t xml:space="preserve">verbindlich bis zum 31. März 2028</w:t>
      </w:r>
      <w:r>
        <w:t xml:space="preserve"> </w:t>
      </w:r>
      <w:r>
        <w:t xml:space="preserve">bezugsfertig her. Gerät der Verkäufer mit diesem Termin in Verzug, gelten die §§ 286 ff. BGB; einer gesonderten Mahnung bedarf es nicht (§ 286 Abs. 2 Nr. 1 BGB).</w:t>
      </w:r>
    </w:p>
    <w:p>
      <w:pPr>
        <w:pStyle w:val="BodyText"/>
      </w:pPr>
      <w:r>
        <w:t xml:space="preserve">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p>
      <w:pPr>
        <w:pStyle w:val="BodyText"/>
      </w:pPr>
      <w:r>
        <w:t xml:space="preserve">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p>
      <w:pPr>
        <w:pStyle w:val="BodyText"/>
      </w:pPr>
      <w:r>
        <w:rPr>
          <w:b/>
          <w:bCs/>
        </w:rPr>
        <w:t xml:space="preserve">5.9</w:t>
      </w:r>
      <w:r>
        <w:t xml:space="preserve"> </w:t>
      </w:r>
      <w:r>
        <w:t xml:space="preserve">Wohnfläche. Die nach der Wohnflächenverordnung ermittelte Plan-Wohnfläche beträgt ca. 84,6 m². Unvermeidbare, geringfügige Maßabweichungen sind nicht allein wegen der Abweichung mangelhaft, sofern sie Gebrauchstauglichkeit, Möblierbarkeit und Wert nicht spürbar beeinträchtigen. Im Übrigen richten sich Kaufpreisanpassung und weitere Rechte nach Bedeutung und Umfang der tatsächlichen Abweichung; eine starre Toleranz oder eine Beschränkung auf den eine Toleranz überschreitenden Flächenanteil wird nicht vereinbart.</w:t>
      </w:r>
    </w:p>
    <w:p>
      <w:pPr>
        <w:pStyle w:val="BodyText"/>
      </w:pPr>
      <w:r>
        <w:rPr>
          <w:b/>
          <w:bCs/>
        </w:rPr>
        <w:t xml:space="preserve">5.10</w:t>
      </w:r>
      <w:r>
        <w:t xml:space="preserve"> </w:t>
      </w:r>
      <w:r>
        <w:t xml:space="preserve">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p>
      <w:pPr>
        <w:pStyle w:val="BodyText"/>
      </w:pPr>
      <w:r>
        <w:rPr>
          <w:b/>
          <w:bCs/>
        </w:rPr>
        <w:t xml:space="preserve">5.11</w:t>
      </w:r>
      <w:r>
        <w:t xml:space="preserve"> </w:t>
      </w:r>
      <w:r>
        <w:t xml:space="preserve">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bookmarkEnd w:id="18"/>
    <w:bookmarkStart w:id="19" w:name="besitzübergang-abnahme"/>
    <w:p>
      <w:pPr>
        <w:pStyle w:val="Heading1"/>
      </w:pPr>
      <w:br w:type="page"/>
      <w:r>
        <w:t xml:space="preserve">§ 6 Besitzübergang, Abnahme</w:t>
      </w:r>
    </w:p>
    <w:p>
      <w:pPr>
        <w:pStyle w:val="FirstParagraph"/>
      </w:pPr>
      <w:r>
        <w:rPr>
          <w:b/>
          <w:bCs/>
        </w:rPr>
        <w:t xml:space="preserve">6.1</w:t>
      </w:r>
      <w:r>
        <w:t xml:space="preserve"> </w:t>
      </w:r>
      <w:r>
        <w:t xml:space="preserve">Besitz, Nutzen, Lasten und Gefahr gehen mit Übergabe der Sondereigentumseinheit über. Die Übergabe erfolgt Zug um Zug gegen Zahlung der bis dahin fälligen Raten; das gesetzliche Zurückbehaltungsrecht des Käufers wegen festgestellter Mängel bleibt unberührt.</w:t>
      </w:r>
    </w:p>
    <w:p>
      <w:pPr>
        <w:pStyle w:val="BodyText"/>
      </w:pPr>
      <w:r>
        <w:rPr>
          <w:b/>
          <w:bCs/>
        </w:rPr>
        <w:t xml:space="preserve">6.2</w:t>
      </w:r>
      <w:r>
        <w:t xml:space="preserve"> </w:t>
      </w:r>
      <w:r>
        <w:t xml:space="preserve">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p>
      <w:pPr>
        <w:pStyle w:val="BodyText"/>
      </w:pPr>
      <w:r>
        <w:rPr>
          <w:b/>
          <w:bCs/>
        </w:rPr>
        <w:t xml:space="preserve">6.3</w:t>
      </w:r>
      <w:r>
        <w:t xml:space="preserve"> </w:t>
      </w:r>
      <w:r>
        <w:t xml:space="preserve">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bookmarkEnd w:id="19"/>
    <w:bookmarkStart w:id="20" w:name="erschließungs--und-anschlusskosten"/>
    <w:p>
      <w:pPr>
        <w:pStyle w:val="Heading1"/>
      </w:pPr>
      <w:br w:type="page"/>
      <w:r>
        <w:t xml:space="preserve">§ 7 Erschließungs- und Anschlusskosten</w:t>
      </w:r>
    </w:p>
    <w:p>
      <w:pPr>
        <w:pStyle w:val="FirstParagraph"/>
      </w:pPr>
      <w:r>
        <w:rPr>
          <w:b/>
          <w:bCs/>
        </w:rPr>
        <w:t xml:space="preserve">7.1</w:t>
      </w:r>
      <w:r>
        <w:t xml:space="preserve"> </w:t>
      </w:r>
      <w:r>
        <w:t xml:space="preserve">Der Festpreis umfasst sämtliche Kosten der erstmaligen Erschließung des Grundstücks sowie der für die vertragsgemäße Herstellung erforderlichen Ver- und Entsorgungsanschlüsse, auch soweit Bescheide erst nach Beurkundung ergehen.</w:t>
      </w:r>
    </w:p>
    <w:p>
      <w:pPr>
        <w:pStyle w:val="BodyText"/>
      </w:pPr>
      <w:r>
        <w:rPr>
          <w:b/>
          <w:bCs/>
        </w:rPr>
        <w:t xml:space="preserve">7.2</w:t>
      </w:r>
      <w:r>
        <w:t xml:space="preserve"> </w:t>
      </w:r>
      <w:r>
        <w:t xml:space="preserve">Der Käufer trägt nur Beiträge und Kosten für nach Besitzübergabe neu beschlossene Maßnahmen, die weder der erstmaligen Erschließung noch der Erfüllung der Herstellungsverpflichtungen des Verkäufers dienen und nicht durch eine Pflichtverletzung des Verkäufers veranlasst sind.</w:t>
      </w:r>
    </w:p>
    <w:bookmarkEnd w:id="20"/>
    <w:bookmarkStart w:id="21" w:name="X95a8d91ab13c2e8761b739cae98aa801cad362c"/>
    <w:p>
      <w:pPr>
        <w:pStyle w:val="Heading1"/>
      </w:pPr>
      <w:br w:type="page"/>
      <w:r>
        <w:t xml:space="preserve">§ 8 Zutritt zur Baustelle, eigene Sachverständige</w:t>
      </w:r>
    </w:p>
    <w:p>
      <w:pPr>
        <w:pStyle w:val="FirstParagraph"/>
      </w:pPr>
      <w:r>
        <w:rPr>
          <w:b/>
          <w:bCs/>
        </w:rPr>
        <w:t xml:space="preserve">8.1</w:t>
      </w:r>
      <w:r>
        <w:t xml:space="preserve"> </w:t>
      </w:r>
      <w:r>
        <w:t xml:space="preserve">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p>
      <w:pPr>
        <w:pStyle w:val="BodyText"/>
      </w:pPr>
      <w:r>
        <w:rPr>
          <w:b/>
          <w:bCs/>
        </w:rPr>
        <w:t xml:space="preserve">8.2</w:t>
      </w:r>
      <w:r>
        <w:t xml:space="preserve"> </w:t>
      </w:r>
      <w:r>
        <w:t xml:space="preserve">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bookmarkEnd w:id="21"/>
    <w:bookmarkStart w:id="22" w:name="mängelrechte-verjährung"/>
    <w:p>
      <w:pPr>
        <w:pStyle w:val="Heading1"/>
      </w:pPr>
      <w:br w:type="page"/>
      <w:r>
        <w:t xml:space="preserve">§ 9 Mängelrechte, Verjährung</w:t>
      </w:r>
    </w:p>
    <w:p>
      <w:pPr>
        <w:pStyle w:val="FirstParagraph"/>
      </w:pPr>
      <w:r>
        <w:rPr>
          <w:b/>
          <w:bCs/>
        </w:rPr>
        <w:t xml:space="preserve">9.1</w:t>
      </w:r>
      <w:r>
        <w:t xml:space="preserve"> </w:t>
      </w:r>
      <w:r>
        <w:t xml:space="preserve">Für das herzustellende Bauwerk gelten die Mängelrechte des Werkvertragsrechts (§§ 633 ff. BGB) ohne Einschränkung. Für den Grund und Boden im Übrigen sind Sachmängelansprüche ausgeschlossen. Unberührt bleiben Ansprüche wegen arglistig verschwiegener Mängel, wegen einer übernommenen Garantie, wegen Vorsatz oder grober Fahrlässigkeit sowie wegen schuldhafter Verletzung von Leben, Körper oder Gesundheit.</w:t>
      </w:r>
    </w:p>
    <w:p>
      <w:pPr>
        <w:pStyle w:val="BodyText"/>
      </w:pPr>
      <w:r>
        <w:rPr>
          <w:b/>
          <w:bCs/>
        </w:rPr>
        <w:t xml:space="preserve">9.2</w:t>
      </w:r>
      <w:r>
        <w:t xml:space="preserve"> </w:t>
      </w:r>
      <w:r>
        <w:t xml:space="preserve">Die Verjährungsfrist für Mängelansprüche am Bauwerk beträgt fünf Jahre ab Abnahme (§ 634a Abs. 1 Nr. 2 BGB).</w:t>
      </w:r>
    </w:p>
    <w:p>
      <w:pPr>
        <w:pStyle w:val="BodyText"/>
      </w:pPr>
      <w:r>
        <w:rPr>
          <w:b/>
          <w:bCs/>
        </w:rPr>
        <w:t xml:space="preserve">9.3</w:t>
      </w:r>
      <w:r>
        <w:t xml:space="preserve"> </w:t>
      </w:r>
      <w:r>
        <w:t xml:space="preserve">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p>
      <w:pPr>
        <w:pStyle w:val="BodyText"/>
      </w:pPr>
      <w:r>
        <w:rPr>
          <w:b/>
          <w:bCs/>
        </w:rPr>
        <w:t xml:space="preserve">9.4</w:t>
      </w:r>
      <w:r>
        <w:t xml:space="preserve"> </w:t>
      </w:r>
      <w:r>
        <w:t xml:space="preserve">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bookmarkEnd w:id="22"/>
    <w:bookmarkStart w:id="23" w:name="vormerkung"/>
    <w:p>
      <w:pPr>
        <w:pStyle w:val="Heading1"/>
      </w:pPr>
      <w:br w:type="page"/>
      <w:r>
        <w:t xml:space="preserve">§ 10 Vormerkung</w:t>
      </w:r>
    </w:p>
    <w:p>
      <w:pPr>
        <w:pStyle w:val="FirstParagraph"/>
      </w:pPr>
      <w:r>
        <w:rPr>
          <w:b/>
          <w:bCs/>
        </w:rPr>
        <w:t xml:space="preserve">10.1</w:t>
      </w:r>
      <w:r>
        <w:t xml:space="preserve"> </w:t>
      </w:r>
      <w:r>
        <w:t xml:space="preserve">Zur Sicherung des Anspruchs des Käufers auf Eigentumsverschaffung wird eine Auflassungsvormerkung nach § 883 BGB zugunsten des Käufers im Wohnungsgrundbuch eingetragen.</w:t>
      </w:r>
    </w:p>
    <w:p>
      <w:pPr>
        <w:pStyle w:val="BodyText"/>
      </w:pPr>
      <w:r>
        <w:rPr>
          <w:b/>
          <w:bCs/>
        </w:rPr>
        <w:t xml:space="preserve">10.2</w:t>
      </w:r>
      <w:r>
        <w:t xml:space="preserve"> </w:t>
      </w:r>
      <w:r>
        <w:t xml:space="preserve">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w:t>
      </w:r>
      <w:r>
        <w:t xml:space="preserve"> </w:t>
      </w:r>
      <w:r>
        <w:rPr>
          <w:b/>
          <w:bCs/>
        </w:rPr>
        <w:t xml:space="preserve">und</w:t>
      </w:r>
      <w:r>
        <w:t xml:space="preserve"> </w:t>
      </w:r>
      <w:r>
        <w:t xml:space="preserve">dem Käufer geleistete Zahlungen Zug um Zug zurückgewährt sind oder hierfür Sicherheit geleistet ist. Eine Löschung allein aufgrund einer einseitigen Verzugsbehauptung des Verkäufers ist ausgeschlossen.</w:t>
      </w:r>
    </w:p>
    <w:p>
      <w:pPr>
        <w:pStyle w:val="BodyText"/>
      </w:pPr>
      <w:r>
        <w:rPr>
          <w:b/>
          <w:bCs/>
        </w:rPr>
        <w:t xml:space="preserve">10.3</w:t>
      </w:r>
      <w:r>
        <w:t xml:space="preserve"> </w:t>
      </w:r>
      <w:r>
        <w:t xml:space="preserve">Der Käufer beantragt die Löschung der Vormerkung Zug um Zug mit Vollzug der Auflassung.</w:t>
      </w:r>
    </w:p>
    <w:bookmarkEnd w:id="23"/>
    <w:bookmarkStart w:id="24" w:name="auflassung"/>
    <w:p>
      <w:pPr>
        <w:pStyle w:val="Heading1"/>
      </w:pPr>
      <w:br w:type="page"/>
      <w:r>
        <w:t xml:space="preserve">§ 11 Auflassung</w:t>
      </w:r>
    </w:p>
    <w:p>
      <w:pPr>
        <w:pStyle w:val="FirstParagraph"/>
      </w:pPr>
      <w:r>
        <w:t xml:space="preserve">Verkäufer und Käufer sind über den Eigentumsübergang einig und bewilligen und beantragen die Eintragung. Die Notarin wird angewiesen, die Auflassung erst nach Zahlung aller fälligen, unstreitigen und nicht berechtigt zurückbehaltenen Kaufpreisbeträge sowie nach Vorliegen der Lastenfreistellung für den Kaufgegenstand zur Eintragung zu bringen. Berechtigt zurückbehaltene Restbeträge hindern die Umschreibung nicht, wenn sie durch eine unbefristete selbstschuldnerische Bankbürgschaft oder in anderer insolvenzfester Weise gesichert sind.</w:t>
      </w:r>
    </w:p>
    <w:bookmarkEnd w:id="24"/>
    <w:bookmarkStart w:id="25" w:name="vollmachten"/>
    <w:p>
      <w:pPr>
        <w:pStyle w:val="Heading1"/>
      </w:pPr>
      <w:br w:type="page"/>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p>
      <w:pPr>
        <w:pStyle w:val="BodyText"/>
      </w:pPr>
      <w:r>
        <w:rPr>
          <w:b/>
          <w:bCs/>
        </w:rPr>
        <w:t xml:space="preserve">12.2</w:t>
      </w:r>
      <w:r>
        <w:t xml:space="preserve"> </w:t>
      </w:r>
      <w:r>
        <w:t xml:space="preserve">Die Vollmacht ist von den Beschränkungen des § 181 BGB befreit und im Innenverhältnis nur im vorstehenden Rahmen und unter Wahrung der berechtigten Interessen des Käufers auszuüben. Der Verkäufer teilt dem Käufer Gebrauch und Inhalt der Änderung in Textform mit.</w:t>
      </w:r>
    </w:p>
    <w:p>
      <w:pPr>
        <w:pStyle w:val="BodyText"/>
      </w:pPr>
      <w:r>
        <w:rPr>
          <w:b/>
          <w:bCs/>
        </w:rPr>
        <w:t xml:space="preserve">12.3</w:t>
      </w:r>
      <w:r>
        <w:t xml:space="preserve"> </w:t>
      </w:r>
      <w:r>
        <w:t xml:space="preserve">Der Käufer bevollmächtigt den Verkäufer ferner, die zum Vollzug dieses Vertrages erforderlichen verfahrensrechtlichen Erklärungen gegenüber Grundbuchamt und Behörden abzugeben.</w:t>
      </w:r>
    </w:p>
    <w:bookmarkEnd w:id="25"/>
    <w:bookmarkStart w:id="26" w:name="schlussbestimmungen"/>
    <w:p>
      <w:pPr>
        <w:pStyle w:val="Heading1"/>
      </w:pPr>
      <w:br w:type="page"/>
      <w:r>
        <w:t xml:space="preserve">§ 13 Schlussbestimmungen</w:t>
      </w:r>
    </w:p>
    <w:p>
      <w:pPr>
        <w:pStyle w:val="FirstParagraph"/>
      </w:pPr>
      <w:r>
        <w:rPr>
          <w:b/>
          <w:bCs/>
        </w:rPr>
        <w:t xml:space="preserve">13.1</w:t>
      </w:r>
      <w:r>
        <w:t xml:space="preserve"> </w:t>
      </w:r>
      <w:r>
        <w:t xml:space="preserve">Mündliche Nebenabreden bestehen nicht. Änderungen bedürfen der notariellen Beurkundung, soweit gesetzlich vorgeschrieben.</w:t>
      </w:r>
    </w:p>
    <w:p>
      <w:pPr>
        <w:pStyle w:val="BodyText"/>
      </w:pPr>
      <w:r>
        <w:rPr>
          <w:b/>
          <w:bCs/>
        </w:rPr>
        <w:t xml:space="preserve">13.2</w:t>
      </w:r>
      <w:r>
        <w:t xml:space="preserve"> </w:t>
      </w:r>
      <w:r>
        <w:t xml:space="preserve">Ist eine Bestimmung unwirksam, bleibt der Vertrag im Übrigen wirksam; an die Stelle der unwirksamen Bestimmung tritt die gesetzliche Regelung (§ 306 BGB).</w:t>
      </w:r>
    </w:p>
    <w:p>
      <w:pPr>
        <w:pStyle w:val="BodyText"/>
      </w:pPr>
      <w:r>
        <w:rPr>
          <w:b/>
          <w:bCs/>
        </w:rPr>
        <w:t xml:space="preserve">13.3</w:t>
      </w:r>
      <w:r>
        <w:t xml:space="preserve"> </w:t>
      </w:r>
      <w:r>
        <w:t xml:space="preserve">Die Kosten dieser Urkunde und ihres Vollzugs trägt der Käufer. Der gesetzliche Verbrauchergerichtsstand bleibt unberührt; eine Abweichung von § 29c ZPO wird nicht vereinbart.</w:t>
      </w:r>
    </w:p>
    <w:p>
      <w:pPr>
        <w:pStyle w:val="BodyText"/>
      </w:pPr>
      <w:r>
        <w:rPr>
          <w:b/>
          <w:bCs/>
        </w:rPr>
        <w:t xml:space="preserve">13.4</w:t>
      </w:r>
      <w:r>
        <w:t xml:space="preserve"> </w:t>
      </w:r>
      <w:r>
        <w:t xml:space="preserve">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bookmarkEnd w:id="26"/>
    <w:bookmarkStart w:id="27" w:name="belehrungen"/>
    <w:p>
      <w:pPr>
        <w:pStyle w:val="Heading1"/>
      </w:pPr>
      <w:br w:type="page"/>
      <w:r>
        <w:t xml:space="preserve">§ 14 Belehrungen</w:t>
      </w:r>
    </w:p>
    <w:p>
      <w:pPr>
        <w:pStyle w:val="FirstParagraph"/>
      </w:pPr>
      <w:r>
        <w:t xml:space="preserve">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bookmarkEnd w:id="27"/>
    <w:bookmarkStart w:id="28" w:name="X4f67cac4119bae2ce85a655d240d61c8e478a46"/>
    <w:p>
      <w:pPr>
        <w:pStyle w:val="Heading1"/>
      </w:pPr>
      <w:br w:type="page"/>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21. Oktober 2025, UR-Nr. 1502/2025, nebst 1. Nachtrag vom 09. Februar 2026, UR-Nr. 188/2026.</w:t>
      </w:r>
    </w:p>
    <w:p>
      <w:pPr>
        <w:pStyle w:val="BodyText"/>
      </w:pPr>
      <w:r>
        <w:rPr>
          <w:b/>
          <w:bCs/>
        </w:rPr>
        <w:t xml:space="preserve">Anlage Baubeschreibung</w:t>
      </w:r>
      <w:r>
        <w:t xml:space="preserve"> </w:t>
      </w:r>
      <w:r>
        <w:t xml:space="preserve">— Baubeschreibung Fassung Mai 2026, Version 3.0; mitbeurkundeter Bestandteil dieser Urkunde und des geschuldeten Bausolls.</w:t>
      </w:r>
    </w:p>
    <w:p>
      <w:pPr>
        <w:pStyle w:val="BodyText"/>
      </w:pPr>
      <w:r>
        <w:t xml:space="preserve">Die Notarin wird mit dem Vollzug beauftragt und stellt Anträge erst, wenn die erforderlichen Erklärungen und Nachweise vorliegen. Mitteilungen über den Eintritt der Fälligkeitsvoraussetzungen nach § 3 erfolgen schriftlich an beide Parteien.</w:t>
      </w:r>
    </w:p>
    <w:bookmarkEnd w:id="28"/>
    <w:bookmarkStart w:id="29" w:name="geschäftswert-und-kosten"/>
    <w:p>
      <w:pPr>
        <w:pStyle w:val="Heading1"/>
      </w:pPr>
      <w:br w:type="page"/>
      <w:r>
        <w:t xml:space="preserve">Geschäftswert und Kosten</w:t>
      </w:r>
    </w:p>
    <w:p>
      <w:pPr>
        <w:pStyle w:val="FirstParagraph"/>
      </w:pPr>
      <w:r>
        <w:t xml:space="preserve">Der Geschäftswert dieser Urkunde wird mit dem Gesamtkaufpreis von 674.000,00 EUR angegeben. Die Kosten dieser Urkunde und ihres Vollzugs trägt nach § 13.3 der Käufer.</w:t>
      </w:r>
    </w:p>
    <w:bookmarkEnd w:id="29"/>
    <w:bookmarkStart w:id="30" w:name="unterschriften"/>
    <w:p>
      <w:pPr>
        <w:pStyle w:val="Heading1"/>
      </w:pPr>
      <w:br w:type="page"/>
      <w:r>
        <w:t xml:space="preserve">Unterschriften</w:t>
      </w:r>
    </w:p>
    <w:p>
      <w:pPr>
        <w:pStyle w:val="FirstParagraph"/>
      </w:pPr>
      <w:r>
        <w:t xml:space="preserve">Diese Niederschrift nebst Anlage Baubeschreibung wurde den Erschienenen von der Notarin vorgelesen, von ihnen genehmigt und sodann eigenhändig unterschrieben:</w:t>
      </w:r>
    </w:p>
    <w:p>
      <w:pPr>
        <w:pStyle w:val="BodyText"/>
      </w:pPr>
      <w:r>
        <w:br/>
      </w:r>
    </w:p>
    <w:p>
      <w:pPr>
        <w:pStyle w:val="BodyText"/>
      </w:pPr>
      <w:r>
        <w:br/>
      </w:r>
    </w:p>
    <w:p>
      <w:pPr>
        <w:pStyle w:val="BodyText"/>
      </w:pPr>
      <w:r>
        <w:t xml:space="preserve">——————————————————————————</w:t>
      </w:r>
    </w:p>
    <w:p>
      <w:pPr>
        <w:pStyle w:val="BodyText"/>
      </w:pPr>
      <w:r>
        <w:t xml:space="preserve">Gisbert Tönnemann-Loose (für Verkäufer)</w:t>
      </w:r>
    </w:p>
    <w:p>
      <w:pPr>
        <w:pStyle w:val="BodyText"/>
      </w:pPr>
      <w:r>
        <w:br/>
      </w:r>
    </w:p>
    <w:p>
      <w:pPr>
        <w:pStyle w:val="BodyText"/>
      </w:pPr>
      <w:r>
        <w:br/>
      </w:r>
    </w:p>
    <w:p>
      <w:pPr>
        <w:pStyle w:val="BodyText"/>
      </w:pPr>
      <w:r>
        <w:t xml:space="preserve">——————————————————————————</w:t>
      </w:r>
    </w:p>
    <w:p>
      <w:pPr>
        <w:pStyle w:val="BodyText"/>
      </w:pPr>
      <w:r>
        <w:t xml:space="preserve">Dr. Henrike Salentin-Voßkamp (Käufer)</w:t>
      </w:r>
    </w:p>
    <w:p>
      <w:pPr>
        <w:pStyle w:val="BodyText"/>
      </w:pPr>
      <w:r>
        <w:br/>
      </w:r>
    </w:p>
    <w:p>
      <w:pPr>
        <w:pStyle w:val="BodyText"/>
      </w:pPr>
      <w:r>
        <w:br/>
      </w:r>
    </w:p>
    <w:p>
      <w:pPr>
        <w:pStyle w:val="BodyText"/>
      </w:pPr>
      <w:r>
        <w:t xml:space="preserve">——————————————————————————</w:t>
      </w:r>
    </w:p>
    <w:p>
      <w:pPr>
        <w:pStyle w:val="BodyText"/>
      </w:pPr>
      <w:r>
        <w:t xml:space="preserve">Dr. Cornelia Brakelmann-Stüve, Notarin</w:t>
      </w:r>
    </w:p>
    <w:bookmarkEnd w:id="30"/>
    <w:bookmarkStart w:id="32" w:name="anlage-baubeschreibung"/>
    <w:p>
      <w:pPr>
        <w:pStyle w:val="Heading1"/>
      </w:pPr>
      <w:br w:type="page"/>
      <w:r>
        <w:t xml:space="preserve">Anlage: Baubeschreibung</w:t>
      </w:r>
    </w:p>
    <w:p>
      <w:pPr>
        <w:pStyle w:val="FirstParagraph"/>
      </w:pPr>
      <w:r>
        <w:t xml:space="preserve">Bauvorhaben: Wohnquartier „Marewald Höfe”, Gemarkung Eilbek, Flur 12, Flurstück 344/9</w:t>
      </w:r>
    </w:p>
    <w:p>
      <w:pPr>
        <w:pStyle w:val="BodyText"/>
      </w:pPr>
      <w:r>
        <w:t xml:space="preserve">Bauträgerin: Marewald Wohnbau GmbH &amp; Co. KG, Mundsburger Damm 5, 22087 Hamburg</w:t>
      </w:r>
    </w:p>
    <w:p>
      <w:pPr>
        <w:pStyle w:val="BodyText"/>
      </w:pPr>
      <w:r>
        <w:t xml:space="preserve">Fassung: Mai 2026 — Version 3.0</w:t>
      </w:r>
    </w:p>
    <w:p>
      <w:pPr>
        <w:pStyle w:val="BodyText"/>
      </w:pPr>
      <w:r>
        <w:t xml:space="preserve">Bezug: Haus C, Wohnung C-2.14 (2. Obergeschoss) nebst Kellerabteil K-C14, Balkon B-C14 und Tiefgaragenstellplatz TG-58</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ist mitbeurkundeter Bestandteil des Kaufvertrages und beschreibt das Bausoll für die aufgeführten Gewerke. Wo sie konkrete Werte, Klassen oder Fabrikatsfamilien nennt, sind diese verbindlich; wo sie „gleichwertig” zulässt, ist die Gleichwertigkeit am genannten Kennwert zu messen. Unvollständige oder unklare Angaben werden nach § 5.5 des Vertrages ausgelegt.</w:t>
      </w:r>
    </w:p>
    <w:p>
      <w:pPr>
        <w:pStyle w:val="BodyText"/>
      </w:pPr>
      <w:r>
        <w:rPr>
          <w:b/>
          <w:bCs/>
        </w:rPr>
        <w:t xml:space="preserve">V.2</w:t>
      </w:r>
      <w:r>
        <w:t xml:space="preserve"> </w:t>
      </w:r>
      <w:r>
        <w:t xml:space="preserve">Benannte Fabrikate sind beispielhaft; der Verkäufer darf gleichwertige Produkte einsetzen, wenn der genannte Mindeststandard (Maß, Klasse, Kennwert) eingehalten wird. Ein Anspruch auf ein bestimmtes Fabrikat besteht nur, wenn es ausdrücklich als verbindlich bezeichnet ist.</w:t>
      </w:r>
    </w:p>
    <w:p>
      <w:pPr>
        <w:pStyle w:val="BodyText"/>
      </w:pPr>
      <w:r>
        <w:rPr>
          <w:b/>
          <w:bCs/>
        </w:rPr>
        <w:t xml:space="preserve">V.3</w:t>
      </w:r>
      <w:r>
        <w:t xml:space="preserve"> </w:t>
      </w:r>
      <w:r>
        <w:t xml:space="preserve">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bookmarkEnd w:id="31"/>
    <w:bookmarkEnd w:id="32"/>
    <w:bookmarkStart w:id="33" w:name="allgemeines-konstruktion"/>
    <w:p>
      <w:pPr>
        <w:pStyle w:val="Heading1"/>
      </w:pPr>
      <w:br w:type="page"/>
      <w:r>
        <w:t xml:space="preserve">1 Allgemeines, Konstruktion</w:t>
      </w:r>
    </w:p>
    <w:p>
      <w:pPr>
        <w:pStyle w:val="FirstParagraph"/>
      </w:pPr>
      <w:r>
        <w:rPr>
          <w:b/>
          <w:bCs/>
        </w:rPr>
        <w:t xml:space="preserve">1.1</w:t>
      </w:r>
      <w:r>
        <w:t xml:space="preserve"> </w:t>
      </w:r>
      <w:r>
        <w:t xml:space="preserve">Haus C wird in Massivbauweise (Stahlbeton/Mauerwerk) mit Flachdach errichtet. Die Wohnung C-2.14 liegt im 2. Obergeschoss.</w:t>
      </w:r>
    </w:p>
    <w:p>
      <w:pPr>
        <w:pStyle w:val="BodyText"/>
      </w:pPr>
      <w:r>
        <w:rPr>
          <w:b/>
          <w:bCs/>
        </w:rPr>
        <w:t xml:space="preserve">1.2</w:t>
      </w:r>
      <w:r>
        <w:t xml:space="preserve"> </w:t>
      </w:r>
      <w:r>
        <w:t xml:space="preserve">Die Ausstattung entspricht der Linie „Marewald Komfort C”. Soweit einzelne Festlegungen offenbleiben, gilt der Auslegungsmaßstab nach Abschnitt V und § 5.5 des Vertrages.</w:t>
      </w:r>
    </w:p>
    <w:bookmarkEnd w:id="33"/>
    <w:bookmarkStart w:id="34" w:name="baugrund-gründung-abdichtung"/>
    <w:p>
      <w:pPr>
        <w:pStyle w:val="Heading1"/>
      </w:pPr>
      <w:r>
        <w:t xml:space="preserve">2 Baugrund, Gründung, Abdichtung</w:t>
      </w:r>
    </w:p>
    <w:p>
      <w:pPr>
        <w:pStyle w:val="FirstParagraph"/>
      </w:pPr>
      <w:r>
        <w:rPr>
          <w:b/>
          <w:bCs/>
        </w:rPr>
        <w:t xml:space="preserve">2.1</w:t>
      </w:r>
      <w:r>
        <w:t xml:space="preserve"> </w:t>
      </w:r>
      <w:r>
        <w:t xml:space="preserve">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bookmarkEnd w:id="34"/>
    <w:bookmarkStart w:id="35" w:name="fassade-wärmedämmung"/>
    <w:p>
      <w:pPr>
        <w:pStyle w:val="Heading1"/>
      </w:pPr>
      <w:r>
        <w:t xml:space="preserve">3 Fassade, Wärmedämmung</w:t>
      </w:r>
    </w:p>
    <w:p>
      <w:pPr>
        <w:pStyle w:val="FirstParagraph"/>
      </w:pPr>
      <w:r>
        <w:rPr>
          <w:b/>
          <w:bCs/>
        </w:rPr>
        <w:t xml:space="preserve">3.1</w:t>
      </w:r>
      <w:r>
        <w:t xml:space="preserve"> </w:t>
      </w:r>
      <w:r>
        <w:t xml:space="preserve">Die Außenwände erhalten ein Wärmedämmverbundsystem oder eine vorgehängte Fassade nach Fassadenkonzept Haus C. Der wärmeschutztechnische Standard entspricht mindestens den GEG-Anforderungen zum Bauantrag (§ 5.10 des Vertrages).</w:t>
      </w:r>
    </w:p>
    <w:bookmarkEnd w:id="35"/>
    <w:bookmarkStart w:id="36" w:name="fenster-außentüren"/>
    <w:p>
      <w:pPr>
        <w:pStyle w:val="Heading1"/>
      </w:pPr>
      <w:r>
        <w:t xml:space="preserve">4 Fenster, Außentüren</w:t>
      </w:r>
    </w:p>
    <w:p>
      <w:pPr>
        <w:pStyle w:val="FirstParagraph"/>
      </w:pPr>
      <w:r>
        <w:rPr>
          <w:b/>
          <w:bCs/>
        </w:rPr>
        <w:t xml:space="preserve">4.1</w:t>
      </w:r>
      <w:r>
        <w:t xml:space="preserve"> </w:t>
      </w:r>
      <w:r>
        <w:t xml:space="preserve">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bookmarkEnd w:id="36"/>
    <w:bookmarkStart w:id="37" w:name="innenwände-putz-estrich"/>
    <w:p>
      <w:pPr>
        <w:pStyle w:val="Heading1"/>
      </w:pPr>
      <w:r>
        <w:t xml:space="preserve">5 Innenwände, Putz, Estrich</w:t>
      </w:r>
    </w:p>
    <w:p>
      <w:pPr>
        <w:pStyle w:val="FirstParagraph"/>
      </w:pPr>
      <w:r>
        <w:rPr>
          <w:b/>
          <w:bCs/>
        </w:rPr>
        <w:t xml:space="preserve">5.1</w:t>
      </w:r>
      <w:r>
        <w:t xml:space="preserve"> </w:t>
      </w:r>
      <w:r>
        <w:t xml:space="preserve">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bookmarkEnd w:id="37"/>
    <w:bookmarkStart w:id="38" w:name="bodenbeläge-fliesen"/>
    <w:p>
      <w:pPr>
        <w:pStyle w:val="Heading1"/>
      </w:pPr>
      <w:r>
        <w:t xml:space="preserve">6 Bodenbeläge, Fliesen</w:t>
      </w:r>
    </w:p>
    <w:p>
      <w:pPr>
        <w:pStyle w:val="FirstParagraph"/>
      </w:pPr>
      <w:r>
        <w:rPr>
          <w:b/>
          <w:bCs/>
        </w:rPr>
        <w:t xml:space="preserve">6.1</w:t>
      </w:r>
      <w:r>
        <w:t xml:space="preserve"> </w:t>
      </w:r>
      <w:r>
        <w:t xml:space="preserve">Wohn- und Schlafräume erhalten Mehrschicht-Parkett oder Design-Vinyl der Serie MK-Boden (Nutzungsklasse mindestens 23/31). Bad und Gäste-WC erhalten Feinsteinzeugfliesen der Serie MK-Bad (Formate 30 × 60 cm oder 60 × 60 cm). Die Auswahl erfolgt in der Bemusterung aus diesen Serien.</w:t>
      </w:r>
    </w:p>
    <w:bookmarkEnd w:id="38"/>
    <w:bookmarkStart w:id="39" w:name="innentüren-wohnungseingangstür"/>
    <w:p>
      <w:pPr>
        <w:pStyle w:val="Heading1"/>
      </w:pPr>
      <w:r>
        <w:t xml:space="preserve">7 Innentüren, Wohnungseingangstür</w:t>
      </w:r>
    </w:p>
    <w:p>
      <w:pPr>
        <w:pStyle w:val="FirstParagraph"/>
      </w:pPr>
      <w:r>
        <w:rPr>
          <w:b/>
          <w:bCs/>
        </w:rPr>
        <w:t xml:space="preserve">7.1</w:t>
      </w:r>
      <w:r>
        <w:t xml:space="preserve"> </w:t>
      </w:r>
      <w:r>
        <w:t xml:space="preserve">Innentüren als glatte Zimmertüren (CPL- oder Lackoberfläche). Die Wohnungseingangstür wird als einbruchhemmende Tür mindestens der Widerstandsklasse RC 2 mit Mehrfachverriegelung und Spion ausgeführt.</w:t>
      </w:r>
    </w:p>
    <w:bookmarkEnd w:id="39"/>
    <w:bookmarkStart w:id="40" w:name="sanitär-heizung-lüftung"/>
    <w:p>
      <w:pPr>
        <w:pStyle w:val="Heading1"/>
      </w:pPr>
      <w:r>
        <w:t xml:space="preserve">8 Sanitär, Heizung, Lüftung</w:t>
      </w:r>
    </w:p>
    <w:p>
      <w:pPr>
        <w:pStyle w:val="FirstParagraph"/>
      </w:pPr>
      <w:r>
        <w:rPr>
          <w:b/>
          <w:bCs/>
        </w:rPr>
        <w:t xml:space="preserve">8.1</w:t>
      </w:r>
      <w:r>
        <w:t xml:space="preserve"> </w:t>
      </w:r>
      <w:r>
        <w:t xml:space="preserve">Bad und Gäste-WC werden mit weißen Sanitärobjekten der Serie MK-Sanitär (Waschtisch, Wand-WC, bodengleiche Dusche, in C-2.14 zusätzlich Badewanne nach Ausführungsplan) und verchromten Einhebelmischern ausgestattet.</w:t>
      </w:r>
    </w:p>
    <w:p>
      <w:pPr>
        <w:pStyle w:val="BodyText"/>
      </w:pPr>
      <w:r>
        <w:rPr>
          <w:b/>
          <w:bCs/>
        </w:rPr>
        <w:t xml:space="preserve">8.2</w:t>
      </w:r>
      <w:r>
        <w:t xml:space="preserve"> </w:t>
      </w:r>
      <w:r>
        <w:t xml:space="preserve">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bookmarkEnd w:id="40"/>
    <w:bookmarkStart w:id="41" w:name="elektro-medien"/>
    <w:p>
      <w:pPr>
        <w:pStyle w:val="Heading1"/>
      </w:pPr>
      <w:r>
        <w:t xml:space="preserve">9 Elektro, Medien</w:t>
      </w:r>
    </w:p>
    <w:p>
      <w:pPr>
        <w:pStyle w:val="FirstParagraph"/>
      </w:pPr>
      <w:r>
        <w:rPr>
          <w:b/>
          <w:bCs/>
        </w:rPr>
        <w:t xml:space="preserve">9.1</w:t>
      </w:r>
      <w:r>
        <w:t xml:space="preserve"> </w:t>
      </w:r>
      <w:r>
        <w:t xml:space="preserve">Die Elektroinstallation entspricht mindestens der Ausstattungsklasse 2 nach DIN 18015-2. Die Wohnung erhält einen Multimedia-Anschluss im Wohnbereich; eine bestimmte Bandbreite oder ein bestimmter Anbieter wird nicht geschuldet. Zusätzliche Elektropunkte sind Sonderwunsch.</w:t>
      </w:r>
    </w:p>
    <w:bookmarkEnd w:id="41"/>
    <w:bookmarkStart w:id="42" w:name="tiefgarage-stellplatz"/>
    <w:p>
      <w:pPr>
        <w:pStyle w:val="Heading1"/>
      </w:pPr>
      <w:r>
        <w:t xml:space="preserve">10 Tiefgarage, Stellplatz</w:t>
      </w:r>
    </w:p>
    <w:p>
      <w:pPr>
        <w:pStyle w:val="FirstParagraph"/>
      </w:pPr>
      <w:r>
        <w:rPr>
          <w:b/>
          <w:bCs/>
        </w:rPr>
        <w:t xml:space="preserve">10.1</w:t>
      </w:r>
      <w:r>
        <w:t xml:space="preserve"> </w:t>
      </w:r>
      <w:r>
        <w:t xml:space="preserve">Die Tiefgarage wird in Stahlbeton mit maschineller Be- und Entlüftung, Bodenbeschichtung, Entwässerung und der nach Brandschutzkonzept erforderlichen Ausstattung hergestellt. Der Stellplatz TG-58 hält mindestens die bauordnungsrechtlich erforderlichen Mindestmaße ein.</w:t>
      </w:r>
    </w:p>
    <w:bookmarkEnd w:id="42"/>
    <w:bookmarkStart w:id="43" w:name="schallschutz-verbindliche-mindestwerte"/>
    <w:p>
      <w:pPr>
        <w:pStyle w:val="Heading1"/>
      </w:pPr>
      <w:r>
        <w:t xml:space="preserve">11 Schallschutz (verbindliche Mindestwerte)</w:t>
      </w:r>
    </w:p>
    <w:p>
      <w:pPr>
        <w:pStyle w:val="FirstParagraph"/>
      </w:pPr>
      <w:r>
        <w:rPr>
          <w:b/>
          <w:bCs/>
        </w:rPr>
        <w:t xml:space="preserve">11.1</w:t>
      </w:r>
      <w:r>
        <w:t xml:space="preserve"> </w:t>
      </w:r>
      <w:r>
        <w:t xml:space="preserve">Geschuldet ist mindestens der Schallschutz nach DIN 4109-1 mit folgenden verbindlichen Mindest-Kennwerten für die Wohnung C-2.14:</w:t>
      </w:r>
    </w:p>
    <w:p>
      <w:pPr>
        <w:pStyle w:val="Compact"/>
        <w:numPr>
          <w:ilvl w:val="0"/>
          <w:numId w:val="1002"/>
        </w:numPr>
      </w:pPr>
      <w:r>
        <w:t xml:space="preserve">Luftschalldämmung gegenüber fremden Wohnungen und dem Treppenhaus: bewertetes Bau-Schalldämm-Maß R′w ≥ 54 dB;</w:t>
      </w:r>
    </w:p>
    <w:p>
      <w:pPr>
        <w:pStyle w:val="Compact"/>
        <w:numPr>
          <w:ilvl w:val="0"/>
          <w:numId w:val="1002"/>
        </w:numPr>
      </w:pPr>
      <w:r>
        <w:t xml:space="preserve">Trittschallschutz von fremden Wohnungen/Treppenhaus: bewerteter Norm-Trittschallpegel L′n,w ≤ 50 dB;</w:t>
      </w:r>
    </w:p>
    <w:p>
      <w:pPr>
        <w:pStyle w:val="Compact"/>
        <w:numPr>
          <w:ilvl w:val="0"/>
          <w:numId w:val="1002"/>
        </w:numPr>
      </w:pPr>
      <w:r>
        <w:t xml:space="preserve">Schallschutz gegenüber haustechnischen Anlagen (Aufzug, Lüftung, Wasserinstallation): nach DIN 4109-1.</w:t>
      </w:r>
    </w:p>
    <w:p>
      <w:pPr>
        <w:pStyle w:val="FirstParagraph"/>
      </w:pPr>
      <w:r>
        <w:rPr>
          <w:b/>
          <w:bCs/>
        </w:rPr>
        <w:t xml:space="preserve">11.2</w:t>
      </w:r>
      <w:r>
        <w:t xml:space="preserve"> </w:t>
      </w:r>
      <w:r>
        <w:t xml:space="preserve">Ein erhöhter Schallschutz (z. B. nach VDI 4100 oder Beiblatt 2 zu DIN 4109) wird</w:t>
      </w:r>
      <w:r>
        <w:t xml:space="preserve"> </w:t>
      </w:r>
      <w:r>
        <w:rPr>
          <w:b/>
          <w:bCs/>
        </w:rPr>
        <w:t xml:space="preserve">nicht</w:t>
      </w:r>
      <w:r>
        <w:t xml:space="preserve"> </w:t>
      </w:r>
      <w:r>
        <w:t xml:space="preserve">geschuldet, soweit er nicht hier mit Kennwert vereinbart ist.</w:t>
      </w:r>
    </w:p>
    <w:bookmarkEnd w:id="43"/>
    <w:bookmarkStart w:id="44" w:name="brand--wärme--feuchteschutz"/>
    <w:p>
      <w:pPr>
        <w:pStyle w:val="Heading1"/>
      </w:pPr>
      <w:r>
        <w:t xml:space="preserve">12 Brand-, Wärme-, Feuchteschutz</w:t>
      </w:r>
    </w:p>
    <w:p>
      <w:pPr>
        <w:pStyle w:val="FirstParagraph"/>
      </w:pPr>
      <w:r>
        <w:rPr>
          <w:b/>
          <w:bCs/>
        </w:rPr>
        <w:t xml:space="preserve">12.1</w:t>
      </w:r>
      <w:r>
        <w:t xml:space="preserve"> </w:t>
      </w:r>
      <w:r>
        <w:t xml:space="preserve">Brand-, Wärme- und Feuchteschutz werden im öffentlich-rechtlich erforderlichen Umfang nachgewiesen und ausgeführt. Die hierfür erforderlichen Nachweise werden nach § 650n BGB übergeben.</w:t>
      </w:r>
    </w:p>
    <w:bookmarkEnd w:id="44"/>
    <w:bookmarkStart w:id="45" w:name="außenanlagen-balkon"/>
    <w:p>
      <w:pPr>
        <w:pStyle w:val="Heading1"/>
      </w:pPr>
      <w:r>
        <w:t xml:space="preserve">13 Außenanlagen, Balkon</w:t>
      </w:r>
    </w:p>
    <w:p>
      <w:pPr>
        <w:pStyle w:val="FirstParagraph"/>
      </w:pPr>
      <w:r>
        <w:rPr>
          <w:b/>
          <w:bCs/>
        </w:rPr>
        <w:t xml:space="preserve">13.1</w:t>
      </w:r>
      <w:r>
        <w:t xml:space="preserve"> </w:t>
      </w:r>
      <w:r>
        <w:t xml:space="preserve">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bookmarkEnd w:id="45"/>
    <w:bookmarkStart w:id="46" w:name="wohnfläche-bemusterung"/>
    <w:p>
      <w:pPr>
        <w:pStyle w:val="Heading1"/>
      </w:pPr>
      <w:r>
        <w:t xml:space="preserve">14 Wohnfläche, Bemusterung</w:t>
      </w:r>
    </w:p>
    <w:p>
      <w:pPr>
        <w:pStyle w:val="FirstParagraph"/>
      </w:pPr>
      <w:r>
        <w:rPr>
          <w:b/>
          <w:bCs/>
        </w:rPr>
        <w:t xml:space="preserve">14.1</w:t>
      </w:r>
      <w:r>
        <w:t xml:space="preserve"> </w:t>
      </w:r>
      <w:r>
        <w:t xml:space="preserve">Die Wohnfläche der Wohnung C-2.14 beträgt ca. 84,6 m² nach Wohnflächenverordnung; maßgeblich ist die nach Fertigstellung tatsächlich erbrachte Ausführung mit der Anpassungsregel des § 5.9 des Vertrages.</w:t>
      </w:r>
    </w:p>
    <w:p>
      <w:pPr>
        <w:pStyle w:val="BodyText"/>
      </w:pPr>
      <w:r>
        <w:rPr>
          <w:b/>
          <w:bCs/>
        </w:rPr>
        <w:t xml:space="preserve">14.2</w:t>
      </w:r>
      <w:r>
        <w:t xml:space="preserve"> </w:t>
      </w:r>
      <w:r>
        <w:t xml:space="preserve">Die Bemusterung erfolgt aus den Serien MK-Boden, MK-Bad, MK-Sanitär und MK-Tür. Drei Beratungsstunden sind im Kaufpreis enthalten; weiterer Aufwand wird nach § 3.5 des Vertrages vergütet. Auswahlen außerhalb dieser Serien sind Sonderwünsche.</w:t>
      </w:r>
    </w:p>
    <w:bookmarkEnd w:id="46"/>
    <w:bookmarkStart w:id="47" w:name="schlussbestimmungen-der-baubeschreibung"/>
    <w:p>
      <w:pPr>
        <w:pStyle w:val="Heading1"/>
      </w:pPr>
      <w:r>
        <w:t xml:space="preserve">Schlussbestimmungen der Baubeschreibung</w:t>
      </w:r>
    </w:p>
    <w:p>
      <w:pPr>
        <w:pStyle w:val="FirstParagraph"/>
      </w:pPr>
      <w:r>
        <w:t xml:space="preserve">Diese Baubeschreibung ist mit dem Kaufvertrag mitbeurkundet. Bei Widersprüchen zwischen Baubeschreibung, Plänen und Vertragstext gilt die für den Käufer günstigere Auslegung, soweit sich aus dem Vertrag nichts Eindeutiges ergibt (§ 305c Abs. 2 BGB).</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2026-07-26T00:42:04Z</dcterms:created>
  <dcterms:modified xsi:type="dcterms:W3CDTF">2026-07-26T00:42:04Z</dcterms:modified>
</cp:coreProperties>
</file>

<file path=docProps/custom.xml><?xml version="1.0" encoding="utf-8"?>
<Properties xmlns="http://schemas.openxmlformats.org/officeDocument/2006/custom-properties" xmlns:vt="http://schemas.openxmlformats.org/officeDocument/2006/docPropsVTypes"/>
</file>