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bookmarkEnd w:id="9"/>
    <w:bookmarkStart w:id="11" w:name="ur-nr.-1882026-kq"/>
    <w:p>
      <w:pPr>
        <w:pStyle w:val="Heading1"/>
      </w:pPr>
      <w:br w:type="page"/>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p>
      <w:pPr>
        <w:pStyle w:val="BodyText"/>
      </w:pPr>
      <w:r>
        <w:t xml:space="preserve">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bookmarkEnd w:id="12"/>
    <w:bookmarkEnd w:id="13"/>
    <w:bookmarkStart w:id="14" w:name="kaufgegenstand"/>
    <w:p>
      <w:pPr>
        <w:pStyle w:val="Heading1"/>
      </w:pPr>
      <w:br w:type="page"/>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bookmarkEnd w:id="14"/>
    <w:bookmarkStart w:id="15" w:name="kaufpreis"/>
    <w:p>
      <w:pPr>
        <w:pStyle w:val="Heading1"/>
      </w:pPr>
      <w:br w:type="page"/>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bookmarkEnd w:id="15"/>
    <w:bookmarkStart w:id="16" w:name="kaufpreiszahlung-fälligkeit"/>
    <w:p>
      <w:pPr>
        <w:pStyle w:val="Heading1"/>
      </w:pPr>
      <w:br w:type="page"/>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p>
      <w:pPr>
        <w:pStyle w:val="BodyText"/>
      </w:pPr>
      <w:r>
        <w:rPr>
          <w:b/>
          <w:bCs/>
        </w:rPr>
        <w:t xml:space="preserve">3.3</w:t>
      </w:r>
      <w:r>
        <w:t xml:space="preserve"> </w:t>
      </w:r>
      <w:r>
        <w:t xml:space="preserve">Sicherungsmechanik</w:t>
      </w:r>
    </w:p>
    <w:p>
      <w:pPr>
        <w:pStyle w:val="BodyText"/>
      </w:pPr>
      <w:r>
        <w:t xml:space="preserve">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p>
      <w:pPr>
        <w:pStyle w:val="BodyText"/>
      </w:pPr>
      <w:r>
        <w:rPr>
          <w:b/>
          <w:bCs/>
        </w:rPr>
        <w:t xml:space="preserve">3.4</w:t>
      </w:r>
      <w:r>
        <w:t xml:space="preserve"> </w:t>
      </w:r>
      <w:r>
        <w:t xml:space="preserve">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p>
      <w:pPr>
        <w:pStyle w:val="BodyText"/>
      </w:pPr>
      <w:r>
        <w:rPr>
          <w:b/>
          <w:bCs/>
        </w:rPr>
        <w:t xml:space="preserve">3.5</w:t>
      </w:r>
      <w:r>
        <w:t xml:space="preserve"> </w:t>
      </w:r>
      <w:r>
        <w:t xml:space="preserve">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bookmarkEnd w:id="16"/>
    <w:bookmarkStart w:id="17" w:name="Xacd27a9a0599f387afb098c717c3b96c90edba0"/>
    <w:p>
      <w:pPr>
        <w:pStyle w:val="Heading1"/>
      </w:pPr>
      <w:br w:type="page"/>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p>
      <w:pPr>
        <w:pStyle w:val="BodyText"/>
      </w:pPr>
      <w:r>
        <w:rPr>
          <w:b/>
          <w:bCs/>
        </w:rPr>
        <w:t xml:space="preserve">4.3</w:t>
      </w:r>
      <w:r>
        <w:t xml:space="preserve"> </w:t>
      </w:r>
      <w:r>
        <w:t xml:space="preserve">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bookmarkEnd w:id="17"/>
    <w:bookmarkStart w:id="18" w:name="baupflicht-baubeschreibung"/>
    <w:p>
      <w:pPr>
        <w:pStyle w:val="Heading1"/>
      </w:pPr>
      <w:br w:type="page"/>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t xml:space="preserve">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p>
      <w:pPr>
        <w:pStyle w:val="BodyText"/>
      </w:pPr>
      <w:r>
        <w:rPr>
          <w:b/>
          <w:bCs/>
        </w:rPr>
        <w:t xml:space="preserve">5.11</w:t>
      </w:r>
      <w:r>
        <w:t xml:space="preserve"> </w:t>
      </w:r>
      <w:r>
        <w:t xml:space="preserve">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p>
      <w:pPr>
        <w:pStyle w:val="BodyText"/>
      </w:pPr>
      <w:r>
        <w:rPr>
          <w:b/>
          <w:bCs/>
        </w:rPr>
        <w:t xml:space="preserve">5.15</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bookmarkEnd w:id="18"/>
    <w:bookmarkStart w:id="19" w:name="Xf95df7023395c5238d26d19148165edbf6ad5ae"/>
    <w:p>
      <w:pPr>
        <w:pStyle w:val="Heading1"/>
      </w:pPr>
      <w:br w:type="page"/>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p>
      <w:pPr>
        <w:pStyle w:val="BodyText"/>
      </w:pPr>
      <w:r>
        <w:t xml:space="preserve">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p>
      <w:pPr>
        <w:pStyle w:val="BodyText"/>
      </w:pPr>
      <w:r>
        <w:rPr>
          <w:b/>
          <w:bCs/>
        </w:rPr>
        <w:t xml:space="preserve">6.3</w:t>
      </w:r>
      <w:r>
        <w:t xml:space="preserve"> </w:t>
      </w:r>
      <w:r>
        <w:t xml:space="preserve">Abnahme des Gemeinschaftseigentums</w:t>
      </w:r>
    </w:p>
    <w:p>
      <w:pPr>
        <w:pStyle w:val="BodyText"/>
      </w:pPr>
      <w:r>
        <w:t xml:space="preserve">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p>
      <w:pPr>
        <w:pStyle w:val="BodyText"/>
      </w:pPr>
      <w:r>
        <w:t xml:space="preserve">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p>
      <w:pPr>
        <w:pStyle w:val="BodyText"/>
      </w:pPr>
      <w:r>
        <w:t xml:space="preserve">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bookmarkEnd w:id="19"/>
    <w:bookmarkStart w:id="20" w:name="erschließungskosten"/>
    <w:p>
      <w:pPr>
        <w:pStyle w:val="Heading1"/>
      </w:pPr>
      <w:br w:type="page"/>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bookmarkEnd w:id="20"/>
    <w:bookmarkStart w:id="21" w:name="zutritt-zur-baustelle"/>
    <w:p>
      <w:pPr>
        <w:pStyle w:val="Heading1"/>
      </w:pPr>
      <w:br w:type="page"/>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p>
      <w:pPr>
        <w:pStyle w:val="BodyText"/>
      </w:pPr>
      <w:r>
        <w:rPr>
          <w:b/>
          <w:bCs/>
        </w:rPr>
        <w:t xml:space="preserve">8.3</w:t>
      </w:r>
      <w:r>
        <w:t xml:space="preserve"> </w:t>
      </w:r>
      <w:r>
        <w:t xml:space="preserve">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bookmarkEnd w:id="21"/>
    <w:bookmarkStart w:id="22" w:name="haftung-mängelrechte-verzug-verjährung"/>
    <w:p>
      <w:pPr>
        <w:pStyle w:val="Heading1"/>
      </w:pPr>
      <w:br w:type="page"/>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 und zur Sicherung einer geordneten Gewährleistungsabwicklung:</w:t>
      </w:r>
    </w:p>
    <w:p>
      <w:pPr>
        <w:pStyle w:val="Compact"/>
        <w:numPr>
          <w:ilvl w:val="0"/>
          <w:numId w:val="1002"/>
        </w:numPr>
      </w:pPr>
      <w:r>
        <w:t xml:space="preserve">Mängelanzeigen sind mit konkreter Beschreibung, Lageangabe innerhalb der Wohnung 4.27, Foto und gewünschter Kontaktaufnahme an die vom Verkäufer benannte Gewährleistungsstelle</w:t>
      </w:r>
      <w:r>
        <w:t xml:space="preserve"> </w:t>
      </w:r>
      <w:r>
        <w:rPr>
          <w:rStyle w:val="VerbatimChar"/>
        </w:rPr>
        <w:t xml:space="preserve">gewaehrleistung-birkenpfuhl@hq-projekt.de</w:t>
      </w:r>
      <w:r>
        <w:t xml:space="preserve"> </w:t>
      </w:r>
      <w:r>
        <w:t xml:space="preserve">zu richten.</w:t>
      </w:r>
    </w:p>
    <w:p>
      <w:pPr>
        <w:pStyle w:val="Compact"/>
        <w:numPr>
          <w:ilvl w:val="0"/>
          <w:numId w:val="1002"/>
        </w:numPr>
      </w:pPr>
      <w:r>
        <w:t xml:space="preserve">Der Käufer wird dem Verkäufer zunächst Gelegenheit zur Prüfung und Nacherfüllung geben; Ersatzvornahmen vor Abschluss dieser Prüfung sind nur bei Gefahr im Verzug oder nach schriftlicher Freigabe des Verkäufers erstattungsfähig.</w:t>
      </w:r>
    </w:p>
    <w:p>
      <w:pPr>
        <w:pStyle w:val="Compact"/>
        <w:numPr>
          <w:ilvl w:val="0"/>
          <w:numId w:val="1002"/>
        </w:numPr>
      </w:pPr>
      <w: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w:t>
      </w:r>
    </w:p>
    <w:p>
      <w:pPr>
        <w:pStyle w:val="Compact"/>
        <w:numPr>
          <w:ilvl w:val="0"/>
          <w:numId w:val="1002"/>
        </w:numPr>
      </w:pPr>
      <w: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w:t>
      </w:r>
    </w:p>
    <w:p>
      <w:pPr>
        <w:pStyle w:val="Compact"/>
        <w:numPr>
          <w:ilvl w:val="0"/>
          <w:numId w:val="1002"/>
        </w:numPr>
      </w:pPr>
      <w:r>
        <w:t xml:space="preserve">Die Verjährungsfrist für Mängelansprüche beträgt zwei Jahre ab der vom Verkäufer dokumentierten Abnahmebestätigung, soweit zwingendes Recht keine längere Frist vorschreibt.</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bookmarkEnd w:id="22"/>
    <w:bookmarkStart w:id="23" w:name="vormerkung"/>
    <w:p>
      <w:pPr>
        <w:pStyle w:val="Heading1"/>
      </w:pPr>
      <w:br w:type="page"/>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p>
      <w:pPr>
        <w:pStyle w:val="BodyText"/>
      </w:pPr>
      <w:r>
        <w:rPr>
          <w:b/>
          <w:bCs/>
        </w:rPr>
        <w:t xml:space="preserve">10.3</w:t>
      </w:r>
      <w:r>
        <w:t xml:space="preserve"> </w:t>
      </w:r>
      <w:r>
        <w:t xml:space="preserve">Der Käufer beantragt schon heute die Löschung der Eigentumsvormerkung Zug um Zug mit Vollzug der Auflassung.</w:t>
      </w:r>
    </w:p>
    <w:bookmarkEnd w:id="23"/>
    <w:bookmarkStart w:id="24" w:name="auflassung"/>
    <w:p>
      <w:pPr>
        <w:pStyle w:val="Heading1"/>
      </w:pPr>
      <w:br w:type="page"/>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bookmarkEnd w:id="24"/>
    <w:bookmarkStart w:id="25" w:name="vollmachten"/>
    <w:p>
      <w:pPr>
        <w:pStyle w:val="Heading1"/>
      </w:pPr>
      <w:br w:type="page"/>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p>
      <w:pPr>
        <w:pStyle w:val="BodyText"/>
      </w:pPr>
      <w:r>
        <w:rPr>
          <w:b/>
          <w:bCs/>
        </w:rPr>
        <w:t xml:space="preserve">12.2</w:t>
      </w:r>
      <w:r>
        <w:t xml:space="preserve"> </w:t>
      </w:r>
      <w:r>
        <w:t xml:space="preserve">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bookmarkEnd w:id="25"/>
    <w:bookmarkStart w:id="26" w:name="schlussbestimmungen"/>
    <w:p>
      <w:pPr>
        <w:pStyle w:val="Heading1"/>
      </w:pPr>
      <w:br w:type="page"/>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bookmarkEnd w:id="26"/>
    <w:bookmarkStart w:id="27" w:name="belehrungen"/>
    <w:p>
      <w:pPr>
        <w:pStyle w:val="Heading1"/>
      </w:pPr>
      <w:br w:type="page"/>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13c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bookmarkEnd w:id="27"/>
    <w:bookmarkStart w:id="28" w:name="X4f67cac4119bae2ce85a655d240d61c8e478a46"/>
    <w:p>
      <w:pPr>
        <w:pStyle w:val="Heading1"/>
      </w:pPr>
      <w:br w:type="page"/>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13c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bookmarkEnd w:id="28"/>
    <w:bookmarkStart w:id="29" w:name="geschäftswert-und-kosten"/>
    <w:p>
      <w:pPr>
        <w:pStyle w:val="Heading1"/>
      </w:pPr>
      <w:br w:type="page"/>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bookmarkEnd w:id="29"/>
    <w:bookmarkStart w:id="30" w:name="unterschriften"/>
    <w:p>
      <w:pPr>
        <w:pStyle w:val="Heading1"/>
      </w:pPr>
      <w:br w:type="page"/>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bookmarkEnd w:id="30"/>
    <w:bookmarkStart w:id="32" w:name="anlage-baubeschreibung"/>
    <w:p>
      <w:pPr>
        <w:pStyle w:val="Heading1"/>
      </w:pPr>
      <w:br w:type="page"/>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p>
      <w:pPr>
        <w:pStyle w:val="BodyText"/>
      </w:pPr>
      <w:r>
        <w:rPr>
          <w:b/>
          <w:bCs/>
        </w:rPr>
        <w:t xml:space="preserve">V.2</w:t>
      </w:r>
      <w:r>
        <w:t xml:space="preserve"> </w:t>
      </w:r>
      <w:r>
        <w:t xml:space="preserve">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bookmarkEnd w:id="31"/>
    <w:bookmarkEnd w:id="32"/>
    <w:bookmarkStart w:id="33" w:name="allgemeines-gebäudekonzept"/>
    <w:p>
      <w:pPr>
        <w:pStyle w:val="Heading1"/>
      </w:pPr>
      <w:br w:type="page"/>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p>
      <w:pPr>
        <w:pStyle w:val="BodyText"/>
      </w:pPr>
      <w:r>
        <w:rPr>
          <w:b/>
          <w:bCs/>
        </w:rPr>
        <w:t xml:space="preserve">2.2</w:t>
      </w:r>
      <w:r>
        <w:t xml:space="preserve"> </w:t>
      </w:r>
      <w:r>
        <w:t xml:space="preserve">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4.27 werden entsprechend der Ausführungsplanung als Trockenbau- oder Mauerwerkswände erstellt. Die genaue Ausführung legt der Verkäufer anhand von Schachtlage, Installationsführung, Schallschutzkonzept und Bauablauf fest.</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p>
      <w:pPr>
        <w:pStyle w:val="BodyText"/>
      </w:pPr>
      <w:r>
        <w:rPr>
          <w:b/>
          <w:bCs/>
        </w:rPr>
        <w:t xml:space="preserve">6.2</w:t>
      </w:r>
      <w:r>
        <w:t xml:space="preserve"> </w:t>
      </w:r>
      <w:r>
        <w:t xml:space="preserve">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p>
      <w:pPr>
        <w:pStyle w:val="BodyText"/>
      </w:pPr>
      <w:r>
        <w:rPr>
          <w:b/>
          <w:bCs/>
        </w:rPr>
        <w:t xml:space="preserve">6.3</w:t>
      </w:r>
      <w:r>
        <w:t xml:space="preserve"> </w:t>
      </w:r>
      <w:r>
        <w:t xml:space="preserve">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p>
      <w:pPr>
        <w:pStyle w:val="BodyText"/>
      </w:pPr>
      <w:r>
        <w:rPr>
          <w:b/>
          <w:bCs/>
        </w:rPr>
        <w:t xml:space="preserve">8.2</w:t>
      </w:r>
      <w:r>
        <w:t xml:space="preserve"> </w:t>
      </w:r>
      <w:r>
        <w:t xml:space="preserve">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p>
      <w:pPr>
        <w:pStyle w:val="BodyText"/>
      </w:pPr>
      <w:r>
        <w:rPr>
          <w:b/>
          <w:bCs/>
        </w:rPr>
        <w:t xml:space="preserve">13.2</w:t>
      </w:r>
      <w:r>
        <w:t xml:space="preserve"> </w:t>
      </w:r>
      <w:r>
        <w:t xml:space="preserve">Die Wohnung erhält einen Multimedia-/Datenanschluss im Wohnbereich sowie die nach Ausführungsplanung vorgesehenen Leitungswege zum Wohnungsverteiler. Eine bestimmte Bandbreite, Glasfaseraktivierung, Routerposition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zweigeschossige Tiefgarage wird in Stahlbeton ausgeführt und maschinell be- und entlüftet. Bodenbeschichtung, Entwässerungsrinnen, Markierung, Beschilderung, CO-Warnanlage, Brandschutztore und technische Ausstattung richten sich nach dem Garagen- und Brandschutzkonzept.</w:t>
      </w:r>
    </w:p>
    <w:p>
      <w:pPr>
        <w:pStyle w:val="BodyText"/>
      </w:pPr>
      <w:r>
        <w:rPr>
          <w:b/>
          <w:bCs/>
        </w:rPr>
        <w:t xml:space="preserve">15.2</w:t>
      </w:r>
      <w:r>
        <w:t xml:space="preserve"> </w:t>
      </w:r>
      <w:r>
        <w:t xml:space="preserve">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p>
      <w:pPr>
        <w:pStyle w:val="BodyText"/>
      </w:pPr>
      <w:r>
        <w:rPr>
          <w:b/>
          <w:bCs/>
        </w:rPr>
        <w:t xml:space="preserve">16.2</w:t>
      </w:r>
      <w:r>
        <w:t xml:space="preserve"> </w:t>
      </w:r>
      <w:r>
        <w:t xml:space="preserve">Die schallschutztechnische Auslegung richtet sich nach dem projektbezogenen Nachweiskonzept und den öffentlich-rechtlich erforderlichen Mindestanforderungen. Ein erhöhter Schallschutz bedarf einer ausdrücklichen, zahlenmäßig bezeichneten Vereinbarung.</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p>
      <w:pPr>
        <w:pStyle w:val="BodyText"/>
      </w:pPr>
      <w:r>
        <w:rPr>
          <w:b/>
          <w:bCs/>
        </w:rPr>
        <w:t xml:space="preserve">18.2</w:t>
      </w:r>
      <w:r>
        <w:t xml:space="preserve"> </w:t>
      </w:r>
      <w:r>
        <w:t xml:space="preserve">Die Terrasse T-4.27 wird mit Betonplatten, keramischen Terrassenplatten oder einem vergleichbaren Belag aus der Außenanlagenserie Q1 auf Gefälle bzw. Unterkonstruktion hergestellt; Format, Farbe, Fuge und Entwässerungsdetail richten sich nach dem Freiflächenkonzept.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p>
      <w:pPr>
        <w:pStyle w:val="BodyText"/>
      </w:pPr>
      <w:r>
        <w:rPr>
          <w:b/>
          <w:bCs/>
        </w:rPr>
        <w:t xml:space="preserve">20.3</w:t>
      </w:r>
      <w:r>
        <w:t xml:space="preserve"> </w:t>
      </w:r>
      <w:r>
        <w:t xml:space="preserve">Sonderwünsche außerhalb der Serien B4-01 bis B4-06, B4-Bad, B4-Tür und B4-Elektro sind vor Beginn der betroffenen Bauleistung vollständig und im Voraus zu zahlen.</w:t>
      </w:r>
    </w:p>
    <w:bookmarkEnd w:id="52"/>
    <w:bookmarkStart w:id="53" w:name="schlussbestimmungen-der-baubeschreibung"/>
    <w:p>
      <w:pPr>
        <w:pStyle w:val="Heading1"/>
      </w:pPr>
      <w:br w:type="page"/>
      <w:r>
        <w:t xml:space="preserve">Schlussbestimmungen der Baubeschreibung</w:t>
      </w:r>
    </w:p>
    <w:p>
      <w:pPr>
        <w:pStyle w:val="FirstParagraph"/>
      </w:pPr>
      <w:r>
        <w:rPr>
          <w:b/>
          <w:bCs/>
        </w:rPr>
        <w:t xml:space="preserve">S.1</w:t>
      </w:r>
      <w:r>
        <w:t xml:space="preserve"> </w:t>
      </w:r>
      <w:r>
        <w:t xml:space="preserve">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2026-07-26T00:42:04Z</dcterms:created>
  <dcterms:modified xsi:type="dcterms:W3CDTF">2026-07-26T00:42:04Z</dcterms:modified>
</cp:coreProperties>
</file>

<file path=docProps/custom.xml><?xml version="1.0" encoding="utf-8"?>
<Properties xmlns="http://schemas.openxmlformats.org/officeDocument/2006/custom-properties" xmlns:vt="http://schemas.openxmlformats.org/officeDocument/2006/docPropsVTypes"/>
</file>