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1882026-kq"/>
    <w:p>
      <w:pPr>
        <w:pStyle w:val="Heading1"/>
      </w:pPr>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p>
      <w:pPr>
        <w:pStyle w:val="BodyText"/>
      </w:pPr>
      <w:r>
        <w:t xml:space="preserve">Die Erschienenen baten sodann um die Beurkundung des nachstehenden</w:t>
      </w:r>
    </w:p>
    <w:bookmarkEnd w:id="10"/>
    <w:bookmarkEnd w:id="11"/>
    <w:bookmarkStart w:id="13" w:name="bauträgervertrag-1"/>
    <w:p>
      <w:pPr>
        <w:pStyle w:val="Heading1"/>
      </w:pPr>
      <w:r>
        <w:t xml:space="preserve">Bauträgervertrag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p>
      <w:pPr>
        <w:pStyle w:val="BodyText"/>
      </w:pPr>
      <w:r>
        <w:t xml:space="preserve">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insbesondere Baugrund- und Planungsgutachten, Fachplanernachweise, Terminpläne, Kostenverfolgungen sowie Berichte der Projektsteuerung und Objektüberwachung erstellen lassen. Diese Unterlagen dienen ausschließlich der internen Steuerung des Gesamtprojekts. Sie werden dem Käufer nur insoweit zugänglich gemacht, als dies nach zwingenden gesetzlichen Vorschriften erforderlich ist oder der Verkäufer dies zur zweckmäßigen Vertragsdurchführung für angezeigt hält.</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Er umfasst sämtliche Leistungen entsprechend der Herstellungsverpflichtung in § 5, soweit in diesem Vertrag nicht für Sonderwünsche, öffentliche Abgaben, Erschließung, technische Nachsteuerungen oder nachträgliche öffentlich-rechtliche Anforderungen eine gesonderte Kostentragung vorgesehen ist.</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15"/>
    <w:bookmarkStart w:id="16" w:name="kaufpreiszahlung-fälligkeit"/>
    <w:p>
      <w:pPr>
        <w:pStyle w:val="Heading1"/>
      </w:pPr>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vom Verkäufer beauftragten Bauleiters, Projektcontrollers oder eines mit der Objektüberwachung befassten Planungsbeteiligten über den erreichten Baufortschritt schriftlich zur Zahlung auffordert.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p>
      <w:pPr>
        <w:pStyle w:val="BodyText"/>
      </w:pPr>
      <w:r>
        <w:rPr>
          <w:b/>
          <w:bCs/>
        </w:rPr>
        <w:t xml:space="preserve">3.3</w:t>
      </w:r>
      <w:r>
        <w:t xml:space="preserve"> </w:t>
      </w:r>
      <w:r>
        <w:t xml:space="preserve">Sicherungsmechanik</w:t>
      </w:r>
    </w:p>
    <w:p>
      <w:pPr>
        <w:pStyle w:val="BodyText"/>
      </w:pPr>
      <w:r>
        <w:t xml:space="preserve">Die Parteien gehen davon aus, dass die in dieser Urkunde vorgesehene Abwicklung über Auflassungsvormerkung, Lastenfreistellung, MaBV-Ratenplan und Baufortschrittsbestätigung die Interessen des Käufers angemessen wahrt. Eine gesonderte Vertragserfüllungssicherheit wird nicht vereinbart. Soweit zwingende gesetzliche Sicherungsrechte bestehen, bleiben diese unberührt; ihre praktische Abwicklung erfolgt im Rahmen der jeweiligen ersten fälligen Rate nach Abstimmung mit dem Verkäufer und der finanzierenden Bank.</w:t>
      </w:r>
    </w:p>
    <w:p>
      <w:pPr>
        <w:pStyle w:val="BodyText"/>
      </w:pPr>
      <w:r>
        <w:rPr>
          <w:b/>
          <w:bCs/>
        </w:rPr>
        <w:t xml:space="preserve">3.4</w:t>
      </w:r>
      <w:r>
        <w:t xml:space="preserve"> </w:t>
      </w:r>
      <w:r>
        <w:t xml:space="preserve">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p>
      <w:pPr>
        <w:pStyle w:val="BodyText"/>
      </w:pPr>
      <w:r>
        <w:rPr>
          <w:b/>
          <w:bCs/>
        </w:rPr>
        <w:t xml:space="preserve">3.5</w:t>
      </w:r>
      <w:r>
        <w:t xml:space="preserve"> </w:t>
      </w:r>
      <w:r>
        <w:t xml:space="preserve">Sonderwünsche. Sonderwünsche des Käufers außerhalb der Standardausstattung sind gesondert zu beauftragen und vor Beginn der jeweils betroffenen Bauleistung auf Grundlage des Nachtragsangebots vollständig zu zahlen, damit Planung, Bestellung und Bauablauf nicht verzögert werden. Die Vergütung für individuelle Beratungen durch den Verkäufer beträgt 180,00 EUR netto je angefangener Beratungsstunde. Die Parteien sind sich einig, dass Sonderwunschentgelte gesonderte Zusatzleistungen betreffen und nicht in den MaBV-Ratenplan einzustellen sind.</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in dem Umfang begründet werden, den die finanzierende Bank nach ihren Beleihungs- und Auszahlungsvorgaben verlangt. Die Beteiligten gehen davon aus, dass die persönliche Haftungsübernahme banküblich ist und im Innenverhältnis ausschließlich der Finanzierung des Kaufgegenstandes dient.</w:t>
      </w:r>
    </w:p>
    <w:p>
      <w:pPr>
        <w:pStyle w:val="BodyText"/>
      </w:pPr>
      <w:r>
        <w:rPr>
          <w:b/>
          <w:bCs/>
        </w:rPr>
        <w:t xml:space="preserve">4.3</w:t>
      </w:r>
      <w:r>
        <w:t xml:space="preserve"> </w:t>
      </w:r>
      <w:r>
        <w:t xml:space="preserve">Die Grundpfandrechte können einschließlich Zinsen, Nebenleistungen und Vollstreckungsunterwerfung in banküblicher Höhe bestellt werden; eine interne Begrenzung auf den Finanzierungszweck bleibt dem Käufer und seiner Bank vorbehalten. Der Käufer trägt sämtliche mit Bestellung, Rangbeschaffung, Treuhandabwicklung und Löschung verbundenen Kosten.</w:t>
      </w:r>
    </w:p>
    <w:p>
      <w:r>
        <w:br w:type="page"/>
      </w:r>
    </w:p>
    <w:bookmarkEnd w:id="17"/>
    <w:bookmarkStart w:id="18" w:name="baupflicht-baubeschreibung"/>
    <w:p>
      <w:pPr>
        <w:pStyle w:val="Heading1"/>
      </w:pPr>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die Planung, Fachplanung, Projektsteuerung und Objektüberwachung des Bauvorhabens in eigener Verantwortung.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vom Verkäufer benannten Bemusterungszentrum Berlin-Schöneberg. Im Kaufpreis enthalten sind drei Beratungsstunden.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nach billigem Ermessen aus der Standardausstattung aus;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keine oder unbestimmte Angaben hinsichtlich notwendiger Leistungen enthält, ist der Verkäufer gemäß § 315 BGB zur Leistungsbestimmung nach billigem Ermessen berechtigt. Maßgeblich ist eine solide, dem Gesamtcharakter des Bauvorhabens entsprechende Ausführung, wobei technische Zweckmäßigkeit, Lieferbarkeit, Wartbarkeit, Kostenstabilität und ein einheitliches Erscheinungsbild des Quartiers zu berücksichtigen sind.</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t xml:space="preserve">Änderungen sind ferner zulässig, wenn sie aufgrund der Fortschreibung der Ausführungsplanung, der Koordination der Fachgewerke, der Verfügbarkeit von Baustoffen oder der wirtschaftlichen Gesamtsteuerung des Quartiers zweckmäßig erscheinen und die gewöhnliche Nutzbarkeit des Kaufgegenstandes nicht wesentlich beeinträchtigen. Gleichwertige Ausführungen gelten nicht als Abweichung vom Bausoll.</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Streik, Aussperrung, Witterungsverhältnisse einschließlich Hitze- und Kälteperioden, Wechselkursbewegungen bei Baustoffen, Personalengpässe oder sonstige für den Verkäufer unabwendbare oder nicht zumutbare Umstände, verlängern die jeweils betroffene Herstellungsfrist um die Dauer der Behinderung zuzüglich eines angemessenen Zuschlags für die Wiederaufnahme.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Das Bauvorhaben wird nach den zum Tag der Baugenehmigung geltenden energetischen Anforderungen errichtet. Eine bestimmte KfW-Effizienzhausklasse oder ein bestimmter GEG-Standard wird nicht geschuldet.</w:t>
      </w:r>
    </w:p>
    <w:p>
      <w:pPr>
        <w:pStyle w:val="BodyText"/>
      </w:pPr>
      <w:r>
        <w:rPr>
          <w:b/>
          <w:bCs/>
        </w:rPr>
        <w:t xml:space="preserve">5.11</w:t>
      </w:r>
      <w:r>
        <w:t xml:space="preserve"> </w:t>
      </w:r>
      <w:r>
        <w:t xml:space="preserve">Baugrund, Grundwasser und Baugrube. Dem Verkäufer liegen orientierende Baugrund- und Gründungsempfehlungen vor. Die darin enthaltenen Annahmen beruhen auf punktuellen Aufschlüssen und werden im Zuge der weiteren Ausführung fortgeschrieben.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Aufzüge, Lüftungsanlagen, Entwässerungsanlagen, Pumpen, Tiefgaragenentlüftung, Brandmelde- und Rauchabzugseinrichtungen, Heizungs- und Warmwassertechnik sowie etwaige Lade- oder Photovoltaikinfrastruktur regelmäßiger Wartung bedürfen. Der Verkäufer oder der Erstverwalter ist berechtigt, zur Sicherstellung der Erstbetriebsphase Wartungs-, Betriebsführungs-, Mess- und Energielieferungsverträge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Kostenanpassung bei nachträglichen Anforderungen. Werden nach Beurkundung aufgrund öffentlich-rechtlicher Vorgaben, Förderbedingungen, geänderter technischer Anforderungen, Energie- oder Versorgungskonzepte oder infolge der Fortschreibung der Fachplanung Maßnahmen erforderlich oder zweckmäßig, die in der Kalkulation des Verkäufers nicht enthalten waren, kann der Verkäufer eine angemessene Anpassung der hierdurch betroffenen Kostenpositionen verlangen. Der Verkäufer wird dem Käufer die Anpassung in Textform erläutern; eine Offenlegung der Gesamtkalkulation des Projekts ist nicht geschuldet.</w:t>
      </w:r>
    </w:p>
    <w:p>
      <w:pPr>
        <w:pStyle w:val="BodyText"/>
      </w:pPr>
      <w:r>
        <w:rPr>
          <w:b/>
          <w:bCs/>
        </w:rPr>
        <w:t xml:space="preserve">5.15</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18"/>
    <w:bookmarkStart w:id="19" w:name="Xf95df7023395c5238d26d19148165edbf6ad5ae"/>
    <w:p>
      <w:pPr>
        <w:pStyle w:val="Heading1"/>
      </w:pPr>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p>
      <w:pPr>
        <w:pStyle w:val="BodyText"/>
      </w:pPr>
      <w:r>
        <w:t xml:space="preserve">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p>
      <w:pPr>
        <w:pStyle w:val="BodyText"/>
      </w:pPr>
      <w:r>
        <w:rPr>
          <w:b/>
          <w:bCs/>
        </w:rPr>
        <w:t xml:space="preserve">6.3</w:t>
      </w:r>
      <w:r>
        <w:t xml:space="preserve"> </w:t>
      </w:r>
      <w:r>
        <w:t xml:space="preserve">Abnahme des Gemeinschaftseigentums</w:t>
      </w:r>
    </w:p>
    <w:p>
      <w:pPr>
        <w:pStyle w:val="BodyText"/>
      </w:pPr>
      <w:r>
        <w:t xml:space="preserve">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p>
      <w:pPr>
        <w:pStyle w:val="BodyText"/>
      </w:pPr>
      <w:r>
        <w:t xml:space="preserve">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p>
      <w:pPr>
        <w:pStyle w:val="BodyText"/>
      </w:pPr>
      <w:r>
        <w:t xml:space="preserve">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p>
      <w:r>
        <w:br w:type="page"/>
      </w:r>
    </w:p>
    <w:bookmarkEnd w:id="19"/>
    <w:bookmarkStart w:id="20" w:name="erschließungskosten"/>
    <w:p>
      <w:pPr>
        <w:pStyle w:val="Heading1"/>
      </w:pPr>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Anschlussgebühren, Herstellungsbeiträge und Abgaben nach den entsprechenden Verordnungen des Landes Brandenburg trägt der Käufer anteilig nach seinem Miteigentumsanteil.</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20"/>
    <w:bookmarkStart w:id="21" w:name="zutritt-zur-baustelle"/>
    <w:p>
      <w:pPr>
        <w:pStyle w:val="Heading1"/>
      </w:pPr>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betreten. Der Verkäufer bietet dem Käufer nach billigem Ermessen bis zu zwei begleitete Besichtigungstermine vor Bezugsfertigkeit sowie einen Termin zur Abnahme der Sondereigentumseinheit an. Weitere Termine können insbesondere bei anstehenden Ratenmeilensteinen ermöglicht werden, sofern Bauablauf, Sicherheitsvorgaben, Nachunternehmerinteressen, Datenschutz und der Vertrieb anderer Einheiten nicht beeinträchtigt werden.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p>
      <w:pPr>
        <w:pStyle w:val="BodyText"/>
      </w:pPr>
      <w:r>
        <w:rPr>
          <w:b/>
          <w:bCs/>
        </w:rPr>
        <w:t xml:space="preserve">8.3</w:t>
      </w:r>
      <w:r>
        <w:t xml:space="preserve"> </w:t>
      </w:r>
      <w:r>
        <w:t xml:space="preserve">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p>
      <w:r>
        <w:br w:type="page"/>
      </w:r>
    </w:p>
    <w:bookmarkEnd w:id="21"/>
    <w:bookmarkStart w:id="22" w:name="haftung-mängelrechte-verzug-verjährung"/>
    <w:p>
      <w:pPr>
        <w:pStyle w:val="Heading1"/>
      </w:pPr>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 und zur Sicherung einer geordneten Gewährleistungsabwicklung:</w:t>
      </w:r>
    </w:p>
    <w:p>
      <w:pPr>
        <w:pStyle w:val="Compact"/>
        <w:numPr>
          <w:ilvl w:val="0"/>
          <w:numId w:val="1002"/>
        </w:numPr>
      </w:pPr>
      <w:r>
        <w:t xml:space="preserve">Mängelanzeigen sind mit konkreter Beschreibung, Lageangabe, Foto und gewünschter Kontaktaufnahme an die vom Verkäufer benannte Gewährleistungsstelle zu richten.</w:t>
      </w:r>
    </w:p>
    <w:p>
      <w:pPr>
        <w:pStyle w:val="Compact"/>
        <w:numPr>
          <w:ilvl w:val="0"/>
          <w:numId w:val="1002"/>
        </w:numPr>
      </w:pPr>
      <w:r>
        <w:t xml:space="preserve">Der Käufer wird dem Verkäufer zunächst Gelegenheit zur Prüfung und Nacherfüllung geben; Ersatzvornahmen vor Abschluss dieser Prüfung sind nur bei Gefahr im Verzug oder nach schriftlicher Freigabe des Verkäufers erstattungsfähig.</w:t>
      </w:r>
    </w:p>
    <w:p>
      <w:pPr>
        <w:pStyle w:val="Compact"/>
        <w:numPr>
          <w:ilvl w:val="0"/>
          <w:numId w:val="1002"/>
        </w:numPr>
      </w:pPr>
      <w: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w:t>
      </w:r>
    </w:p>
    <w:p>
      <w:pPr>
        <w:pStyle w:val="Compact"/>
        <w:numPr>
          <w:ilvl w:val="0"/>
          <w:numId w:val="1002"/>
        </w:numPr>
      </w:pPr>
      <w: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w:t>
      </w:r>
    </w:p>
    <w:p>
      <w:pPr>
        <w:pStyle w:val="Compact"/>
        <w:numPr>
          <w:ilvl w:val="0"/>
          <w:numId w:val="1002"/>
        </w:numPr>
      </w:pPr>
      <w:r>
        <w:t xml:space="preserve">Die Verjährungsfrist für Mängelansprüche beträgt zwei Jahre ab der vom Verkäufer dokumentierten Abnahmebestätigung, soweit zwingendes Recht keine längere Frist vorschreibt.</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Werden bei Übergabe oder Abnahme unwesentliche Mängel oder Restarbeiten festgestellt, kann der Verkäufer zur Beschleunigung der Übergabe einen Restarbeitenplan mit angemessener Kostenbewertung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p>
      <w:pPr>
        <w:pStyle w:val="BodyText"/>
      </w:pPr>
      <w:r>
        <w:rPr>
          <w:b/>
          <w:bCs/>
        </w:rPr>
        <w:t xml:space="preserve">10.3</w:t>
      </w:r>
      <w:r>
        <w:t xml:space="preserve"> </w:t>
      </w:r>
      <w:r>
        <w:t xml:space="preserve">Der Käufer beantragt schon heute die Löschung der Eigentumsvormerkung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p>
      <w:pPr>
        <w:pStyle w:val="BodyText"/>
      </w:pPr>
      <w:r>
        <w:rPr>
          <w:b/>
          <w:bCs/>
        </w:rPr>
        <w:t xml:space="preserve">12.2</w:t>
      </w:r>
      <w:r>
        <w:t xml:space="preserve"> </w:t>
      </w:r>
      <w:r>
        <w:t xml:space="preserve">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seine Einheit entfallenden Kosten der erstmaligen Einrichtung und Übergabe der WEG-Verwaltung, der technischen Betriebsführung, der Einweisung in gemeinschaftliche Anlagen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26"/>
    <w:bookmarkStart w:id="27" w:name="belehrungen"/>
    <w:p>
      <w:pPr>
        <w:pStyle w:val="Heading1"/>
      </w:pPr>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13a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29"/>
    <w:bookmarkStart w:id="3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p>
      <w:r>
        <w:br w:type="page"/>
      </w:r>
    </w:p>
    <w:bookmarkEnd w:id="30"/>
    <w:bookmarkStart w:id="32" w:name="anlage-baubeschreibung"/>
    <w:p>
      <w:pPr>
        <w:pStyle w:val="Heading1"/>
      </w:pPr>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für die vertragsgegenständliche Einheit in der für die Kaufentscheidung maßgeblichen Fassung. Verkaufsunterlagen, Exposés, Visualisierungen, Renderings, Grundrissdarstellungen mit Möblierung sowie die Musterwohnung in Haus 5 dienen der Veranschaulichung des Quartiers- und Ausstattungskonzepts und werden nur insoweit Vertragsbestandteil, als diese Baubeschreibung oder der Kaufvertrag ausdrücklich darauf Bezug nehmen.</w:t>
      </w:r>
    </w:p>
    <w:p>
      <w:pPr>
        <w:pStyle w:val="BodyText"/>
      </w:pPr>
      <w:r>
        <w:rPr>
          <w:b/>
          <w:bCs/>
        </w:rPr>
        <w:t xml:space="preserve">V.2</w:t>
      </w:r>
      <w:r>
        <w:t xml:space="preserve"> </w:t>
      </w:r>
      <w:r>
        <w:t xml:space="preserve">Die in dieser Baubeschreibung genannten Fabrikate, Hersteller, Typen und Modelle sind, soweit überhaupt benannt, beispielhaft zu verstehen. Der Verkäufer ist berechtigt, gleichwertige oder gleichartige Produkte anderer Hersteller einzusetzen, soweit dies aus Gründen der Lieferbarkeit, der Bauablaufplanung, der Wirtschaftlichkeit oder aus technischen Gründen zweckmäßig erscheint.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nach billigem Ermessen unter Berücksichtigung eines einheitlichen, wertigen Quartiersbildes, der technischen Zweckmäßigkeit, der Lieferbarkeit und der späteren Wartbarkeit.</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p>
      <w:r>
        <w:br w:type="page"/>
      </w:r>
    </w:p>
    <w:bookmarkEnd w:id="31"/>
    <w:bookmarkEnd w:id="32"/>
    <w:bookmarkStart w:id="33" w:name="allgemeines-gebäudekonzept"/>
    <w:p>
      <w:pPr>
        <w:pStyle w:val="Heading1"/>
      </w:pPr>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entspricht einem zeitgemäßen, gehobenen Standard üblicher Qualität mit ruhiger, langlebiger Materialanmutung. Die konkrete Ausgestaltung der einzelnen Gewerke ergibt sich aus den nachstehenden Abschnitten und den im Zuge der Ausführungsplanung fortgeschriebenen Detailfestlegungen.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orientierende Baugrunderkundungen zugrunde. Art und Tiefe der Gründung (Flach- oder Tiefgründung, Bodenaustausch, Bodenverbesserung) werden im Zuge der Ausführungsplanung durch den Tragwerksplaner festgelegt.</w:t>
      </w:r>
    </w:p>
    <w:p>
      <w:pPr>
        <w:pStyle w:val="BodyText"/>
      </w:pPr>
      <w:r>
        <w:rPr>
          <w:b/>
          <w:bCs/>
        </w:rPr>
        <w:t xml:space="preserve">2.2</w:t>
      </w:r>
      <w:r>
        <w:t xml:space="preserve"> </w:t>
      </w:r>
      <w:r>
        <w:t xml:space="preserve">Maßnahmen der Wasserhaltung, des Baugrubenverbaus,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erfolgt nach den einschlägigen technischen Regelwerken in einer für die vorgesehene 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werden in Trockenbau- oder Mauerwerksausführung erstellt. Die genaue Ausführung wählt der Verkäufer.</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erhalten ein Wärmedämmverbundsystem oder eine gleichwertige Dämmkonstruktion mit Putzoberfläche bzw. teilweiser Vorhangfassade nach Wahl des Verkäufers. Farbgebung und Materialität der Fassade legt der Verkäufer im Rahmen des Gestaltungskonzepts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werden als Kunststoff-, Kunststoff-Aluminium- oder Aluminiumfenster mit Mehrscheiben-Isolierverglasung ausgeführt; Profilwahl, Beschlag und Farbton trifft der Verkäufer im Rahmen des Fassaden- und Energiekonzepts. Die Wohnung erhält Fenster in marktüblicher Ausführung.</w:t>
      </w:r>
    </w:p>
    <w:p>
      <w:pPr>
        <w:pStyle w:val="BodyText"/>
      </w:pPr>
      <w:r>
        <w:rPr>
          <w:b/>
          <w:bCs/>
        </w:rPr>
        <w:t xml:space="preserve">6.2</w:t>
      </w:r>
      <w:r>
        <w:t xml:space="preserve"> </w:t>
      </w:r>
      <w:r>
        <w:t xml:space="preserve">Ein Teil der Fenster und Fenstertüren wird mit außenliegendem Sonnenschutz ausgestattet. Welche Öffnungen Sonnenschutz erhalten, legt der Verkäufer fest.</w:t>
      </w:r>
    </w:p>
    <w:p>
      <w:pPr>
        <w:pStyle w:val="BodyText"/>
      </w:pPr>
      <w:r>
        <w:rPr>
          <w:b/>
          <w:bCs/>
        </w:rPr>
        <w:t xml:space="preserve">6.3</w:t>
      </w:r>
      <w:r>
        <w:t xml:space="preserve"> </w:t>
      </w:r>
      <w:r>
        <w:t xml:space="preserve">Die Wohnungseingangstür wird als Tür mit üblichem Einbruch- und Schallschutz in handelsüblicher Qualität ausgeführt.</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erhalten einen Bodenbelag in gehobener Anmutung nach Wahl aus dem Standardsortiment des Verkäufers. Bad und Gäste-WC erhalten Fliesenbeläge aus dem Standardsortiment; Format, Verlegebild und Fugenfarbe richten sich nach der Bemusterung und den technischen Erfordernissen.</w:t>
      </w:r>
    </w:p>
    <w:p>
      <w:pPr>
        <w:pStyle w:val="BodyText"/>
      </w:pPr>
      <w:r>
        <w:rPr>
          <w:b/>
          <w:bCs/>
        </w:rPr>
        <w:t xml:space="preserve">8.2</w:t>
      </w:r>
      <w:r>
        <w:t xml:space="preserve"> </w:t>
      </w:r>
      <w:r>
        <w:t xml:space="preserve">Der Käufer kann im Rahmen der Bemusterung aus dem jeweils gültigen Standardsortiment auswählen, soweit der Baufortschritt dies noch zulässt. Eine Auswahl außerhalb des Standardsortiments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werden als Zimmertüren in handelsüblicher Ausführung mit Standardbeschlag eingebaut. Oberfläche, Farbe und Drückergarnitur richten sich nach dem Standardsortiment des Verkäufers.</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Die Sanitärräume werden mit Sanitärobjekten in weißer, zeitloser Ausführung ausgestattet (Waschtisch, WC, Dusche und/oder Badewanne je nach Grundriss). Armaturen werden als Einhebelmischer in marktüblicher Qualität aus dem Sanitärprogramm des Verkäufers geliefert.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erfolgt über eine zentrale Anlage nach Wahl des Verkäufers (Fernwärme, Wärmepumpe, Brennwerttechnik oder eine Kombination hiervon). Die Wohnräume erhalten Heizflächen (Fußbodenheizung und/oder Heizkörper) in einer für die vorgesehene Nutzung geeigneten Auslegung.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und fensterlose Räume werden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wird nicht geschuldet, soweit diese Werte nicht in einer Übergabeunterlage ausdrücklich genannt sind.</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wird nach den einschlägigen technischen Regeln in einer für Wohnnutzung üblichen Ausstattungsdichte ausgeführt. Anzahl und Position von Steckdosen, Schaltern und Anschlüssen ergeben sich aus den Ausführungsplänen.</w:t>
      </w:r>
    </w:p>
    <w:p>
      <w:pPr>
        <w:pStyle w:val="BodyText"/>
      </w:pPr>
      <w:r>
        <w:rPr>
          <w:b/>
          <w:bCs/>
        </w:rPr>
        <w:t xml:space="preserve">13.2</w:t>
      </w:r>
      <w:r>
        <w:t xml:space="preserve"> </w:t>
      </w:r>
      <w:r>
        <w:t xml:space="preserve">Die Wohnung erhält einen Multimedia-/Datenanschluss in handelsüblicher Ausführung. Eine bestimmte Bandbreite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in handelsüblicher Ausführung, der die Wohngeschosse und die Tiefgarage erschließt. Fabrikat, Förderhöhe und Kabinenausstattung wählt der Verkäufer.</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Tiefgarage wird in Stahlbeton ausgeführt und maschinell be- und entlüftet. Bodenbeschichtung, Markierung und technische Ausstattung erfolgen in für Tiefgaragen üblicher Qualität.</w:t>
      </w:r>
    </w:p>
    <w:p>
      <w:pPr>
        <w:pStyle w:val="BodyText"/>
      </w:pPr>
      <w:r>
        <w:rPr>
          <w:b/>
          <w:bCs/>
        </w:rPr>
        <w:t xml:space="preserve">15.2</w:t>
      </w:r>
      <w:r>
        <w:t xml:space="preserve"> </w:t>
      </w:r>
      <w:r>
        <w:t xml:space="preserve">Der dem Käufer zugeordnete Stellplatz TG-127 wird als Standard-Stellplatz hergestellt.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werden in dem öffentlich-rechtlich erforderlichen Umfang nachgewiesen und ausgeführt. Ein über die Mindestanforderungen hinausgehender, erhöhter Schallschutz wird nur geschuldet, soweit er nachstehend mit Zahlenwerten ausdrücklich vereinbart ist.</w:t>
      </w:r>
    </w:p>
    <w:p>
      <w:pPr>
        <w:pStyle w:val="BodyText"/>
      </w:pPr>
      <w:r>
        <w:rPr>
          <w:b/>
          <w:bCs/>
        </w:rPr>
        <w:t xml:space="preserve">16.2</w:t>
      </w:r>
      <w:r>
        <w:t xml:space="preserve"> </w:t>
      </w:r>
      <w:r>
        <w:t xml:space="preserve">Die schallschutztechnische Auslegung richtet sich nach dem projektbezogenen Nachweiskonzept und den öffentlich-rechtlich erforderlichen Mindestanforderungen. Ein erhöhter Schallschutz bedarf einer ausdrücklichen, zahlenmäßig bezeichneten Vereinbarung.</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Das Gebäude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oder eine bestimmte GEG-Stufe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(Wege, Zufahrten, Pflanzflächen, Spielplatz, Quartiersplatz, Müllstandorte) werden nach dem Freiflächenkonzept hergestellt. Art, Umfang und Zeitpunkt der Fertigstellung richten sich nach dem Bauablauf des Gesamtquartiers und können nach dem Übergabetag der Wohnung liegen.</w:t>
      </w:r>
    </w:p>
    <w:p>
      <w:pPr>
        <w:pStyle w:val="BodyText"/>
      </w:pPr>
      <w:r>
        <w:rPr>
          <w:b/>
          <w:bCs/>
        </w:rPr>
        <w:t xml:space="preserve">18.2</w:t>
      </w:r>
      <w:r>
        <w:t xml:space="preserve"> </w:t>
      </w:r>
      <w:r>
        <w:t xml:space="preserve">Die Terrasse T-4.27 wird mit einem Bodenbelag in für Außenflächen üblicher Qualität hergestellt.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Die Ermittlung erfolgt nach DIN 277 anhand der Planungsstände. Maßgeblich ist die nach Fertigstellung tatsächlich erbrachte Ausführung; die ca.-Angabe dient der Objektbeschreibung und ist keine selbständige Garantie.</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vom Verkäufer benannten Bemusterungszentrum aus dem jeweils gültigen Standardsortiment.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aus der Standardausstattung. Spätere Änderungen sind nur möglich, soweit der Baufortschritt es zulässt, und gesondert zu vergüten.</w:t>
      </w:r>
    </w:p>
    <w:p>
      <w:pPr>
        <w:pStyle w:val="BodyText"/>
      </w:pPr>
      <w:r>
        <w:rPr>
          <w:b/>
          <w:bCs/>
        </w:rPr>
        <w:t xml:space="preserve">20.3</w:t>
      </w:r>
      <w:r>
        <w:t xml:space="preserve"> </w:t>
      </w:r>
      <w:r>
        <w:t xml:space="preserve">Sonderwünsche außerhalb des Standardsortiments sind vor Beginn der betroffenen Bauleistung vollständig und im Voraus zu zahlen.</w:t>
      </w:r>
    </w:p>
    <w:p>
      <w:r>
        <w:br w:type="page"/>
      </w:r>
    </w:p>
    <w:bookmarkEnd w:id="52"/>
    <w:bookmarkStart w:id="53" w:name="schlussbestimmungen-der-baubeschreibung"/>
    <w:p>
      <w:pPr>
        <w:pStyle w:val="Heading1"/>
      </w:pPr>
      <w:r>
        <w:t xml:space="preserve">Schlussbestimmungen der Baubeschreibung</w:t>
      </w:r>
    </w:p>
    <w:p>
      <w:pPr>
        <w:pStyle w:val="FirstParagraph"/>
      </w:pPr>
      <w:r>
        <w:rPr>
          <w:b/>
          <w:bCs/>
        </w:rPr>
        <w:t xml:space="preserve">S.1</w:t>
      </w:r>
      <w:r>
        <w:t xml:space="preserve"> </w:t>
      </w:r>
      <w:r>
        <w:t xml:space="preserve">Bei Widersprüchen zwischen dieser Baubeschreibung, den Plänen, Bemusterungsunterlagen und dem Kaufvertrag ist zunächst eine technisch und wirtschaftlich sachgerechte Auslegung im Sinne einer einheitlichen Projektausführung vorzunehmen. Der Verkäufer trifft hierzu die erforderlichen Koordinierungsentscheidungen nach billigem Ermessen.</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2026-06-16T22:22:26Z</dcterms:created>
  <dcterms:modified xsi:type="dcterms:W3CDTF">2026-06-16T22:22:26Z</dcterms:modified>
</cp:coreProperties>
</file>

<file path=docProps/custom.xml><?xml version="1.0" encoding="utf-8"?>
<Properties xmlns="http://schemas.openxmlformats.org/officeDocument/2006/custom-properties" xmlns:vt="http://schemas.openxmlformats.org/officeDocument/2006/docPropsVTypes"/>
</file>