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Heading1doc-title"/>
        <w:bidi w:val="0"/>
        <w:spacing w:before="240" w:after="283"/>
        <w:rPr/>
      </w:pPr>
      <w:r>
        <w:rPr/>
        <w:t>Wohnungsbauträgervertrag mit Auflassung — Deutsch/English</w:t>
      </w:r>
    </w:p>
    <w:p>
      <w:pPr>
        <w:pStyle w:val="BodyTextdoc-note"/>
        <w:bidi w:val="0"/>
        <w:rPr/>
      </w:pPr>
      <w:r>
        <w:rPr/>
        <w:t>Deutsch-englische Lesefassung. Bei Abweichungen ist die deutsche Sprachfassung maßgeblich.</w:t>
      </w:r>
    </w:p>
    <w:tbl>
      <w:tblPr>
        <w:tblW w:w="15534" w:type="dxa"/>
        <w:jc w:val="start"/>
        <w:tblInd w:w="0" w:type="dxa"/>
        <w:tblLayout w:type="fixed"/>
        <w:tblCellMar>
          <w:top w:w="28" w:type="dxa"/>
          <w:start w:w="28" w:type="dxa"/>
          <w:bottom w:w="28" w:type="dxa"/>
          <w:end w:w="28" w:type="dxa"/>
        </w:tblCellMar>
      </w:tblPr>
      <w:tblGrid>
        <w:gridCol w:w="7569"/>
        <w:gridCol w:w="7965"/>
      </w:tblGrid>
      <w:tr>
        <w:trPr>
          <w:tblHeader w:val="true"/>
        </w:trPr>
        <w:tc>
          <w:tcPr>
            <w:tcW w:w="7569" w:type="dxa"/>
            <w:tcBorders/>
            <w:vAlign w:val="center"/>
          </w:tcPr>
          <w:p>
            <w:pPr>
              <w:pStyle w:val="TableHeading"/>
              <w:suppressLineNumbers/>
              <w:bidi w:val="0"/>
              <w:spacing w:before="0" w:after="283"/>
              <w:jc w:val="center"/>
              <w:rPr/>
            </w:pPr>
            <w:r>
              <w:rPr/>
              <w:t>Deutsche Fassung</w:t>
            </w:r>
          </w:p>
        </w:tc>
        <w:tc>
          <w:tcPr>
            <w:tcW w:w="7965" w:type="dxa"/>
            <w:tcBorders/>
            <w:vAlign w:val="center"/>
          </w:tcPr>
          <w:p>
            <w:pPr>
              <w:pStyle w:val="TableHeading"/>
              <w:suppressLineNumbers/>
              <w:bidi w:val="0"/>
              <w:spacing w:before="0" w:after="283"/>
              <w:jc w:val="center"/>
              <w:rPr/>
            </w:pPr>
            <w:r>
              <w:rPr/>
              <w:t>English convenience translation</w:t>
            </w:r>
          </w:p>
        </w:tc>
      </w:tr>
      <w:tr>
        <w:trPr/>
        <w:tc>
          <w:tcPr>
            <w:tcW w:w="7569" w:type="dxa"/>
            <w:tcBorders/>
            <w:vAlign w:val="center"/>
          </w:tcPr>
          <w:p>
            <w:pPr>
              <w:pStyle w:val="Heading1"/>
              <w:bidi w:val="0"/>
              <w:spacing w:before="240" w:after="283"/>
              <w:ind w:hanging="0" w:start="0" w:end="0"/>
              <w:rPr/>
            </w:pPr>
            <w:bookmarkStart w:id="0" w:name="bauträgervertrag"/>
            <w:bookmarkEnd w:id="0"/>
            <w:r>
              <w:rPr/>
              <w:t>Bauträgervertrag</w:t>
            </w:r>
          </w:p>
        </w:tc>
        <w:tc>
          <w:tcPr>
            <w:tcW w:w="7965" w:type="dxa"/>
            <w:tcBorders/>
            <w:vAlign w:val="center"/>
          </w:tcPr>
          <w:p>
            <w:pPr>
              <w:pStyle w:val="Heading1"/>
              <w:bidi w:val="0"/>
              <w:spacing w:before="240" w:after="283"/>
              <w:ind w:hanging="0" w:start="0" w:end="0"/>
              <w:rPr/>
            </w:pPr>
            <w:bookmarkStart w:id="1" w:name="property-development-contract"/>
            <w:bookmarkEnd w:id="1"/>
            <w:r>
              <w:rPr/>
              <w:t>Property Development Contract</w:t>
            </w:r>
          </w:p>
        </w:tc>
      </w:tr>
      <w:tr>
        <w:trPr/>
        <w:tc>
          <w:tcPr>
            <w:tcW w:w="7569" w:type="dxa"/>
            <w:tcBorders/>
            <w:vAlign w:val="center"/>
          </w:tcPr>
          <w:p>
            <w:pPr>
              <w:pStyle w:val="Heading2"/>
              <w:bidi w:val="0"/>
              <w:spacing w:before="200" w:after="120"/>
              <w:ind w:hanging="0" w:start="0" w:end="0"/>
              <w:rPr/>
            </w:pPr>
            <w:bookmarkStart w:id="2" w:name="sprachfassung-verlesung-und-verständnish"/>
            <w:bookmarkEnd w:id="2"/>
            <w:r>
              <w:rPr/>
              <w:t>Sprachfassung, Verlesung und Verständnishilfe</w:t>
            </w:r>
          </w:p>
        </w:tc>
        <w:tc>
          <w:tcPr>
            <w:tcW w:w="7965" w:type="dxa"/>
            <w:tcBorders/>
            <w:vAlign w:val="center"/>
          </w:tcPr>
          <w:p>
            <w:pPr>
              <w:pStyle w:val="Heading2"/>
              <w:bidi w:val="0"/>
              <w:spacing w:before="200" w:after="120"/>
              <w:ind w:hanging="0" w:start="0" w:end="0"/>
              <w:rPr/>
            </w:pPr>
            <w:bookmarkStart w:id="3" w:name="language-version-reading-aloud-and-compr"/>
            <w:bookmarkEnd w:id="3"/>
            <w:r>
              <w:rPr/>
              <w:t>Language Version, Reading Aloud and Comprehension Aid</w:t>
            </w:r>
          </w:p>
        </w:tc>
      </w:tr>
      <w:tr>
        <w:trPr/>
        <w:tc>
          <w:tcPr>
            <w:tcW w:w="7569" w:type="dxa"/>
            <w:tcBorders/>
            <w:vAlign w:val="center"/>
          </w:tcPr>
          <w:p>
            <w:pPr>
              <w:pStyle w:val="TableContents"/>
              <w:bidi w:val="0"/>
              <w:spacing w:before="0" w:after="283"/>
              <w:rPr/>
            </w:pPr>
            <w:r>
              <w:rPr>
                <w:rStyle w:val="Strong"/>
              </w:rPr>
              <w:t>S.0</w:t>
            </w:r>
            <w:r>
              <w:rPr/>
              <w:t xml:space="preserve"> Diese Urkunde ist in einer deutsch-englischen Lesefassung erstellt. Die amtierende Notarin beurkundet und verliest im Beurkundungstermin ausschließlich die deutsche Sprachfassung. Die englische Sprachfassung ist keine selbständige Vertragssprache, wird nicht verlesen und dient allein dem besseren Verständnis des Käufers; sie begründet keine von der deutschen Sprachfassung abweichenden Rechte, Pflichten, Fälligkeiten, Fristen, Beschaffenheiten oder Rechtsfolgen.</w:t>
            </w:r>
          </w:p>
        </w:tc>
        <w:tc>
          <w:tcPr>
            <w:tcW w:w="7965" w:type="dxa"/>
            <w:tcBorders/>
            <w:vAlign w:val="center"/>
          </w:tcPr>
          <w:p>
            <w:pPr>
              <w:pStyle w:val="TableContents"/>
              <w:bidi w:val="0"/>
              <w:spacing w:before="0" w:after="283"/>
              <w:rPr/>
            </w:pPr>
            <w:r>
              <w:rPr>
                <w:rStyle w:val="Strong"/>
              </w:rPr>
              <w:t>S.0</w:t>
            </w:r>
            <w:r>
              <w:rPr/>
              <w:t xml:space="preserve"> This deed has been prepared as a German/English reading version. At the notarisation appointment, the acting notary records and reads aloud only the German language version. The English language version is not an independent contractual language, is not read aloud and serves solely to assist the Buyer in understanding the deed; it does not create any rights, obligations, due dates, time limits, qualities or legal consequences differing from the German language version.</w:t>
            </w:r>
          </w:p>
        </w:tc>
      </w:tr>
      <w:tr>
        <w:trPr/>
        <w:tc>
          <w:tcPr>
            <w:tcW w:w="7569" w:type="dxa"/>
            <w:tcBorders/>
            <w:vAlign w:val="center"/>
          </w:tcPr>
          <w:p>
            <w:pPr>
              <w:pStyle w:val="TableContents"/>
              <w:bidi w:val="0"/>
              <w:spacing w:before="0" w:after="283"/>
              <w:rPr/>
            </w:pPr>
            <w:r>
              <w:rPr>
                <w:rStyle w:val="Strong"/>
              </w:rPr>
              <w:t>UR-Nr. 921/2026 LF</w:t>
            </w:r>
          </w:p>
        </w:tc>
        <w:tc>
          <w:tcPr>
            <w:tcW w:w="7965" w:type="dxa"/>
            <w:tcBorders/>
            <w:vAlign w:val="center"/>
          </w:tcPr>
          <w:p>
            <w:pPr>
              <w:pStyle w:val="TableContents"/>
              <w:bidi w:val="0"/>
              <w:spacing w:before="0" w:after="283"/>
              <w:rPr/>
            </w:pPr>
            <w:r>
              <w:rPr>
                <w:rStyle w:val="Strong"/>
              </w:rPr>
              <w:t>UR-Nr. 921/2026 LF</w:t>
            </w:r>
          </w:p>
        </w:tc>
      </w:tr>
      <w:tr>
        <w:trPr/>
        <w:tc>
          <w:tcPr>
            <w:tcW w:w="7569" w:type="dxa"/>
            <w:tcBorders/>
            <w:vAlign w:val="center"/>
          </w:tcPr>
          <w:p>
            <w:pPr>
              <w:pStyle w:val="Heading2"/>
              <w:bidi w:val="0"/>
              <w:spacing w:before="200" w:after="120"/>
              <w:ind w:hanging="0" w:start="0" w:end="0"/>
              <w:rPr/>
            </w:pPr>
            <w:bookmarkStart w:id="4" w:name="verhandelt"/>
            <w:bookmarkEnd w:id="4"/>
            <w:r>
              <w:rPr/>
              <w:t>Verhandelt</w:t>
            </w:r>
          </w:p>
        </w:tc>
        <w:tc>
          <w:tcPr>
            <w:tcW w:w="7965" w:type="dxa"/>
            <w:tcBorders/>
            <w:vAlign w:val="center"/>
          </w:tcPr>
          <w:p>
            <w:pPr>
              <w:pStyle w:val="Heading2"/>
              <w:bidi w:val="0"/>
              <w:spacing w:before="200" w:after="120"/>
              <w:ind w:hanging="0" w:start="0" w:end="0"/>
              <w:rPr/>
            </w:pPr>
            <w:bookmarkStart w:id="5" w:name="negotiated"/>
            <w:bookmarkEnd w:id="5"/>
            <w:r>
              <w:rPr/>
              <w:t>Negotiated</w:t>
            </w:r>
          </w:p>
        </w:tc>
      </w:tr>
      <w:tr>
        <w:trPr/>
        <w:tc>
          <w:tcPr>
            <w:tcW w:w="7569" w:type="dxa"/>
            <w:tcBorders/>
            <w:vAlign w:val="center"/>
          </w:tcPr>
          <w:p>
            <w:pPr>
              <w:pStyle w:val="TableContents"/>
              <w:bidi w:val="0"/>
              <w:spacing w:before="0" w:after="283"/>
              <w:rPr/>
            </w:pPr>
            <w:r>
              <w:rPr/>
              <w:t>zu Köln, am 18. September 2026</w:t>
            </w:r>
          </w:p>
        </w:tc>
        <w:tc>
          <w:tcPr>
            <w:tcW w:w="7965" w:type="dxa"/>
            <w:tcBorders/>
            <w:vAlign w:val="center"/>
          </w:tcPr>
          <w:p>
            <w:pPr>
              <w:pStyle w:val="TableContents"/>
              <w:bidi w:val="0"/>
              <w:spacing w:before="0" w:after="283"/>
              <w:rPr/>
            </w:pPr>
            <w:r>
              <w:rPr/>
              <w:t>in Cologne, on 18 September 2026</w:t>
            </w:r>
          </w:p>
        </w:tc>
      </w:tr>
      <w:tr>
        <w:trPr/>
        <w:tc>
          <w:tcPr>
            <w:tcW w:w="7569" w:type="dxa"/>
            <w:tcBorders/>
            <w:vAlign w:val="center"/>
          </w:tcPr>
          <w:p>
            <w:pPr>
              <w:pStyle w:val="TableContents"/>
              <w:bidi w:val="0"/>
              <w:spacing w:before="0" w:after="283"/>
              <w:rPr/>
            </w:pPr>
            <w:r>
              <w:rPr/>
              <w:t>Vor mir, der unterzeichnenden Notarin im Bezirk des Oberlandesgerichts Köln</w:t>
            </w:r>
          </w:p>
        </w:tc>
        <w:tc>
          <w:tcPr>
            <w:tcW w:w="7965" w:type="dxa"/>
            <w:tcBorders/>
            <w:vAlign w:val="center"/>
          </w:tcPr>
          <w:p>
            <w:pPr>
              <w:pStyle w:val="TableContents"/>
              <w:bidi w:val="0"/>
              <w:spacing w:before="0" w:after="283"/>
              <w:rPr/>
            </w:pPr>
            <w:r>
              <w:rPr/>
              <w:t>Before me, the undersigned Notary in the district of the Higher Regional Court of Cologne</w:t>
            </w:r>
          </w:p>
        </w:tc>
      </w:tr>
      <w:tr>
        <w:trPr/>
        <w:tc>
          <w:tcPr>
            <w:tcW w:w="7569" w:type="dxa"/>
            <w:tcBorders/>
            <w:vAlign w:val="center"/>
          </w:tcPr>
          <w:p>
            <w:pPr>
              <w:pStyle w:val="TableContents"/>
              <w:bidi w:val="0"/>
              <w:spacing w:before="0" w:after="283"/>
              <w:rPr/>
            </w:pPr>
            <w:r>
              <w:rPr>
                <w:rStyle w:val="Strong"/>
              </w:rPr>
              <w:t>Dr. Miriam Falkenried</w:t>
            </w:r>
          </w:p>
        </w:tc>
        <w:tc>
          <w:tcPr>
            <w:tcW w:w="7965" w:type="dxa"/>
            <w:tcBorders/>
            <w:vAlign w:val="center"/>
          </w:tcPr>
          <w:p>
            <w:pPr>
              <w:pStyle w:val="TableContents"/>
              <w:bidi w:val="0"/>
              <w:spacing w:before="0" w:after="283"/>
              <w:rPr/>
            </w:pPr>
            <w:r>
              <w:rPr>
                <w:rStyle w:val="Strong"/>
              </w:rPr>
              <w:t>Dr. Miriam Falkenried</w:t>
            </w:r>
          </w:p>
        </w:tc>
      </w:tr>
      <w:tr>
        <w:trPr/>
        <w:tc>
          <w:tcPr>
            <w:tcW w:w="7569" w:type="dxa"/>
            <w:tcBorders/>
            <w:vAlign w:val="center"/>
          </w:tcPr>
          <w:p>
            <w:pPr>
              <w:pStyle w:val="TableContents"/>
              <w:bidi w:val="0"/>
              <w:spacing w:before="0" w:after="283"/>
              <w:rPr/>
            </w:pPr>
            <w:r>
              <w:rPr/>
              <w:t>Hohenzollernring 42, 50672 Köln</w:t>
            </w:r>
          </w:p>
        </w:tc>
        <w:tc>
          <w:tcPr>
            <w:tcW w:w="7965" w:type="dxa"/>
            <w:tcBorders/>
            <w:vAlign w:val="center"/>
          </w:tcPr>
          <w:p>
            <w:pPr>
              <w:pStyle w:val="TableContents"/>
              <w:bidi w:val="0"/>
              <w:spacing w:before="0" w:after="283"/>
              <w:rPr/>
            </w:pPr>
            <w:r>
              <w:rPr/>
              <w:t>Hohenzollernring 42, 50672 Cologne</w:t>
            </w:r>
          </w:p>
        </w:tc>
      </w:tr>
      <w:tr>
        <w:trPr/>
        <w:tc>
          <w:tcPr>
            <w:tcW w:w="7569" w:type="dxa"/>
            <w:tcBorders/>
            <w:vAlign w:val="center"/>
          </w:tcPr>
          <w:p>
            <w:pPr>
              <w:pStyle w:val="TableContents"/>
              <w:bidi w:val="0"/>
              <w:spacing w:before="0" w:after="283"/>
              <w:rPr/>
            </w:pPr>
            <w:r>
              <w:rPr/>
              <w:t>erschienen heute:</w:t>
            </w:r>
          </w:p>
        </w:tc>
        <w:tc>
          <w:tcPr>
            <w:tcW w:w="7965" w:type="dxa"/>
            <w:tcBorders/>
            <w:vAlign w:val="center"/>
          </w:tcPr>
          <w:p>
            <w:pPr>
              <w:pStyle w:val="TableContents"/>
              <w:bidi w:val="0"/>
              <w:spacing w:before="0" w:after="283"/>
              <w:rPr/>
            </w:pPr>
            <w:r>
              <w:rPr/>
              <w:t>appeared today:</w:t>
            </w:r>
          </w:p>
        </w:tc>
      </w:tr>
      <w:tr>
        <w:trPr/>
        <w:tc>
          <w:tcPr>
            <w:tcW w:w="7569" w:type="dxa"/>
            <w:tcBorders/>
            <w:vAlign w:val="center"/>
          </w:tcPr>
          <w:p>
            <w:pPr>
              <w:pStyle w:val="TableContents"/>
              <w:bidi w:val="0"/>
              <w:spacing w:before="0" w:after="283"/>
              <w:rPr/>
            </w:pPr>
            <w:r>
              <w:rPr>
                <w:rStyle w:val="Strong"/>
              </w:rPr>
              <w:t>Herr Jonas Reuter</w:t>
            </w:r>
            <w:r>
              <w:rPr/>
              <w:t>, geboren am 03.04.1979,</w:t>
            </w:r>
          </w:p>
        </w:tc>
        <w:tc>
          <w:tcPr>
            <w:tcW w:w="7965" w:type="dxa"/>
            <w:tcBorders/>
            <w:vAlign w:val="center"/>
          </w:tcPr>
          <w:p>
            <w:pPr>
              <w:pStyle w:val="TableContents"/>
              <w:bidi w:val="0"/>
              <w:spacing w:before="0" w:after="283"/>
              <w:rPr/>
            </w:pPr>
            <w:r>
              <w:rPr/>
              <w:t>Mr Jonas Reuter born on 03.04.1979,</w:t>
            </w:r>
          </w:p>
        </w:tc>
      </w:tr>
      <w:tr>
        <w:trPr/>
        <w:tc>
          <w:tcPr>
            <w:tcW w:w="7569" w:type="dxa"/>
            <w:tcBorders/>
            <w:vAlign w:val="center"/>
          </w:tcPr>
          <w:p>
            <w:pPr>
              <w:pStyle w:val="TableContents"/>
              <w:bidi w:val="0"/>
              <w:spacing w:before="0" w:after="283"/>
              <w:rPr/>
            </w:pPr>
            <w:r>
              <w:rPr/>
              <w:t>geschäftsansässig: Lindenhain Wohnwerte GmbH &amp; Co. KG, Gereonstraße 18, 50670 Köln,</w:t>
            </w:r>
          </w:p>
        </w:tc>
        <w:tc>
          <w:tcPr>
            <w:tcW w:w="7965" w:type="dxa"/>
            <w:tcBorders/>
            <w:vAlign w:val="center"/>
          </w:tcPr>
          <w:p>
            <w:pPr>
              <w:pStyle w:val="TableContents"/>
              <w:bidi w:val="0"/>
              <w:spacing w:before="0" w:after="283"/>
              <w:rPr/>
            </w:pPr>
            <w:r>
              <w:rPr/>
              <w:t>business address: Lindenhain Wohnwerte GmbH &amp; Co. KG, Gereonstraße 18, 50670 Köln,</w:t>
            </w:r>
          </w:p>
        </w:tc>
      </w:tr>
      <w:tr>
        <w:trPr/>
        <w:tc>
          <w:tcPr>
            <w:tcW w:w="7569" w:type="dxa"/>
            <w:tcBorders/>
            <w:vAlign w:val="center"/>
          </w:tcPr>
          <w:p>
            <w:pPr>
              <w:pStyle w:val="TableContents"/>
              <w:bidi w:val="0"/>
              <w:spacing w:before="0" w:after="283"/>
              <w:rPr/>
            </w:pPr>
            <w:r>
              <w:rPr/>
              <w:t>der Notarin von Person bekannt,</w:t>
            </w:r>
          </w:p>
        </w:tc>
        <w:tc>
          <w:tcPr>
            <w:tcW w:w="7965" w:type="dxa"/>
            <w:tcBorders/>
            <w:vAlign w:val="center"/>
          </w:tcPr>
          <w:p>
            <w:pPr>
              <w:pStyle w:val="TableContents"/>
              <w:bidi w:val="0"/>
              <w:spacing w:before="0" w:after="283"/>
              <w:rPr/>
            </w:pPr>
            <w:r>
              <w:rPr/>
              <w:t>personally known to the Notary,</w:t>
            </w:r>
          </w:p>
        </w:tc>
      </w:tr>
      <w:tr>
        <w:trPr/>
        <w:tc>
          <w:tcPr>
            <w:tcW w:w="7569" w:type="dxa"/>
            <w:tcBorders/>
            <w:vAlign w:val="center"/>
          </w:tcPr>
          <w:p>
            <w:pPr>
              <w:pStyle w:val="TableContents"/>
              <w:bidi w:val="0"/>
              <w:spacing w:before="0" w:after="283"/>
              <w:rPr/>
            </w:pPr>
            <w:r>
              <w:rPr/>
              <w:t>handelnd nicht im eigenen Namen, sondern als einzelvertretungsberechtigter, von den Beschränkungen des § 181 BGB befreiter Geschäftsführer der Komplementärin</w:t>
            </w:r>
          </w:p>
        </w:tc>
        <w:tc>
          <w:tcPr>
            <w:tcW w:w="7965" w:type="dxa"/>
            <w:tcBorders/>
            <w:vAlign w:val="center"/>
          </w:tcPr>
          <w:p>
            <w:pPr>
              <w:pStyle w:val="TableContents"/>
              <w:bidi w:val="0"/>
              <w:spacing w:before="0" w:after="283"/>
              <w:rPr/>
            </w:pPr>
            <w:r>
              <w:rPr/>
              <w:t>acting not in his own name, but as individual representative, exempted from the restrictions of § 181 BGB Managing Director of the general manager</w:t>
            </w:r>
          </w:p>
        </w:tc>
      </w:tr>
      <w:tr>
        <w:trPr/>
        <w:tc>
          <w:tcPr>
            <w:tcW w:w="7569" w:type="dxa"/>
            <w:tcBorders/>
            <w:vAlign w:val="center"/>
          </w:tcPr>
          <w:p>
            <w:pPr>
              <w:pStyle w:val="TableContents"/>
              <w:bidi w:val="0"/>
              <w:spacing w:before="0" w:after="283"/>
              <w:rPr/>
            </w:pPr>
            <w:r>
              <w:rPr>
                <w:rStyle w:val="Strong"/>
              </w:rPr>
              <w:t>Lindenhain Wohnwerte GmbH &amp; Co. KG</w:t>
            </w:r>
          </w:p>
        </w:tc>
        <w:tc>
          <w:tcPr>
            <w:tcW w:w="7965" w:type="dxa"/>
            <w:tcBorders/>
            <w:vAlign w:val="center"/>
          </w:tcPr>
          <w:p>
            <w:pPr>
              <w:pStyle w:val="TableContents"/>
              <w:bidi w:val="0"/>
              <w:spacing w:before="0" w:after="283"/>
              <w:rPr/>
            </w:pPr>
            <w:r>
              <w:rPr>
                <w:rStyle w:val="Strong"/>
              </w:rPr>
              <w:t>Lindenhain Wohnwerte GmbH &amp; Co. KG</w:t>
            </w:r>
          </w:p>
        </w:tc>
      </w:tr>
      <w:tr>
        <w:trPr/>
        <w:tc>
          <w:tcPr>
            <w:tcW w:w="7569" w:type="dxa"/>
            <w:tcBorders/>
            <w:vAlign w:val="center"/>
          </w:tcPr>
          <w:p>
            <w:pPr>
              <w:pStyle w:val="TableContents"/>
              <w:bidi w:val="0"/>
              <w:spacing w:before="0" w:after="283"/>
              <w:rPr/>
            </w:pPr>
            <w:r>
              <w:rPr/>
              <w:t>Gereonstraße 18, 50670 Köln,</w:t>
            </w:r>
          </w:p>
        </w:tc>
        <w:tc>
          <w:tcPr>
            <w:tcW w:w="7965" w:type="dxa"/>
            <w:tcBorders/>
            <w:vAlign w:val="center"/>
          </w:tcPr>
          <w:p>
            <w:pPr>
              <w:pStyle w:val="TableContents"/>
              <w:bidi w:val="0"/>
              <w:spacing w:before="0" w:after="283"/>
              <w:rPr/>
            </w:pPr>
            <w:r>
              <w:rPr/>
              <w:t>Gereonstraße 18, 50670 Cologne,</w:t>
            </w:r>
          </w:p>
        </w:tc>
      </w:tr>
      <w:tr>
        <w:trPr/>
        <w:tc>
          <w:tcPr>
            <w:tcW w:w="7569" w:type="dxa"/>
            <w:tcBorders/>
            <w:vAlign w:val="center"/>
          </w:tcPr>
          <w:p>
            <w:pPr>
              <w:pStyle w:val="TableContents"/>
              <w:bidi w:val="0"/>
              <w:spacing w:before="0" w:after="283"/>
              <w:rPr/>
            </w:pPr>
            <w:r>
              <w:rPr/>
              <w:t>eingetragen im Handelsregister des Amtsgerichts Köln unter HRA 42191,</w:t>
            </w:r>
          </w:p>
        </w:tc>
        <w:tc>
          <w:tcPr>
            <w:tcW w:w="7965" w:type="dxa"/>
            <w:tcBorders/>
            <w:vAlign w:val="center"/>
          </w:tcPr>
          <w:p>
            <w:pPr>
              <w:pStyle w:val="TableContents"/>
              <w:bidi w:val="0"/>
              <w:spacing w:before="0" w:after="283"/>
              <w:rPr/>
            </w:pPr>
            <w:r>
              <w:rPr/>
              <w:t>registered in the Commercial Register of the District Court of Cologne under HRA 42191,</w:t>
            </w:r>
          </w:p>
        </w:tc>
      </w:tr>
      <w:tr>
        <w:trPr/>
        <w:tc>
          <w:tcPr>
            <w:tcW w:w="7569" w:type="dxa"/>
            <w:tcBorders/>
            <w:vAlign w:val="center"/>
          </w:tcPr>
          <w:p>
            <w:pPr>
              <w:pStyle w:val="TableContents"/>
              <w:bidi w:val="0"/>
              <w:spacing w:before="0" w:after="283"/>
              <w:rPr/>
            </w:pPr>
            <w:r>
              <w:rPr/>
              <w:t xml:space="preserve">nachfolgend </w:t>
            </w:r>
            <w:r>
              <w:rPr>
                <w:rStyle w:val="Strong"/>
              </w:rPr>
              <w:t>Verkäuferin</w:t>
            </w:r>
            <w:r>
              <w:rPr/>
              <w:t>,</w:t>
            </w:r>
          </w:p>
        </w:tc>
        <w:tc>
          <w:tcPr>
            <w:tcW w:w="7965" w:type="dxa"/>
            <w:tcBorders/>
            <w:vAlign w:val="center"/>
          </w:tcPr>
          <w:p>
            <w:pPr>
              <w:pStyle w:val="TableContents"/>
              <w:bidi w:val="0"/>
              <w:spacing w:before="0" w:after="283"/>
              <w:rPr/>
            </w:pPr>
            <w:r>
              <w:rPr/>
              <w:t>Subsequently Seller,</w:t>
            </w:r>
          </w:p>
        </w:tc>
      </w:tr>
      <w:tr>
        <w:trPr/>
        <w:tc>
          <w:tcPr>
            <w:tcW w:w="7569" w:type="dxa"/>
            <w:tcBorders/>
            <w:vAlign w:val="center"/>
          </w:tcPr>
          <w:p>
            <w:pPr>
              <w:pStyle w:val="TableContents"/>
              <w:bidi w:val="0"/>
              <w:spacing w:before="0" w:after="283"/>
              <w:rPr/>
            </w:pPr>
            <w:r>
              <w:rPr/>
              <w:t>und</w:t>
            </w:r>
          </w:p>
        </w:tc>
        <w:tc>
          <w:tcPr>
            <w:tcW w:w="7965" w:type="dxa"/>
            <w:tcBorders/>
            <w:vAlign w:val="center"/>
          </w:tcPr>
          <w:p>
            <w:pPr>
              <w:pStyle w:val="TableContents"/>
              <w:bidi w:val="0"/>
              <w:spacing w:before="0" w:after="283"/>
              <w:rPr/>
            </w:pPr>
            <w:r>
              <w:rPr/>
              <w:t>and</w:t>
            </w:r>
          </w:p>
        </w:tc>
      </w:tr>
      <w:tr>
        <w:trPr/>
        <w:tc>
          <w:tcPr>
            <w:tcW w:w="7569" w:type="dxa"/>
            <w:tcBorders/>
            <w:vAlign w:val="center"/>
          </w:tcPr>
          <w:p>
            <w:pPr>
              <w:pStyle w:val="TableContents"/>
              <w:bidi w:val="0"/>
              <w:spacing w:before="0" w:after="283"/>
              <w:rPr/>
            </w:pPr>
            <w:r>
              <w:rPr>
                <w:rStyle w:val="Strong"/>
              </w:rPr>
              <w:t>Frau Dr. Amelie Brandt</w:t>
            </w:r>
            <w:r>
              <w:rPr/>
              <w:t>, geboren am 16.06.1984,</w:t>
            </w:r>
          </w:p>
        </w:tc>
        <w:tc>
          <w:tcPr>
            <w:tcW w:w="7965" w:type="dxa"/>
            <w:tcBorders/>
            <w:vAlign w:val="center"/>
          </w:tcPr>
          <w:p>
            <w:pPr>
              <w:pStyle w:val="TableContents"/>
              <w:bidi w:val="0"/>
              <w:spacing w:before="0" w:after="283"/>
              <w:rPr/>
            </w:pPr>
            <w:r>
              <w:rPr/>
              <w:t>Mrs. Dr. Amelie Brandt, born 16.06.1984,</w:t>
            </w:r>
          </w:p>
        </w:tc>
      </w:tr>
      <w:tr>
        <w:trPr/>
        <w:tc>
          <w:tcPr>
            <w:tcW w:w="7569" w:type="dxa"/>
            <w:tcBorders/>
            <w:vAlign w:val="center"/>
          </w:tcPr>
          <w:p>
            <w:pPr>
              <w:pStyle w:val="TableContents"/>
              <w:bidi w:val="0"/>
              <w:spacing w:before="0" w:after="283"/>
              <w:rPr/>
            </w:pPr>
            <w:r>
              <w:rPr/>
              <w:t>wohnhaft: Aachener Straße 117, 50674 Köln,</w:t>
            </w:r>
          </w:p>
        </w:tc>
        <w:tc>
          <w:tcPr>
            <w:tcW w:w="7965" w:type="dxa"/>
            <w:tcBorders/>
            <w:vAlign w:val="center"/>
          </w:tcPr>
          <w:p>
            <w:pPr>
              <w:pStyle w:val="TableContents"/>
              <w:bidi w:val="0"/>
              <w:spacing w:before="0" w:after="283"/>
              <w:rPr/>
            </w:pPr>
            <w:r>
              <w:rPr/>
              <w:t>resident at: Aachener Straße 117, 50674 Köln,</w:t>
            </w:r>
          </w:p>
        </w:tc>
      </w:tr>
      <w:tr>
        <w:trPr/>
        <w:tc>
          <w:tcPr>
            <w:tcW w:w="7569" w:type="dxa"/>
            <w:tcBorders/>
            <w:vAlign w:val="center"/>
          </w:tcPr>
          <w:p>
            <w:pPr>
              <w:pStyle w:val="TableContents"/>
              <w:bidi w:val="0"/>
              <w:spacing w:before="0" w:after="283"/>
              <w:rPr/>
            </w:pPr>
            <w:r>
              <w:rPr/>
              <w:t>ausgewiesen durch gültigen Personalausweis,</w:t>
            </w:r>
          </w:p>
        </w:tc>
        <w:tc>
          <w:tcPr>
            <w:tcW w:w="7965" w:type="dxa"/>
            <w:tcBorders/>
            <w:vAlign w:val="center"/>
          </w:tcPr>
          <w:p>
            <w:pPr>
              <w:pStyle w:val="TableContents"/>
              <w:bidi w:val="0"/>
              <w:spacing w:before="0" w:after="283"/>
              <w:rPr/>
            </w:pPr>
            <w:r>
              <w:rPr/>
              <w:t>identified by a valid identity card,</w:t>
            </w:r>
          </w:p>
        </w:tc>
      </w:tr>
      <w:tr>
        <w:trPr/>
        <w:tc>
          <w:tcPr>
            <w:tcW w:w="7569" w:type="dxa"/>
            <w:tcBorders/>
            <w:vAlign w:val="center"/>
          </w:tcPr>
          <w:p>
            <w:pPr>
              <w:pStyle w:val="TableContents"/>
              <w:bidi w:val="0"/>
              <w:spacing w:before="0" w:after="283"/>
              <w:rPr/>
            </w:pPr>
            <w:r>
              <w:rPr/>
              <w:t>handelnd im eigenen Namen,</w:t>
            </w:r>
          </w:p>
        </w:tc>
        <w:tc>
          <w:tcPr>
            <w:tcW w:w="7965" w:type="dxa"/>
            <w:tcBorders/>
            <w:vAlign w:val="center"/>
          </w:tcPr>
          <w:p>
            <w:pPr>
              <w:pStyle w:val="TableContents"/>
              <w:bidi w:val="0"/>
              <w:spacing w:before="0" w:after="283"/>
              <w:rPr/>
            </w:pPr>
            <w:r>
              <w:rPr/>
              <w:t>acting on their own behalf,</w:t>
            </w:r>
          </w:p>
        </w:tc>
      </w:tr>
      <w:tr>
        <w:trPr/>
        <w:tc>
          <w:tcPr>
            <w:tcW w:w="7569" w:type="dxa"/>
            <w:tcBorders/>
            <w:vAlign w:val="center"/>
          </w:tcPr>
          <w:p>
            <w:pPr>
              <w:pStyle w:val="TableContents"/>
              <w:bidi w:val="0"/>
              <w:spacing w:before="0" w:after="283"/>
              <w:rPr/>
            </w:pPr>
            <w:r>
              <w:rPr/>
              <w:t xml:space="preserve">nachfolgend </w:t>
            </w:r>
            <w:r>
              <w:rPr>
                <w:rStyle w:val="Strong"/>
              </w:rPr>
              <w:t>Käuferin</w:t>
            </w:r>
            <w:r>
              <w:rPr/>
              <w:t>.</w:t>
            </w:r>
          </w:p>
        </w:tc>
        <w:tc>
          <w:tcPr>
            <w:tcW w:w="7965" w:type="dxa"/>
            <w:tcBorders/>
            <w:vAlign w:val="center"/>
          </w:tcPr>
          <w:p>
            <w:pPr>
              <w:pStyle w:val="TableContents"/>
              <w:bidi w:val="0"/>
              <w:spacing w:before="0" w:after="283"/>
              <w:rPr/>
            </w:pPr>
            <w:r>
              <w:rPr/>
              <w:t>Next Buyer.</w:t>
            </w:r>
          </w:p>
        </w:tc>
      </w:tr>
      <w:tr>
        <w:trPr/>
        <w:tc>
          <w:tcPr>
            <w:tcW w:w="7569" w:type="dxa"/>
            <w:tcBorders/>
            <w:vAlign w:val="center"/>
          </w:tcPr>
          <w:p>
            <w:pPr>
              <w:pStyle w:val="TableContents"/>
              <w:bidi w:val="0"/>
              <w:spacing w:before="0" w:after="283"/>
              <w:rPr/>
            </w:pPr>
            <w:r>
              <w:rPr/>
              <w:t>Die Käuferin erklärte, ihr sei der beabsichtigte Text dieser Urkunde einschließlich Baubeschreibung, Teilungserklärung, Gemeinschaftsordnung, Freistellungserklärungsmuster, Energie- und Schallschutznachweis sowie Baugrundkurzbericht am 28. August 2026 elektronisch und in Papierform zur Verfügung gestellt worden. Die Notarin wies darauf hin, dass die Zweiwochenfrist des § 17 Abs. 2a Satz 2 Nr. 2 BeurkG eingehalten ist, und erläuterte der Käuferin die wesentlichen Rechtswirkungen dieses Bauträgervertrags, insbesondere Ratenfälligkeit, Sicherheiten, Abnahme, Mängelrechte, Eigentumsumschreibung und Kosten.</w:t>
            </w:r>
          </w:p>
        </w:tc>
        <w:tc>
          <w:tcPr>
            <w:tcW w:w="7965" w:type="dxa"/>
            <w:tcBorders/>
            <w:vAlign w:val="center"/>
          </w:tcPr>
          <w:p>
            <w:pPr>
              <w:pStyle w:val="TableContents"/>
              <w:bidi w:val="0"/>
              <w:spacing w:before="0" w:after="283"/>
              <w:rPr/>
            </w:pPr>
            <w:r>
              <w:rPr/>
              <w:t>The Buyer stated that she had received the intended text of this document, including the description of the building, the declaration of division, the Community regulations, the model exemption, the proof of energy and sound insulation, and the short report on the building grounds on 28. August 2026 has been made available electronically and in paper form. The Notary pointed out that the two-week period of § 17 Abs. 2a sentence 2 no. 2 BeurkG and explained to the Buyer the main legal effects of this contract, in particular installment due, securities, acceptance, defect rights, transfer of ownership and costs.</w:t>
            </w:r>
          </w:p>
        </w:tc>
      </w:tr>
      <w:tr>
        <w:trPr/>
        <w:tc>
          <w:tcPr>
            <w:tcW w:w="7569" w:type="dxa"/>
            <w:tcBorders/>
            <w:vAlign w:val="center"/>
          </w:tcPr>
          <w:p>
            <w:pPr>
              <w:pStyle w:val="TableContents"/>
              <w:bidi w:val="0"/>
              <w:spacing w:before="0" w:after="283"/>
              <w:rPr/>
            </w:pPr>
            <w:r>
              <w:rPr/>
              <w:t>Die Erschienenen baten sodann um die Beurkundung des nachstehenden</w:t>
            </w:r>
          </w:p>
        </w:tc>
        <w:tc>
          <w:tcPr>
            <w:tcW w:w="7965" w:type="dxa"/>
            <w:tcBorders/>
            <w:vAlign w:val="center"/>
          </w:tcPr>
          <w:p>
            <w:pPr>
              <w:pStyle w:val="TableContents"/>
              <w:bidi w:val="0"/>
              <w:spacing w:before="0" w:after="283"/>
              <w:rPr/>
            </w:pPr>
            <w:r>
              <w:rPr/>
              <w:t>The persons appearing then requested the notarisation of the following</w:t>
            </w:r>
          </w:p>
        </w:tc>
      </w:tr>
      <w:tr>
        <w:trPr/>
        <w:tc>
          <w:tcPr>
            <w:tcW w:w="7569" w:type="dxa"/>
            <w:tcBorders/>
            <w:vAlign w:val="center"/>
          </w:tcPr>
          <w:p>
            <w:pPr>
              <w:pStyle w:val="Heading1"/>
              <w:bidi w:val="0"/>
              <w:spacing w:before="240" w:after="283"/>
              <w:ind w:hanging="0" w:start="0" w:end="0"/>
              <w:rPr/>
            </w:pPr>
            <w:bookmarkStart w:id="6" w:name="wohnungsbauträgervertrag-mit-auflassung"/>
            <w:bookmarkEnd w:id="6"/>
            <w:r>
              <w:rPr/>
              <w:t>Wohnungsbauträgervertrag mit Auflassung</w:t>
            </w:r>
          </w:p>
        </w:tc>
        <w:tc>
          <w:tcPr>
            <w:tcW w:w="7965" w:type="dxa"/>
            <w:tcBorders/>
            <w:vAlign w:val="center"/>
          </w:tcPr>
          <w:p>
            <w:pPr>
              <w:pStyle w:val="Heading1"/>
              <w:bidi w:val="0"/>
              <w:spacing w:before="240" w:after="283"/>
              <w:ind w:hanging="0" w:start="0" w:end="0"/>
              <w:rPr/>
            </w:pPr>
            <w:bookmarkStart w:id="7" w:name="residential-property-development-contrac"/>
            <w:bookmarkEnd w:id="7"/>
            <w:r>
              <w:rPr/>
              <w:t>Residential Property Development Contract with Conveyance</w:t>
            </w:r>
          </w:p>
        </w:tc>
      </w:tr>
      <w:tr>
        <w:trPr/>
        <w:tc>
          <w:tcPr>
            <w:tcW w:w="7569" w:type="dxa"/>
            <w:tcBorders/>
            <w:vAlign w:val="center"/>
          </w:tcPr>
          <w:p>
            <w:pPr>
              <w:pStyle w:val="Heading2"/>
              <w:bidi w:val="0"/>
              <w:spacing w:before="200" w:after="120"/>
              <w:ind w:hanging="0" w:start="0" w:end="0"/>
              <w:rPr/>
            </w:pPr>
            <w:bookmarkStart w:id="8" w:name="präambel-projekt-und-vertragsunterlagen"/>
            <w:bookmarkEnd w:id="8"/>
            <w:r>
              <w:rPr/>
              <w:t>0 Präambel, Projekt und Vertragsunterlagen</w:t>
            </w:r>
          </w:p>
        </w:tc>
        <w:tc>
          <w:tcPr>
            <w:tcW w:w="7965" w:type="dxa"/>
            <w:tcBorders/>
            <w:vAlign w:val="center"/>
          </w:tcPr>
          <w:p>
            <w:pPr>
              <w:pStyle w:val="Heading2"/>
              <w:bidi w:val="0"/>
              <w:spacing w:before="200" w:after="120"/>
              <w:ind w:hanging="0" w:start="0" w:end="0"/>
              <w:rPr/>
            </w:pPr>
            <w:bookmarkStart w:id="9" w:name="preamble-project-and-contract-documents"/>
            <w:bookmarkEnd w:id="9"/>
            <w:r>
              <w:rPr/>
              <w:t>0 Preamble, project and contract documents</w:t>
            </w:r>
          </w:p>
        </w:tc>
      </w:tr>
      <w:tr>
        <w:trPr/>
        <w:tc>
          <w:tcPr>
            <w:tcW w:w="7569" w:type="dxa"/>
            <w:tcBorders/>
            <w:vAlign w:val="center"/>
          </w:tcPr>
          <w:p>
            <w:pPr>
              <w:pStyle w:val="TableContents"/>
              <w:bidi w:val="0"/>
              <w:spacing w:before="0" w:after="283"/>
              <w:rPr/>
            </w:pPr>
            <w:r>
              <w:rPr/>
              <w:t xml:space="preserve">0.1 Die Verkäuferin errichtet auf dem in § 1 bezeichneten Grundstück das Wohngebäude </w:t>
            </w:r>
            <w:r>
              <w:rPr>
                <w:rStyle w:val="Strong"/>
              </w:rPr>
              <w:t>Lindenhain 12</w:t>
            </w:r>
            <w:r>
              <w:rPr/>
              <w:t xml:space="preserve"> mit zwölf Eigentumswohnungen, Tiefgarage, Fahrradraum, gemeinschaftlichem Innenhof, Retentionsgründach und Photovoltaikanlage. Gegenstand dieses Vertrags ist die Wohnung </w:t>
            </w:r>
            <w:r>
              <w:rPr>
                <w:rStyle w:val="Strong"/>
              </w:rPr>
              <w:t>B-05</w:t>
            </w:r>
            <w:r>
              <w:rPr/>
              <w:t xml:space="preserve"> im zweiten Obergeschoss nebst Kellerraum </w:t>
            </w:r>
            <w:r>
              <w:rPr>
                <w:rStyle w:val="Strong"/>
              </w:rPr>
              <w:t>K-B05</w:t>
            </w:r>
            <w:r>
              <w:rPr/>
              <w:t xml:space="preserve"> und Tiefgaragenstellplatz </w:t>
            </w:r>
            <w:r>
              <w:rPr>
                <w:rStyle w:val="Strong"/>
              </w:rPr>
              <w:t>TG-08</w:t>
            </w:r>
            <w:r>
              <w:rPr/>
              <w:t>.</w:t>
            </w:r>
          </w:p>
        </w:tc>
        <w:tc>
          <w:tcPr>
            <w:tcW w:w="7965" w:type="dxa"/>
            <w:tcBorders/>
            <w:vAlign w:val="center"/>
          </w:tcPr>
          <w:p>
            <w:pPr>
              <w:pStyle w:val="TableContents"/>
              <w:bidi w:val="0"/>
              <w:spacing w:before="0" w:after="283"/>
              <w:rPr/>
            </w:pPr>
            <w:r>
              <w:rPr/>
              <w:t>0.1 The Seller erects the residential building Lindenhain 12 on the property designated in § 1 with twelve condominiums, underground garage, bicycle room, common courtyard, retention green roof and photovoltaic system. The subject of this contract is the apartmentB-05 on the second floor together with the basement roomK-B05 and the underground parking spaceTG-08.</w:t>
            </w:r>
          </w:p>
        </w:tc>
      </w:tr>
      <w:tr>
        <w:trPr/>
        <w:tc>
          <w:tcPr>
            <w:tcW w:w="7569" w:type="dxa"/>
            <w:tcBorders/>
            <w:vAlign w:val="center"/>
          </w:tcPr>
          <w:p>
            <w:pPr>
              <w:pStyle w:val="TableContents"/>
              <w:bidi w:val="0"/>
              <w:spacing w:before="0" w:after="283"/>
              <w:rPr/>
            </w:pPr>
            <w:r>
              <w:rPr/>
              <w:t>0.2 Die Verkäuferin handelt gewerblich. Die Käuferin erwirbt die Wohnung zu privaten Wohnzwecken und ist Verbraucherin. Die Parteien gehen übereinstimmend davon aus, dass dieser Vertrag ein Bauträgervertrag im Sinne des § 650u BGB ist und dass Abschlagszahlungen nur nach Maßgabe des § 650v BGB in Verbindung mit § 3 MaBV verlangt werden.</w:t>
            </w:r>
          </w:p>
        </w:tc>
        <w:tc>
          <w:tcPr>
            <w:tcW w:w="7965" w:type="dxa"/>
            <w:tcBorders/>
            <w:vAlign w:val="center"/>
          </w:tcPr>
          <w:p>
            <w:pPr>
              <w:pStyle w:val="TableContents"/>
              <w:bidi w:val="0"/>
              <w:spacing w:before="0" w:after="283"/>
              <w:rPr/>
            </w:pPr>
            <w:r>
              <w:rPr/>
              <w:t>0.2 The Seller acts commercially. The Buyer purchases the apartment for private residential purposes and is a consumer. The parties agree that this contract is a building contract within the meaning of § 650u BGB and that advance payments are only required in accordance with § 650v BGB in conjunction with § 3 MaBV.</w:t>
            </w:r>
          </w:p>
        </w:tc>
      </w:tr>
      <w:tr>
        <w:trPr/>
        <w:tc>
          <w:tcPr>
            <w:tcW w:w="7569" w:type="dxa"/>
            <w:tcBorders/>
            <w:vAlign w:val="center"/>
          </w:tcPr>
          <w:p>
            <w:pPr>
              <w:pStyle w:val="TableContents"/>
              <w:bidi w:val="0"/>
              <w:spacing w:before="0" w:after="283"/>
              <w:rPr/>
            </w:pPr>
            <w:r>
              <w:rPr/>
              <w:t>0.3 Vertragsbestandteile sind diese Urkunde, die mitbeurkundete Baubeschreibung in der Anlage, die am 10. Juli 2026 beurkundete Teilungserklärung mit Gemeinschaftsordnung, UR-Nr. 611/2026 LF, die Pläne Grundriss B-05, Schnitt A-A, Ansicht Süd und Tiefgarage in der Fassung vom 20. August 2026 sowie die in § 5.2 genannten Nachweise. Bei Widersprüchen geht die individuellere, käufergünstigere und das Bausoll konkreter beschreibende Regelung vor, sofern zwingendes Recht nichts anderes verlangt.</w:t>
            </w:r>
          </w:p>
        </w:tc>
        <w:tc>
          <w:tcPr>
            <w:tcW w:w="7965" w:type="dxa"/>
            <w:tcBorders/>
            <w:vAlign w:val="center"/>
          </w:tcPr>
          <w:p>
            <w:pPr>
              <w:pStyle w:val="TableContents"/>
              <w:bidi w:val="0"/>
              <w:spacing w:before="0" w:after="283"/>
              <w:rPr/>
            </w:pPr>
            <w:r>
              <w:rPr/>
              <w:t>0.3 Contractual elements are this document, the certified Building Specification in the annex, the declaration of division with Community regulations, UR no. 611/2026 LF, the plans floor plan B-05, section A-A, view south and underground car park in the version of 20. August 2026 and the evidence referred to in § 5.2. In the case of contradictions, the more individual, cheaper Buyer and more concrete descriptive regulation takes place, unless mandatory law requires otherwise.</w:t>
            </w:r>
          </w:p>
        </w:tc>
      </w:tr>
      <w:tr>
        <w:trPr/>
        <w:tc>
          <w:tcPr>
            <w:tcW w:w="7569" w:type="dxa"/>
            <w:tcBorders/>
            <w:vAlign w:val="center"/>
          </w:tcPr>
          <w:p>
            <w:pPr>
              <w:pStyle w:val="TableContents"/>
              <w:bidi w:val="0"/>
              <w:spacing w:before="0" w:after="283"/>
              <w:rPr/>
            </w:pPr>
            <w:r>
              <w:rPr/>
              <w:t>0.4 Die Verkäuferin bestätigt, dass die Baugenehmigung der Stadt Köln vom 14. Juni 2026, Az. 63-2026-1842, bestandskräftig ist, soweit dies für die Durchführung des Vorhabens und den Kaufgegenstand erforderlich ist. Abweichungen von der Genehmigung, die Lage, Größe, Nutzbarkeit, Sicherheit, Energiequalität, Schallschutz oder den Wert des Kaufgegenstands nachteilig berühren können, bedürfen vor Ausführung der schriftlichen Zustimmung der Käuferin, soweit sie deren Sondereigentum betreffen, und der gesetzlich erforderlichen Zustimmung der Gemeinschaft, soweit Gemeinschaftseigentum betroffen ist.</w:t>
            </w:r>
          </w:p>
        </w:tc>
        <w:tc>
          <w:tcPr>
            <w:tcW w:w="7965" w:type="dxa"/>
            <w:tcBorders/>
            <w:vAlign w:val="center"/>
          </w:tcPr>
          <w:p>
            <w:pPr>
              <w:pStyle w:val="TableContents"/>
              <w:bidi w:val="0"/>
              <w:spacing w:before="0" w:after="283"/>
              <w:rPr/>
            </w:pPr>
            <w:r>
              <w:rPr/>
              <w:t>0.4 The Seller confirms that the building permit issued by the City of Cologne dated 14. 63-2026-1842, to the extent necessary for the implementation of the project and the Purchased Property. Deviations from the approval, which may adversely affect the location, size, usability, safety, energy quality, soundproofing or the value of the Purchased Property, require the written consent of the Buyer, insofar as they concern their Sondereigentum, and the legally required consent of the community, insofar as Common Property is concerned, before execution.</w:t>
            </w:r>
          </w:p>
        </w:tc>
      </w:tr>
      <w:tr>
        <w:trPr/>
        <w:tc>
          <w:tcPr>
            <w:tcW w:w="7569" w:type="dxa"/>
            <w:tcBorders/>
            <w:vAlign w:val="center"/>
          </w:tcPr>
          <w:p>
            <w:pPr>
              <w:pStyle w:val="TableContents"/>
              <w:bidi w:val="0"/>
              <w:spacing w:before="0" w:after="283"/>
              <w:rPr/>
            </w:pPr>
            <w:r>
              <w:rPr/>
              <w:t>0.5 Werbeaussagen, Exposés, Visualisierungen und Beratungsgespräche begründen kein selbständiges Bausoll, soweit sie nicht in dieser Urkunde, der Baubeschreibung oder den Plänen konkret übernommen sind. Sie bleiben jedoch bei der Auslegung unklarer oder lückenhafter Beschreibungen als vertragsbegleitende Umstände zu berücksichtigen.</w:t>
            </w:r>
          </w:p>
        </w:tc>
        <w:tc>
          <w:tcPr>
            <w:tcW w:w="7965" w:type="dxa"/>
            <w:tcBorders/>
            <w:vAlign w:val="center"/>
          </w:tcPr>
          <w:p>
            <w:pPr>
              <w:pStyle w:val="TableContents"/>
              <w:bidi w:val="0"/>
              <w:spacing w:before="0" w:after="283"/>
              <w:rPr/>
            </w:pPr>
            <w:r>
              <w:rPr/>
              <w:t>0.5 Advertising statements, exposés, visualizations and consultations do not justify an independent construction target, insofar as they are not specifically adopted in this certificate, the construction description or the plans. However, they remain to be taken into account when interpreting unclear or incomplete descriptions as contractual circumstances.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569" w:type="dxa"/>
            <w:tcBorders/>
            <w:vAlign w:val="center"/>
          </w:tcPr>
          <w:p>
            <w:pPr>
              <w:pStyle w:val="Heading2"/>
              <w:bidi w:val="0"/>
              <w:spacing w:before="200" w:after="120"/>
              <w:ind w:hanging="0" w:start="0" w:end="0"/>
              <w:rPr/>
            </w:pPr>
            <w:bookmarkStart w:id="10" w:name="grundbuch-kaufgegenstand"/>
            <w:bookmarkEnd w:id="10"/>
            <w:r>
              <w:rPr/>
              <w:t>1 Grundbuch, Kaufgegenstand</w:t>
            </w:r>
          </w:p>
        </w:tc>
        <w:tc>
          <w:tcPr>
            <w:tcW w:w="7965" w:type="dxa"/>
            <w:tcBorders/>
            <w:vAlign w:val="center"/>
          </w:tcPr>
          <w:p>
            <w:pPr>
              <w:pStyle w:val="Heading2"/>
              <w:bidi w:val="0"/>
              <w:spacing w:before="200" w:after="120"/>
              <w:ind w:hanging="0" w:start="0" w:end="0"/>
              <w:rPr/>
            </w:pPr>
            <w:bookmarkStart w:id="11" w:name="land-register-purchased-property"/>
            <w:bookmarkEnd w:id="11"/>
            <w:r>
              <w:rPr/>
              <w:t>1 Land register, Purchased Property</w:t>
            </w:r>
          </w:p>
        </w:tc>
      </w:tr>
      <w:tr>
        <w:trPr/>
        <w:tc>
          <w:tcPr>
            <w:tcW w:w="7569" w:type="dxa"/>
            <w:tcBorders/>
            <w:vAlign w:val="center"/>
          </w:tcPr>
          <w:p>
            <w:pPr>
              <w:pStyle w:val="TableContents"/>
              <w:bidi w:val="0"/>
              <w:spacing w:before="0" w:after="283"/>
              <w:rPr/>
            </w:pPr>
            <w:r>
              <w:rPr/>
              <w:t>1.1 Die Verkäuferin ist als Eigentümerin des Grundstücks Gemarkung Ehrenfeld, Flur 77, Flurstück 3124, Gebäude- und Freifläche Lindenhainstraße 12, 50825 Köln, eingetragen im Grundbuch von Ehrenfeld des Amtsgerichts Köln, Blatt 18422.</w:t>
            </w:r>
          </w:p>
        </w:tc>
        <w:tc>
          <w:tcPr>
            <w:tcW w:w="7965" w:type="dxa"/>
            <w:tcBorders/>
            <w:vAlign w:val="center"/>
          </w:tcPr>
          <w:p>
            <w:pPr>
              <w:pStyle w:val="TableContents"/>
              <w:bidi w:val="0"/>
              <w:spacing w:before="0" w:after="283"/>
              <w:rPr/>
            </w:pPr>
            <w:r>
              <w:rPr/>
              <w:t>1.1. The Seller is the owner of the property Gemarkung Ehrenfeld, corridor 77, parcel 3124, building and open area Lindenhainstraße 12, 50825 Cologne, registered in the Land Register of Ehrenfeld of the Cologne District Court, sheet 18422.</w:t>
            </w:r>
          </w:p>
        </w:tc>
      </w:tr>
      <w:tr>
        <w:trPr/>
        <w:tc>
          <w:tcPr>
            <w:tcW w:w="7569" w:type="dxa"/>
            <w:tcBorders/>
            <w:vAlign w:val="center"/>
          </w:tcPr>
          <w:p>
            <w:pPr>
              <w:pStyle w:val="TableContents"/>
              <w:bidi w:val="0"/>
              <w:spacing w:before="0" w:after="283"/>
              <w:rPr/>
            </w:pPr>
            <w:r>
              <w:rPr/>
              <w:t>1.2 Das Grundstück ist in Abteilung II lastenfrei mit Ausnahme von Dienstbarkeiten für Leitungen, Wege und Energieversorgung, die in der Teilungserklärung bezeichnet sind und den gewöhnlichen Wohngebrauch nicht beeinträchtigen. In Abteilung III ist eine Globalgrundschuld zugunsten der Rheinischen Bau- und Wohnbank AG eingetragen. Die Verkäuferin verpflichtet sich, die Lastenfreistellung des Kaufgegenstands nach Maßgabe des § 10 herbeizuführen.</w:t>
            </w:r>
          </w:p>
        </w:tc>
        <w:tc>
          <w:tcPr>
            <w:tcW w:w="7965" w:type="dxa"/>
            <w:tcBorders/>
            <w:vAlign w:val="center"/>
          </w:tcPr>
          <w:p>
            <w:pPr>
              <w:pStyle w:val="TableContents"/>
              <w:bidi w:val="0"/>
              <w:spacing w:before="0" w:after="283"/>
              <w:rPr/>
            </w:pPr>
            <w:r>
              <w:rPr/>
              <w:t>1.2. The property is free of loads in Division II, with the exception of easements for lines, paths and energy supply, which are specified in the declaration of division and do not affect ordinary residential use. Division III registers a global mortgage for Rheinische Bau- und Wohnbank AG. The Seller undertakes to bring about the load release of the Purchased Property in accordance with § 10.</w:t>
            </w:r>
          </w:p>
        </w:tc>
      </w:tr>
      <w:tr>
        <w:trPr/>
        <w:tc>
          <w:tcPr>
            <w:tcW w:w="7569" w:type="dxa"/>
            <w:tcBorders/>
            <w:vAlign w:val="center"/>
          </w:tcPr>
          <w:p>
            <w:pPr>
              <w:pStyle w:val="TableContents"/>
              <w:bidi w:val="0"/>
              <w:spacing w:before="0" w:after="283"/>
              <w:rPr/>
            </w:pPr>
            <w:r>
              <w:rPr/>
              <w:t>1.3 Verkauft wird das noch zu bildende Wohnungseigentum an der Wohnung B-05 mit einem Miteigentumsanteil von 81/1.000, verbunden mit dem Sondereigentum an den in den Plänen blau umrandeten Räumen, dem Kellerraum K-B05 und dem Sondernutzungsrecht an dem Tiefgaragenstellplatz TG-08. Mitverkauft werden die dem Kaufgegenstand nach Teilungserklärung zugeordneten Mitbenutzungsrechte an Fahrradraum, Kinderwagenraum, Müllraum, Innenhof, Paketstation und Dachterrasse der Gemeinschaft.</w:t>
            </w:r>
          </w:p>
        </w:tc>
        <w:tc>
          <w:tcPr>
            <w:tcW w:w="7965" w:type="dxa"/>
            <w:tcBorders/>
            <w:vAlign w:val="center"/>
          </w:tcPr>
          <w:p>
            <w:pPr>
              <w:pStyle w:val="TableContents"/>
              <w:bidi w:val="0"/>
              <w:spacing w:before="0" w:after="283"/>
              <w:rPr/>
            </w:pPr>
            <w:r>
              <w:rPr/>
              <w:t>1.3 The apartment ownership still to be formed in apartment B-05 is sold with a co-ownership share of 81/1,000, combined with the special ownership in the rooms bordered in blue in the plans, the cellar space K-B05 and the special use right in the underground parking space TG-08. The shared rights of use of the Community bicycle space, stroller space, garbage room, courtyard, parcel station and roof terrace allocated to the Purchased Property under the declaration of division are also sold.</w:t>
            </w:r>
          </w:p>
        </w:tc>
      </w:tr>
      <w:tr>
        <w:trPr/>
        <w:tc>
          <w:tcPr>
            <w:tcW w:w="7569" w:type="dxa"/>
            <w:tcBorders/>
            <w:vAlign w:val="center"/>
          </w:tcPr>
          <w:p>
            <w:pPr>
              <w:pStyle w:val="TableContents"/>
              <w:bidi w:val="0"/>
              <w:spacing w:before="0" w:after="283"/>
              <w:rPr/>
            </w:pPr>
            <w:r>
              <w:rPr/>
              <w:t>1.4 Die Verkäuferin schuldet die Herstellung des Kaufgegenstands und des für die Nutzung erforderlichen Gemeinschaftseigentums nach dieser Urkunde, der Baubeschreibung, den Plänen, der Baugenehmigung und den anerkannten Regeln der Technik zum Zeitpunkt der Abnahme. DIN-Normen sind technische Orientierung, ersetzen aber nicht den geschuldeten Mindeststandard der anerkannten Regeln der Technik.</w:t>
            </w:r>
          </w:p>
        </w:tc>
        <w:tc>
          <w:tcPr>
            <w:tcW w:w="7965" w:type="dxa"/>
            <w:tcBorders/>
            <w:vAlign w:val="center"/>
          </w:tcPr>
          <w:p>
            <w:pPr>
              <w:pStyle w:val="TableContents"/>
              <w:bidi w:val="0"/>
              <w:spacing w:before="0" w:after="283"/>
              <w:rPr/>
            </w:pPr>
            <w:r>
              <w:rPr/>
              <w:t>1.4 The Seller shall owe the production of the Purchased Property and the Common Property required for use in accordance with this deed, the description of the building, the plans, the building permit and the approved rules of technology at the time of acceptance. DIN standards are technical orientation, but do not replace the minimum required of the recognised rules of technology.</w:t>
            </w:r>
          </w:p>
        </w:tc>
      </w:tr>
      <w:tr>
        <w:trPr/>
        <w:tc>
          <w:tcPr>
            <w:tcW w:w="7569" w:type="dxa"/>
            <w:tcBorders/>
            <w:vAlign w:val="center"/>
          </w:tcPr>
          <w:p>
            <w:pPr>
              <w:pStyle w:val="Heading2"/>
              <w:bidi w:val="0"/>
              <w:spacing w:before="200" w:after="120"/>
              <w:ind w:hanging="0" w:start="0" w:end="0"/>
              <w:rPr/>
            </w:pPr>
            <w:bookmarkStart w:id="12" w:name="kaufpreis-festpreis-kosten"/>
            <w:bookmarkEnd w:id="12"/>
            <w:r>
              <w:rPr/>
              <w:t>2 Kaufpreis, Festpreis, Kosten</w:t>
            </w:r>
          </w:p>
        </w:tc>
        <w:tc>
          <w:tcPr>
            <w:tcW w:w="7965" w:type="dxa"/>
            <w:tcBorders/>
            <w:vAlign w:val="center"/>
          </w:tcPr>
          <w:p>
            <w:pPr>
              <w:pStyle w:val="Heading2"/>
              <w:bidi w:val="0"/>
              <w:spacing w:before="200" w:after="120"/>
              <w:ind w:hanging="0" w:start="0" w:end="0"/>
              <w:rPr/>
            </w:pPr>
            <w:bookmarkStart w:id="13" w:name="purchase-price-fixed-price-costs"/>
            <w:bookmarkEnd w:id="13"/>
            <w:r>
              <w:rPr/>
              <w:t>2 Purchase price, fixed price, costs</w:t>
            </w:r>
          </w:p>
        </w:tc>
      </w:tr>
      <w:tr>
        <w:trPr/>
        <w:tc>
          <w:tcPr>
            <w:tcW w:w="7569" w:type="dxa"/>
            <w:tcBorders/>
            <w:vAlign w:val="center"/>
          </w:tcPr>
          <w:p>
            <w:pPr>
              <w:pStyle w:val="TableContents"/>
              <w:bidi w:val="0"/>
              <w:spacing w:before="0" w:after="283"/>
              <w:rPr/>
            </w:pPr>
            <w:r>
              <w:rPr/>
              <w:t>2.1 Der Kaufpreis beträgt insgesamt</w:t>
            </w:r>
          </w:p>
        </w:tc>
        <w:tc>
          <w:tcPr>
            <w:tcW w:w="7965" w:type="dxa"/>
            <w:tcBorders/>
            <w:vAlign w:val="center"/>
          </w:tcPr>
          <w:p>
            <w:pPr>
              <w:pStyle w:val="TableContents"/>
              <w:bidi w:val="0"/>
              <w:spacing w:before="0" w:after="283"/>
              <w:rPr/>
            </w:pPr>
            <w:r>
              <w:rPr/>
              <w:t>2.1 The Purchase Price is total</w:t>
            </w:r>
          </w:p>
        </w:tc>
      </w:tr>
      <w:tr>
        <w:trPr/>
        <w:tc>
          <w:tcPr>
            <w:tcW w:w="7569" w:type="dxa"/>
            <w:tcBorders/>
            <w:vAlign w:val="center"/>
          </w:tcPr>
          <w:p>
            <w:pPr>
              <w:pStyle w:val="TableContents"/>
              <w:bidi w:val="0"/>
              <w:spacing w:before="0" w:after="283"/>
              <w:rPr/>
            </w:pPr>
            <w:r>
              <w:rPr>
                <w:rStyle w:val="Strong"/>
              </w:rPr>
              <w:t>742.000,00 EUR</w:t>
            </w:r>
          </w:p>
        </w:tc>
        <w:tc>
          <w:tcPr>
            <w:tcW w:w="7965" w:type="dxa"/>
            <w:tcBorders/>
            <w:vAlign w:val="center"/>
          </w:tcPr>
          <w:p>
            <w:pPr>
              <w:pStyle w:val="TableContents"/>
              <w:bidi w:val="0"/>
              <w:spacing w:before="0" w:after="283"/>
              <w:rPr/>
            </w:pPr>
            <w:r>
              <w:rPr>
                <w:rStyle w:val="Strong"/>
              </w:rPr>
              <w:t>742.000,00 EUR</w:t>
            </w:r>
          </w:p>
        </w:tc>
      </w:tr>
      <w:tr>
        <w:trPr/>
        <w:tc>
          <w:tcPr>
            <w:tcW w:w="7569" w:type="dxa"/>
            <w:tcBorders/>
            <w:vAlign w:val="center"/>
          </w:tcPr>
          <w:p>
            <w:pPr>
              <w:pStyle w:val="TableContents"/>
              <w:bidi w:val="0"/>
              <w:spacing w:before="0" w:after="283"/>
              <w:rPr/>
            </w:pPr>
            <w:r>
              <w:rPr/>
              <w:t>in Worten: siebenhundertzweiundvierzigtausend Euro.</w:t>
            </w:r>
          </w:p>
        </w:tc>
        <w:tc>
          <w:tcPr>
            <w:tcW w:w="7965" w:type="dxa"/>
            <w:tcBorders/>
            <w:vAlign w:val="center"/>
          </w:tcPr>
          <w:p>
            <w:pPr>
              <w:pStyle w:val="TableContents"/>
              <w:bidi w:val="0"/>
              <w:spacing w:before="0" w:after="283"/>
              <w:rPr/>
            </w:pPr>
            <w:r>
              <w:rPr/>
              <w:t>in words: seven hundred forty-two thousand euros.</w:t>
            </w:r>
          </w:p>
        </w:tc>
      </w:tr>
      <w:tr>
        <w:trPr/>
        <w:tc>
          <w:tcPr>
            <w:tcW w:w="7569" w:type="dxa"/>
            <w:tcBorders/>
            <w:vAlign w:val="center"/>
          </w:tcPr>
          <w:p>
            <w:pPr>
              <w:pStyle w:val="TableContents"/>
              <w:bidi w:val="0"/>
              <w:spacing w:before="0" w:after="283"/>
              <w:rPr/>
            </w:pPr>
            <w:r>
              <w:rPr/>
              <w:t>Er entfällt einheitlich auf Grundstücksanteil, Wohnung, Kellerraum, Tiefgaragenstellplatz, mitverkaufte Rechte, Bauleistung, Planungsleistung, Koordinierung, Erschließung, Außenanlagen, Unterlagen nach § 5.2 und die in der Baubeschreibung enthaltene Ausstattung.</w:t>
            </w:r>
          </w:p>
        </w:tc>
        <w:tc>
          <w:tcPr>
            <w:tcW w:w="7965" w:type="dxa"/>
            <w:tcBorders/>
            <w:vAlign w:val="center"/>
          </w:tcPr>
          <w:p>
            <w:pPr>
              <w:pStyle w:val="TableContents"/>
              <w:bidi w:val="0"/>
              <w:spacing w:before="0" w:after="283"/>
              <w:rPr/>
            </w:pPr>
            <w:r>
              <w:rPr/>
              <w:t>It is uniformly applicable to land share, apartment, cellar space, underground parking space, rights sold, construction service, planning service, coordination, development, outdoor facilities, documents according to § 5.2 and the equipment contained in the Building Specification.</w:t>
            </w:r>
          </w:p>
        </w:tc>
      </w:tr>
      <w:tr>
        <w:trPr/>
        <w:tc>
          <w:tcPr>
            <w:tcW w:w="7569" w:type="dxa"/>
            <w:tcBorders/>
            <w:vAlign w:val="center"/>
          </w:tcPr>
          <w:p>
            <w:pPr>
              <w:pStyle w:val="TableContents"/>
              <w:bidi w:val="0"/>
              <w:spacing w:before="0" w:after="283"/>
              <w:rPr/>
            </w:pPr>
            <w:r>
              <w:rPr/>
              <w:t>2.2 Der Kaufpreis ist ein Festpreis. Er umfasst sämtliche Leistungen, die zur schlüsselfertigen, mangelfreien und genehmigungskonformen Herstellung des Kaufgegenstands und des funktional erforderlichen Gemeinschaftseigentums notwendig sind, einschließlich Erschließung, Hausanschlüsse, Prüf- und Nachweisunterlagen, Außenanlagen, Fahrradabstellplätze, Müllstandort, Beleuchtung der Zugänge, gemeinschaftlicher Brief- und Paketstation sowie betriebsbereiter technischer Anlagen.</w:t>
            </w:r>
          </w:p>
        </w:tc>
        <w:tc>
          <w:tcPr>
            <w:tcW w:w="7965" w:type="dxa"/>
            <w:tcBorders/>
            <w:vAlign w:val="center"/>
          </w:tcPr>
          <w:p>
            <w:pPr>
              <w:pStyle w:val="TableContents"/>
              <w:bidi w:val="0"/>
              <w:spacing w:before="0" w:after="283"/>
              <w:rPr/>
            </w:pPr>
            <w:r>
              <w:rPr/>
              <w:t>2.2 The Purchase Price is a fixed price. It covers all services necessary for the turnkey, defect-free and permit-compliant production of the Purchased Property and the functionally required joint ownership, including development, house connections, test and demonstration documents, outdoor facilities, bicycle parking spaces, waste location, access lighting, common mail and parcel station and operational technical facilities.</w:t>
            </w:r>
          </w:p>
        </w:tc>
      </w:tr>
      <w:tr>
        <w:trPr/>
        <w:tc>
          <w:tcPr>
            <w:tcW w:w="7569" w:type="dxa"/>
            <w:tcBorders/>
            <w:vAlign w:val="center"/>
          </w:tcPr>
          <w:p>
            <w:pPr>
              <w:pStyle w:val="TableContents"/>
              <w:bidi w:val="0"/>
              <w:spacing w:before="0" w:after="283"/>
              <w:rPr/>
            </w:pPr>
            <w:r>
              <w:rPr/>
              <w:t>2.3 Nicht enthalten sind Grunderwerbsteuer, Notar- und Grundbuchkosten dieses Vertrags, Kosten der Finanzierung der Käuferin sowie Sonderwünsche, die nach Beurkundung auf ausdrücklichen Wunsch der Käuferin beauftragt werden. Kosten, die durch Mängelbeseitigung, Nacherfüllung, fehlende Unterlagen, verspätete Lastenfreistellung oder unrichtige Bautenstandsmitteilungen entstehen, trägt die Verkäuferin.</w:t>
            </w:r>
          </w:p>
        </w:tc>
        <w:tc>
          <w:tcPr>
            <w:tcW w:w="7965" w:type="dxa"/>
            <w:tcBorders/>
            <w:vAlign w:val="center"/>
          </w:tcPr>
          <w:p>
            <w:pPr>
              <w:pStyle w:val="TableContents"/>
              <w:bidi w:val="0"/>
              <w:spacing w:before="0" w:after="283"/>
              <w:rPr/>
            </w:pPr>
            <w:r>
              <w:rPr/>
              <w:t>2.3 Do not include real estate transfer tax, Notary and Land Register costs of this contract, costs of financing the Buyer as well as special requests, which are commissioned after certification at the express request of the Buyer. Costs incurred due to remediation of defects, subsequent fulfillment, missing documents, delayed load release or incorrect construction status notifications shall be borne by the Seller.</w:t>
            </w:r>
          </w:p>
        </w:tc>
      </w:tr>
      <w:tr>
        <w:trPr/>
        <w:tc>
          <w:tcPr>
            <w:tcW w:w="7569" w:type="dxa"/>
            <w:tcBorders/>
            <w:vAlign w:val="center"/>
          </w:tcPr>
          <w:p>
            <w:pPr>
              <w:pStyle w:val="TableContents"/>
              <w:bidi w:val="0"/>
              <w:spacing w:before="0" w:after="283"/>
              <w:rPr/>
            </w:pPr>
            <w:r>
              <w:rPr/>
              <w:t>2.4 Eine Preisanpassung wegen allgemeiner Baukostensteigerung, Materialpreisänderung, Lieferantenwechsel, Personalknappheit, Kalkulationsfehler oder Änderung interner Projektorganisation ist ausgeschlossen. Mehrkosten können nur verlangt werden, wenn die Käuferin nach Beurkundung einen Sonderwunsch beauftragt oder einer konkret beschriebenen, rechtlich zulässigen Leistungsänderung ausdrücklich zustimmt.</w:t>
            </w:r>
          </w:p>
        </w:tc>
        <w:tc>
          <w:tcPr>
            <w:tcW w:w="7965" w:type="dxa"/>
            <w:tcBorders/>
            <w:vAlign w:val="center"/>
          </w:tcPr>
          <w:p>
            <w:pPr>
              <w:pStyle w:val="TableContents"/>
              <w:bidi w:val="0"/>
              <w:spacing w:before="0" w:after="283"/>
              <w:rPr/>
            </w:pPr>
            <w:r>
              <w:rPr/>
              <w:t>2.4 Price adjustment due to general increase in construction costs, material price change, supplier change, staff shortages, calculation errors or changes in internal project organization is excluded. Additional costs can only be demanded if the Buyer commissions a special request after certification or expressly agrees to a specifically described, legally permissible change of service.</w:t>
            </w:r>
          </w:p>
        </w:tc>
      </w:tr>
      <w:tr>
        <w:trPr/>
        <w:tc>
          <w:tcPr>
            <w:tcW w:w="7569" w:type="dxa"/>
            <w:tcBorders/>
            <w:vAlign w:val="center"/>
          </w:tcPr>
          <w:p>
            <w:pPr>
              <w:pStyle w:val="Heading2"/>
              <w:bidi w:val="0"/>
              <w:spacing w:before="200" w:after="120"/>
              <w:ind w:hanging="0" w:start="0" w:end="0"/>
              <w:rPr/>
            </w:pPr>
            <w:bookmarkStart w:id="14" w:name="fälligkeit-ratenplan-sicherheit"/>
            <w:bookmarkEnd w:id="14"/>
            <w:r>
              <w:rPr/>
              <w:t>3 Fälligkeit, Ratenplan, Sicherheit</w:t>
            </w:r>
          </w:p>
        </w:tc>
        <w:tc>
          <w:tcPr>
            <w:tcW w:w="7965" w:type="dxa"/>
            <w:tcBorders/>
            <w:vAlign w:val="center"/>
          </w:tcPr>
          <w:p>
            <w:pPr>
              <w:pStyle w:val="Heading2"/>
              <w:bidi w:val="0"/>
              <w:spacing w:before="200" w:after="120"/>
              <w:ind w:hanging="0" w:start="0" w:end="0"/>
              <w:rPr/>
            </w:pPr>
            <w:bookmarkStart w:id="15" w:name="maturity-installment-plan-security"/>
            <w:bookmarkEnd w:id="15"/>
            <w:r>
              <w:rPr/>
              <w:t>3 Maturity, installment plan, security</w:t>
            </w:r>
          </w:p>
        </w:tc>
      </w:tr>
      <w:tr>
        <w:trPr/>
        <w:tc>
          <w:tcPr>
            <w:tcW w:w="7569" w:type="dxa"/>
            <w:tcBorders/>
            <w:vAlign w:val="center"/>
          </w:tcPr>
          <w:p>
            <w:pPr>
              <w:pStyle w:val="TableContents"/>
              <w:bidi w:val="0"/>
              <w:spacing w:before="0" w:after="283"/>
              <w:rPr/>
            </w:pPr>
            <w:r>
              <w:rPr/>
              <w:t>3.1 Kaufpreisraten werden erst fällig, wenn sämtliche allgemeinen Fälligkeitsvoraussetzungen des § 3 Abs. 1 MaBV vorliegen und die Notarin dies der Käuferin schriftlich oder in Textform bestätigt hat:</w:t>
            </w:r>
          </w:p>
        </w:tc>
        <w:tc>
          <w:tcPr>
            <w:tcW w:w="7965" w:type="dxa"/>
            <w:tcBorders/>
            <w:vAlign w:val="center"/>
          </w:tcPr>
          <w:p>
            <w:pPr>
              <w:pStyle w:val="TableContents"/>
              <w:bidi w:val="0"/>
              <w:spacing w:before="0" w:after="283"/>
              <w:rPr/>
            </w:pPr>
            <w:r>
              <w:rPr/>
              <w:t>3.1 Purchase price installments are only due when all general maturity requirements of § 3 Abs. 1 MaBV and the Notary has confirmed this to the Buyer in writing or in text form:</w:t>
            </w:r>
          </w:p>
        </w:tc>
      </w:tr>
      <w:tr>
        <w:trPr/>
        <w:tc>
          <w:tcPr>
            <w:tcW w:w="7569" w:type="dxa"/>
            <w:tcBorders/>
            <w:vAlign w:val="center"/>
          </w:tcPr>
          <w:p>
            <w:pPr>
              <w:pStyle w:val="TableContents"/>
              <w:numPr>
                <w:ilvl w:val="0"/>
                <w:numId w:val="2"/>
              </w:numPr>
              <w:tabs>
                <w:tab w:val="clear" w:pos="1134"/>
                <w:tab w:val="left" w:pos="709" w:leader="none"/>
              </w:tabs>
              <w:bidi w:val="0"/>
              <w:spacing w:before="0" w:after="0"/>
              <w:ind w:hanging="283" w:start="709"/>
              <w:rPr/>
            </w:pPr>
            <w:r>
              <w:rPr/>
              <w:t xml:space="preserve">wirksamer Vertrag; </w:t>
            </w:r>
          </w:p>
          <w:p>
            <w:pPr>
              <w:pStyle w:val="TableContents"/>
              <w:numPr>
                <w:ilvl w:val="0"/>
                <w:numId w:val="2"/>
              </w:numPr>
              <w:tabs>
                <w:tab w:val="clear" w:pos="1134"/>
                <w:tab w:val="left" w:pos="709" w:leader="none"/>
              </w:tabs>
              <w:bidi w:val="0"/>
              <w:spacing w:before="0" w:after="0"/>
              <w:ind w:hanging="283" w:start="709"/>
              <w:rPr/>
            </w:pPr>
            <w:r>
              <w:rPr/>
              <w:t xml:space="preserve">Eintragung einer Auflassungsvormerkung zugunsten der Käuferin; </w:t>
            </w:r>
          </w:p>
          <w:p>
            <w:pPr>
              <w:pStyle w:val="TableContents"/>
              <w:numPr>
                <w:ilvl w:val="0"/>
                <w:numId w:val="2"/>
              </w:numPr>
              <w:tabs>
                <w:tab w:val="clear" w:pos="1134"/>
                <w:tab w:val="left" w:pos="709" w:leader="none"/>
              </w:tabs>
              <w:bidi w:val="0"/>
              <w:spacing w:before="0" w:after="0"/>
              <w:ind w:hanging="283" w:start="709"/>
              <w:rPr/>
            </w:pPr>
            <w:r>
              <w:rPr/>
              <w:t xml:space="preserve">Vorliegen einer den Anforderungen der MaBV entsprechenden Freistellungserklärung der Globalgläubigerin; </w:t>
            </w:r>
          </w:p>
          <w:p>
            <w:pPr>
              <w:pStyle w:val="TableContents"/>
              <w:numPr>
                <w:ilvl w:val="0"/>
                <w:numId w:val="2"/>
              </w:numPr>
              <w:tabs>
                <w:tab w:val="clear" w:pos="1134"/>
                <w:tab w:val="left" w:pos="709" w:leader="none"/>
              </w:tabs>
              <w:bidi w:val="0"/>
              <w:spacing w:before="0" w:after="283"/>
              <w:ind w:hanging="283" w:start="709"/>
              <w:rPr/>
            </w:pPr>
            <w:r>
              <w:rPr/>
              <w:t xml:space="preserve">gesicherte Baugenehmigung oder öffentlich-rechtliche Genehmigungsfreiheit, soweit einschlägig. </w:t>
            </w:r>
          </w:p>
        </w:tc>
        <w:tc>
          <w:tcPr>
            <w:tcW w:w="7965" w:type="dxa"/>
            <w:tcBorders/>
            <w:vAlign w:val="center"/>
          </w:tcPr>
          <w:p>
            <w:pPr>
              <w:pStyle w:val="TableContents"/>
              <w:numPr>
                <w:ilvl w:val="0"/>
                <w:numId w:val="3"/>
              </w:numPr>
              <w:tabs>
                <w:tab w:val="clear" w:pos="1134"/>
                <w:tab w:val="left" w:pos="709" w:leader="none"/>
              </w:tabs>
              <w:bidi w:val="0"/>
              <w:spacing w:before="0" w:after="0"/>
              <w:ind w:hanging="283" w:start="709"/>
              <w:rPr/>
            </w:pPr>
            <w:r>
              <w:rPr/>
              <w:t xml:space="preserve">effective contract; </w:t>
            </w:r>
          </w:p>
          <w:p>
            <w:pPr>
              <w:pStyle w:val="TableContents"/>
              <w:numPr>
                <w:ilvl w:val="0"/>
                <w:numId w:val="3"/>
              </w:numPr>
              <w:tabs>
                <w:tab w:val="clear" w:pos="1134"/>
                <w:tab w:val="left" w:pos="709" w:leader="none"/>
              </w:tabs>
              <w:bidi w:val="0"/>
              <w:spacing w:before="0" w:after="0"/>
              <w:ind w:hanging="283" w:start="709"/>
              <w:rPr/>
            </w:pPr>
            <w:r>
              <w:rPr/>
              <w:t xml:space="preserve">registration of an injunction for the benefit of the Buyer; </w:t>
            </w:r>
          </w:p>
          <w:p>
            <w:pPr>
              <w:pStyle w:val="TableContents"/>
              <w:numPr>
                <w:ilvl w:val="0"/>
                <w:numId w:val="3"/>
              </w:numPr>
              <w:tabs>
                <w:tab w:val="clear" w:pos="1134"/>
                <w:tab w:val="left" w:pos="709" w:leader="none"/>
              </w:tabs>
              <w:bidi w:val="0"/>
              <w:spacing w:before="0" w:after="0"/>
              <w:ind w:hanging="283" w:start="709"/>
              <w:rPr/>
            </w:pPr>
            <w:r>
              <w:rPr/>
              <w:t xml:space="preserve">existence of a declaration of exemption of the global creditor in accordance with the requirements of the MaBV; </w:t>
            </w:r>
          </w:p>
          <w:p>
            <w:pPr>
              <w:pStyle w:val="TableContents"/>
              <w:numPr>
                <w:ilvl w:val="0"/>
                <w:numId w:val="3"/>
              </w:numPr>
              <w:tabs>
                <w:tab w:val="clear" w:pos="1134"/>
                <w:tab w:val="left" w:pos="709" w:leader="none"/>
              </w:tabs>
              <w:bidi w:val="0"/>
              <w:spacing w:before="0" w:after="283"/>
              <w:ind w:hanging="283" w:start="709"/>
              <w:rPr/>
            </w:pPr>
            <w:r>
              <w:rPr/>
              <w:t xml:space="preserve">secured building permit or public permit freedom, where applicable. </w:t>
            </w:r>
          </w:p>
        </w:tc>
      </w:tr>
      <w:tr>
        <w:trPr/>
        <w:tc>
          <w:tcPr>
            <w:tcW w:w="7569" w:type="dxa"/>
            <w:tcBorders/>
            <w:vAlign w:val="center"/>
          </w:tcPr>
          <w:p>
            <w:pPr>
              <w:pStyle w:val="TableContents"/>
              <w:bidi w:val="0"/>
              <w:spacing w:before="0" w:after="283"/>
              <w:rPr/>
            </w:pPr>
            <w:r>
              <w:rPr/>
              <w:t>3.2 Die Verkäuferin stellt der Käuferin spätestens mit der ersten Rate eine Sicherheit in Höhe von 5 % des Kaufpreises nach § 650m Abs. 2 BGB. Die Käuferin darf diesen Betrag von der ersten fälligen Rate einbehalten, bis die Verkäuferin eine unbefristete, selbstschuldnerische Bürgschaft eines im Inland zugelassenen Kreditinstituts oder Kreditversicherers übergeben hat. Das Einbehaltsrecht besteht automatisch; es bedarf keiner gesonderten Ausübungserklärung.</w:t>
            </w:r>
          </w:p>
        </w:tc>
        <w:tc>
          <w:tcPr>
            <w:tcW w:w="7965" w:type="dxa"/>
            <w:tcBorders/>
            <w:vAlign w:val="center"/>
          </w:tcPr>
          <w:p>
            <w:pPr>
              <w:pStyle w:val="TableContents"/>
              <w:bidi w:val="0"/>
              <w:spacing w:before="0" w:after="283"/>
              <w:rPr/>
            </w:pPr>
            <w:r>
              <w:rPr/>
              <w:t>3.2 The Seller provides the Buyer with a security of 5% of the Purchase Price according to § 650m Abs at the latest with the first installment. 2 BGB. The Buyer may withhold this amount from the first instalment due until the Seller has provided an unlimited, self-guarantee of a credit institution or credit insurer licensed in Germany. The right of retention is automatic; no separate statement of exercise is required.</w:t>
            </w:r>
          </w:p>
        </w:tc>
      </w:tr>
      <w:tr>
        <w:trPr/>
        <w:tc>
          <w:tcPr>
            <w:tcW w:w="7569" w:type="dxa"/>
            <w:tcBorders/>
            <w:vAlign w:val="center"/>
          </w:tcPr>
          <w:p>
            <w:pPr>
              <w:pStyle w:val="TableContents"/>
              <w:bidi w:val="0"/>
              <w:spacing w:before="0" w:after="283"/>
              <w:rPr/>
            </w:pPr>
            <w:r>
              <w:rPr/>
              <w:t>3.3 Der Kaufpreis ist in höchstens sieben Teilbeträgen nach tatsächlichem Baufortschritt zu zahlen:</w:t>
            </w:r>
          </w:p>
          <w:p>
            <w:pPr>
              <w:pStyle w:val="TableHeading"/>
              <w:spacing w:before="0" w:after="80"/>
            </w:pPr>
            <w:r>
              <w:rPr>
                <w:b/>
              </w:rPr>
              <w:t>Rate · Fälligkeit frühestens nach tatsächlichem Baufortschritt · Betrag</w:t>
            </w:r>
          </w:p>
          <w:p>
            <w:pPr>
              <w:pStyle w:val="TableContents"/>
              <w:spacing w:before="0" w:after="80"/>
            </w:pPr>
            <w:r>
              <w:t>1 · Beginn der Erdarbeiten, nach Vorliegen der Voraussetzungen aus § 3.1 · 30,0 %</w:t>
            </w:r>
          </w:p>
          <w:p>
            <w:pPr>
              <w:pStyle w:val="TableContents"/>
              <w:spacing w:before="0" w:after="80"/>
            </w:pPr>
            <w:r>
              <w:t>2 · Rohbaufertigstellung einschließlich Zimmererarbeiten · 28,0 %</w:t>
            </w:r>
          </w:p>
          <w:p>
            <w:pPr>
              <w:pStyle w:val="TableContents"/>
              <w:spacing w:before="0" w:after="80"/>
            </w:pPr>
            <w:r>
              <w:t>3 · Herstellung der Dachflächen und Dachrinnen, Rohinstallation Heizung/Sanitär/Elektro, Fenstereinbau einschließlich Verglasung · 18,9 %</w:t>
            </w:r>
          </w:p>
          <w:p>
            <w:pPr>
              <w:pStyle w:val="TableContents"/>
              <w:spacing w:before="0" w:after="80"/>
            </w:pPr>
            <w:r>
              <w:t>4 · Innenputz, Estrich und Fassadenarbeiten · 8,4 %</w:t>
            </w:r>
          </w:p>
          <w:p>
            <w:pPr>
              <w:pStyle w:val="TableContents"/>
              <w:spacing w:before="0" w:after="80"/>
            </w:pPr>
            <w:r>
              <w:t>5 · Fliesenarbeiten im Sanitärbereich · 2,8 %</w:t>
            </w:r>
          </w:p>
          <w:p>
            <w:pPr>
              <w:pStyle w:val="TableContents"/>
              <w:spacing w:before="0" w:after="80"/>
            </w:pPr>
            <w:r>
              <w:t>6 · Bezugsfertigkeit und Zug um Zug gegen Besitzübergabe · 8,4 %</w:t>
            </w:r>
          </w:p>
          <w:p>
            <w:pPr>
              <w:pStyle w:val="TableContents"/>
              <w:spacing w:before="0" w:after="80"/>
            </w:pPr>
            <w:r>
              <w:t>7 · vollständige Fertigstellung einschließlich Außenanlagen, Zuwegungen, Keller, Tiefgarage und Gemeinschaftseinrichtungen · 3,5 %</w:t>
            </w:r>
          </w:p>
        </w:tc>
        <w:tc>
          <w:tcPr>
            <w:tcW w:w="7965" w:type="dxa"/>
            <w:tcBorders/>
            <w:vAlign w:val="center"/>
          </w:tcPr>
          <w:p>
            <w:pPr>
              <w:pStyle w:val="TableContents"/>
              <w:bidi w:val="0"/>
              <w:spacing w:before="0" w:after="0"/>
              <w:rPr/>
            </w:pPr>
            <w:r>
              <w:rPr/>
              <w:t>3.3 The Purchase Price is to be paid in a maximum of seven instalments after actual construction progress:</w:t>
            </w:r>
          </w:p>
          <w:p>
            <w:pPr>
              <w:pStyle w:val="TableContents"/>
              <w:bidi w:val="0"/>
              <w:spacing w:before="0" w:after="283"/>
              <w:rPr/>
            </w:pPr>
            <w:r>
              <w:rPr/>
            </w:r>
          </w:p>
          <w:p>
            <w:pPr>
              <w:pStyle w:val="TableHeading"/>
              <w:spacing w:before="0" w:after="80"/>
            </w:pPr>
            <w:r>
              <w:rPr>
                <w:b/>
              </w:rPr>
              <w:t>Rate · Maturity at the earliest after actual construction progress · Percentage</w:t>
            </w:r>
          </w:p>
          <w:p>
            <w:pPr>
              <w:pStyle w:val="TableContents"/>
              <w:spacing w:before="0" w:after="80"/>
            </w:pPr>
            <w:r>
              <w:t>1 · after commencement of earthworks and satisfaction of the conditions in § 3.1 · 30,0 %</w:t>
            </w:r>
          </w:p>
          <w:p>
            <w:pPr>
              <w:pStyle w:val="TableContents"/>
              <w:spacing w:before="0" w:after="80"/>
            </w:pPr>
            <w:r>
              <w:t>2 · Completion of shells, including carpentry · 28,0 %</w:t>
            </w:r>
          </w:p>
          <w:p>
            <w:pPr>
              <w:pStyle w:val="TableContents"/>
              <w:spacing w:before="0" w:after="80"/>
            </w:pPr>
            <w:r>
              <w:t>3 · Manufacture of roof surfaces and gutters, heating/sanitary/electric raw installation, window installation including glazing · 18,9 %</w:t>
            </w:r>
          </w:p>
          <w:p>
            <w:pPr>
              <w:pStyle w:val="TableContents"/>
              <w:spacing w:before="0" w:after="80"/>
            </w:pPr>
            <w:r>
              <w:t>4 · interior plaster, screed and facade works · 8,4 %</w:t>
            </w:r>
          </w:p>
          <w:p>
            <w:pPr>
              <w:pStyle w:val="TableContents"/>
              <w:spacing w:before="0" w:after="80"/>
            </w:pPr>
            <w:r>
              <w:t>5 · Sanitary tile work · 2,8 %</w:t>
            </w:r>
          </w:p>
          <w:p>
            <w:pPr>
              <w:pStyle w:val="TableContents"/>
              <w:spacing w:before="0" w:after="80"/>
            </w:pPr>
            <w:r>
              <w:t>6 · readiness for occupancy concurrently with transfer of possession · 8,4 %</w:t>
            </w:r>
          </w:p>
          <w:p>
            <w:pPr>
              <w:pStyle w:val="TableContents"/>
              <w:spacing w:before="0" w:after="80"/>
            </w:pPr>
            <w:r>
              <w:t>7 · Complete completion including outdoor facilities, accesses, basements, underground parking and community facilities · 3,5 %</w:t>
            </w:r>
          </w:p>
        </w:tc>
      </w:tr>
      <w:tr>
        <w:trPr/>
        <w:tc>
          <w:tcPr>
            <w:tcW w:w="7569" w:type="dxa"/>
            <w:tcBorders/>
            <w:vAlign w:val="center"/>
          </w:tcPr>
          <w:p>
            <w:pPr>
              <w:pStyle w:val="TableContents"/>
              <w:bidi w:val="0"/>
              <w:spacing w:before="0" w:after="283"/>
              <w:rPr/>
            </w:pPr>
            <w:r>
              <w:rPr/>
              <w:t>3.4 Eine Rate wird nur fällig, wenn der bezeichnete Bautenstand tatsächlich erreicht ist und die Verkäuferin der Käuferin eine nachvollziehbare Bautenstandsmitteilung mit Lichtbildern, Datum und verantwortlicher Bauleitung übermittelt. Die Käuferin darf den Bautenstand vor Zahlung selbst, durch eine bevollmächtigte Person oder durch eine sachverständige Person prüfen lassen. Die Prüfung darf aus Sicherheitsgründen begleitet werden, darf aber nicht grundlos verhindert oder auf bloße Akteneinsicht beschränkt werden.</w:t>
            </w:r>
          </w:p>
        </w:tc>
        <w:tc>
          <w:tcPr>
            <w:tcW w:w="7965" w:type="dxa"/>
            <w:tcBorders/>
            <w:vAlign w:val="center"/>
          </w:tcPr>
          <w:p>
            <w:pPr>
              <w:pStyle w:val="TableContents"/>
              <w:bidi w:val="0"/>
              <w:spacing w:before="0" w:after="283"/>
              <w:rPr/>
            </w:pPr>
            <w:r>
              <w:rPr/>
              <w:t>3.4 An installment is only due if the specified building status has actually been reached and the Seller sends the Buyer a comprehensible building status notification with photos, date and responsible construction management. The Buyer may have the building stand checked before payment himself, by an authorized person or by an expert person. The examination may be accompanied for safety reasons, but may not be unjustly prevented or limited to mere access to the file.</w:t>
            </w:r>
          </w:p>
        </w:tc>
      </w:tr>
      <w:tr>
        <w:trPr/>
        <w:tc>
          <w:tcPr>
            <w:tcW w:w="7569" w:type="dxa"/>
            <w:tcBorders/>
            <w:vAlign w:val="center"/>
          </w:tcPr>
          <w:p>
            <w:pPr>
              <w:pStyle w:val="TableContents"/>
              <w:bidi w:val="0"/>
              <w:spacing w:before="0" w:after="283"/>
              <w:rPr/>
            </w:pPr>
            <w:r>
              <w:rPr/>
              <w:t>3.5 Bei Mängeln, fehlenden Unterlagen oder unvollständiger Leistung bleiben gesetzliche Zurückbehaltungsrechte, insbesondere § 641 Abs. 3 BGB, unberührt. Die Zahlung einer Rate gilt nicht als Abnahme, Anerkenntnis des Bautenstands oder Verzicht auf Einwendungen.</w:t>
            </w:r>
          </w:p>
        </w:tc>
        <w:tc>
          <w:tcPr>
            <w:tcW w:w="7965" w:type="dxa"/>
            <w:tcBorders/>
            <w:vAlign w:val="center"/>
          </w:tcPr>
          <w:p>
            <w:pPr>
              <w:pStyle w:val="TableContents"/>
              <w:bidi w:val="0"/>
              <w:spacing w:before="0" w:after="283"/>
              <w:rPr/>
            </w:pPr>
            <w:r>
              <w:rPr/>
              <w:t>3.5 In the event of defects, missing documents or incomplete performance, legal retention rights remain, in particular § 641 Abs. 3 BGB, unaffected. The payment of an instalment shall not be considered as acceptance, recognition of the status of the building or waiver of objections.</w:t>
            </w:r>
          </w:p>
        </w:tc>
      </w:tr>
      <w:tr>
        <w:trPr/>
        <w:tc>
          <w:tcPr>
            <w:tcW w:w="7569" w:type="dxa"/>
            <w:tcBorders/>
            <w:vAlign w:val="center"/>
          </w:tcPr>
          <w:p>
            <w:pPr>
              <w:pStyle w:val="TableContents"/>
              <w:bidi w:val="0"/>
              <w:spacing w:before="0" w:after="283"/>
              <w:rPr/>
            </w:pPr>
            <w:r>
              <w:rPr/>
              <w:t>3.6 Die Schlussrate setzt vollständige Fertigstellung voraus. Vollständige Fertigstellung umfasst auch die Außenanlagen, die dauerhafte Verkehrssicherheit der Zugänge, die Tiefgarage, Fahrradabstellflächen, Beleuchtung, Müllflächen, Entwässerung, Gebäudetechnik, Revisionsunterlagen und alle zur gewöhnlichen Nutzung erforderlichen Gemeinschaftseinrichtungen. Unwesentliche Restmängel hindern die Fälligkeit nur insoweit nicht, als der Käuferin die gesetzlichen Zurückbehaltungsrechte vollständig verbleiben.</w:t>
            </w:r>
          </w:p>
        </w:tc>
        <w:tc>
          <w:tcPr>
            <w:tcW w:w="7965" w:type="dxa"/>
            <w:tcBorders/>
            <w:vAlign w:val="center"/>
          </w:tcPr>
          <w:p>
            <w:pPr>
              <w:pStyle w:val="TableContents"/>
              <w:bidi w:val="0"/>
              <w:spacing w:before="0" w:after="283"/>
              <w:rPr/>
            </w:pPr>
            <w:r>
              <w:rPr/>
              <w:t>3.6 The final instalment requires complete completion. Complete completion also includes the outdoor facilities, the permanent road safety of accesses, the underground parking garage, bicycle parking areas, lighting, garbage areas, drainage, building services, inspection documents and all common facilities necessary for normal use. Insignificant residual defects do not prevent the due date only insofar as the Buyer’s legal retention rights remain completely.</w:t>
            </w:r>
          </w:p>
        </w:tc>
      </w:tr>
      <w:tr>
        <w:trPr/>
        <w:tc>
          <w:tcPr>
            <w:tcW w:w="7569" w:type="dxa"/>
            <w:tcBorders/>
            <w:vAlign w:val="center"/>
          </w:tcPr>
          <w:p>
            <w:pPr>
              <w:pStyle w:val="TableContents"/>
              <w:bidi w:val="0"/>
              <w:spacing w:before="0" w:after="283"/>
              <w:rPr/>
            </w:pPr>
            <w:r>
              <w:rPr/>
              <w:t>3.7 Sonderwünsche werden nicht außerhalb des MaBV-Ratenplans als Vorauszahlung abgerechnet. Werden sie vor Ausführung vereinbart, werden sie entweder in den Kaufpreis und die verbleibenden Raten einbezogen oder erst nach Ausführung und Abnahme des Sonderwunsches fällig.</w:t>
            </w:r>
          </w:p>
        </w:tc>
        <w:tc>
          <w:tcPr>
            <w:tcW w:w="7965" w:type="dxa"/>
            <w:tcBorders/>
            <w:vAlign w:val="center"/>
          </w:tcPr>
          <w:p>
            <w:pPr>
              <w:pStyle w:val="TableContents"/>
              <w:bidi w:val="0"/>
              <w:spacing w:before="0" w:after="283"/>
              <w:rPr/>
            </w:pPr>
            <w:r>
              <w:rPr/>
              <w:t>3.7 Special requests are not charged outside the MaBV installment plan as advance payment. If they are agreed before execution, they will either be included in the Purchase Price and the remaining installments or only after execution and acceptance of the special request.</w:t>
            </w:r>
          </w:p>
        </w:tc>
      </w:tr>
      <w:tr>
        <w:trPr/>
        <w:tc>
          <w:tcPr>
            <w:tcW w:w="7569" w:type="dxa"/>
            <w:tcBorders/>
            <w:vAlign w:val="center"/>
          </w:tcPr>
          <w:p>
            <w:pPr>
              <w:pStyle w:val="Heading2"/>
              <w:bidi w:val="0"/>
              <w:spacing w:before="200" w:after="120"/>
              <w:ind w:hanging="0" w:start="0" w:end="0"/>
              <w:rPr/>
            </w:pPr>
            <w:bookmarkStart w:id="16" w:name="finanzierungsvollmacht"/>
            <w:bookmarkEnd w:id="16"/>
            <w:r>
              <w:rPr/>
              <w:t>4 Finanzierungsvollmacht</w:t>
            </w:r>
          </w:p>
        </w:tc>
        <w:tc>
          <w:tcPr>
            <w:tcW w:w="7965" w:type="dxa"/>
            <w:tcBorders/>
            <w:vAlign w:val="center"/>
          </w:tcPr>
          <w:p>
            <w:pPr>
              <w:pStyle w:val="Heading2"/>
              <w:bidi w:val="0"/>
              <w:spacing w:before="200" w:after="120"/>
              <w:ind w:hanging="0" w:start="0" w:end="0"/>
              <w:rPr/>
            </w:pPr>
            <w:bookmarkStart w:id="17" w:name="power-of-attorney"/>
            <w:bookmarkEnd w:id="17"/>
            <w:r>
              <w:rPr/>
              <w:t>4 Power of attorney</w:t>
            </w:r>
          </w:p>
        </w:tc>
      </w:tr>
      <w:tr>
        <w:trPr/>
        <w:tc>
          <w:tcPr>
            <w:tcW w:w="7569" w:type="dxa"/>
            <w:tcBorders/>
            <w:vAlign w:val="center"/>
          </w:tcPr>
          <w:p>
            <w:pPr>
              <w:pStyle w:val="TableContents"/>
              <w:bidi w:val="0"/>
              <w:spacing w:before="0" w:after="283"/>
              <w:rPr/>
            </w:pPr>
            <w:r>
              <w:rPr/>
              <w:t>4.1 Die Verkäuferin bevollmächtigt die Käuferin, zur Finanzierung des Kaufpreises Grundpfandrechte am Kaufgegenstand bis zu einem Nominalbetrag von 742.000,00 EUR nebst marktüblichen Zinsen und Nebenleistungen zu bestellen. Die Vollmacht darf nur verwendet werden, wenn der Grundpfandrechtsgläubiger sich verpflichtet, Zahlungen ausschließlich nach Maßgabe dieser Urkunde, des Ratenplans und der MaBV an die Verkäuferin zu leisten.</w:t>
            </w:r>
          </w:p>
        </w:tc>
        <w:tc>
          <w:tcPr>
            <w:tcW w:w="7965" w:type="dxa"/>
            <w:tcBorders/>
            <w:vAlign w:val="center"/>
          </w:tcPr>
          <w:p>
            <w:pPr>
              <w:pStyle w:val="TableContents"/>
              <w:bidi w:val="0"/>
              <w:spacing w:before="0" w:after="283"/>
              <w:rPr/>
            </w:pPr>
            <w:r>
              <w:rPr/>
              <w:t>4.1 The Seller authorizes the Buyer to order basic liens on the Purchased Property up to a nominal amount of 742,000.00 EUR together with market interest and ancillary services to finance the Purchase Price. The power of attorney may only be used if the creditor undertakes to make payments exclusively in accordance with this deed, the installment plan and the MaBV to the Seller.</w:t>
            </w:r>
          </w:p>
        </w:tc>
      </w:tr>
      <w:tr>
        <w:trPr/>
        <w:tc>
          <w:tcPr>
            <w:tcW w:w="7569" w:type="dxa"/>
            <w:tcBorders/>
            <w:vAlign w:val="center"/>
          </w:tcPr>
          <w:p>
            <w:pPr>
              <w:pStyle w:val="TableContents"/>
              <w:bidi w:val="0"/>
              <w:spacing w:before="0" w:after="283"/>
              <w:rPr/>
            </w:pPr>
            <w:r>
              <w:rPr/>
              <w:t>4.2 Die Käuferin übernimmt die persönliche Haftung nur gegenüber ihrer finanzierenden Bank. Eine persönliche Haftung der Verkäuferin wird nicht begründet. Die Verkäuferin wirkt an Rangrücktritten und Löschungen mit, soweit dies zur Finanzierung und lastenfreien Eigentumsumschreibung erforderlich ist.</w:t>
            </w:r>
          </w:p>
        </w:tc>
        <w:tc>
          <w:tcPr>
            <w:tcW w:w="7965" w:type="dxa"/>
            <w:tcBorders/>
            <w:vAlign w:val="center"/>
          </w:tcPr>
          <w:p>
            <w:pPr>
              <w:pStyle w:val="TableContents"/>
              <w:bidi w:val="0"/>
              <w:spacing w:before="0" w:after="283"/>
              <w:rPr/>
            </w:pPr>
            <w:r>
              <w:rPr/>
              <w:t>4.2. The Buyer assumes personal liability only towards its financing bank. A personal liability of the Seller is not justified. The Seller participates in subordinations and deletions, as far as this is necessary for financing and load-free property transfer.</w:t>
            </w:r>
          </w:p>
        </w:tc>
      </w:tr>
      <w:tr>
        <w:trPr/>
        <w:tc>
          <w:tcPr>
            <w:tcW w:w="7569" w:type="dxa"/>
            <w:tcBorders/>
            <w:vAlign w:val="center"/>
          </w:tcPr>
          <w:p>
            <w:pPr>
              <w:pStyle w:val="TableContents"/>
              <w:bidi w:val="0"/>
              <w:spacing w:before="0" w:after="283"/>
              <w:rPr/>
            </w:pPr>
            <w:r>
              <w:rPr/>
              <w:t>4.3 Die Kosten der Finanzierungsgrundpfandrechte trägt die Käuferin. Kosten der Lastenfreistellung der Globalgrundschuld der Verkäuferin trägt die Verkäuferin.</w:t>
            </w:r>
          </w:p>
        </w:tc>
        <w:tc>
          <w:tcPr>
            <w:tcW w:w="7965" w:type="dxa"/>
            <w:tcBorders/>
            <w:vAlign w:val="center"/>
          </w:tcPr>
          <w:p>
            <w:pPr>
              <w:pStyle w:val="TableContents"/>
              <w:bidi w:val="0"/>
              <w:spacing w:before="0" w:after="283"/>
              <w:rPr/>
            </w:pPr>
            <w:r>
              <w:rPr/>
              <w:t>4.3 The costs of the financing liens shall be borne by the Buyer. Costs of the load exemption of the Seller’s global basic liability shall be borne by the Seller.</w:t>
            </w:r>
          </w:p>
        </w:tc>
      </w:tr>
      <w:tr>
        <w:trPr/>
        <w:tc>
          <w:tcPr>
            <w:tcW w:w="7569" w:type="dxa"/>
            <w:tcBorders/>
            <w:vAlign w:val="center"/>
          </w:tcPr>
          <w:p>
            <w:pPr>
              <w:pStyle w:val="Heading2"/>
              <w:bidi w:val="0"/>
              <w:spacing w:before="200" w:after="120"/>
              <w:ind w:hanging="0" w:start="0" w:end="0"/>
              <w:rPr/>
            </w:pPr>
            <w:bookmarkStart w:id="18" w:name="baupflicht-bausoll-unterlagen"/>
            <w:bookmarkEnd w:id="18"/>
            <w:r>
              <w:rPr/>
              <w:t>5 Baupflicht, Bausoll, Unterlagen</w:t>
            </w:r>
          </w:p>
        </w:tc>
        <w:tc>
          <w:tcPr>
            <w:tcW w:w="7965" w:type="dxa"/>
            <w:tcBorders/>
            <w:vAlign w:val="center"/>
          </w:tcPr>
          <w:p>
            <w:pPr>
              <w:pStyle w:val="Heading2"/>
              <w:bidi w:val="0"/>
              <w:spacing w:before="200" w:after="120"/>
              <w:ind w:hanging="0" w:start="0" w:end="0"/>
              <w:rPr/>
            </w:pPr>
            <w:bookmarkStart w:id="19" w:name="obligation-to-build-construction-intende"/>
            <w:bookmarkEnd w:id="19"/>
            <w:r>
              <w:rPr/>
              <w:t>5 Obligation to build, construction intended, documents</w:t>
            </w:r>
          </w:p>
        </w:tc>
      </w:tr>
      <w:tr>
        <w:trPr/>
        <w:tc>
          <w:tcPr>
            <w:tcW w:w="7569" w:type="dxa"/>
            <w:tcBorders/>
            <w:vAlign w:val="center"/>
          </w:tcPr>
          <w:p>
            <w:pPr>
              <w:pStyle w:val="TableContents"/>
              <w:bidi w:val="0"/>
              <w:spacing w:before="0" w:after="283"/>
              <w:rPr/>
            </w:pPr>
            <w:r>
              <w:rPr/>
              <w:t>5.1 Die Verkäuferin verpflichtet sich, den Kaufgegenstand und das Gemeinschaftseigentum nach dieser Urkunde, der Baubeschreibung, den Plänen, der Baugenehmigung und den anerkannten Regeln der Technik zum Zeitpunkt der Abnahme herzustellen. Geschuldet ist mindestens eine Ausführung mittlerer Art und Güte, soweit die Baubeschreibung keinen höheren Standard vorsieht.</w:t>
            </w:r>
          </w:p>
        </w:tc>
        <w:tc>
          <w:tcPr>
            <w:tcW w:w="7965" w:type="dxa"/>
            <w:tcBorders/>
            <w:vAlign w:val="center"/>
          </w:tcPr>
          <w:p>
            <w:pPr>
              <w:pStyle w:val="TableContents"/>
              <w:bidi w:val="0"/>
              <w:spacing w:before="0" w:after="283"/>
              <w:rPr/>
            </w:pPr>
            <w:r>
              <w:rPr/>
              <w:t>5.1 The Seller undertakes to produce the Purchased Property and the joint property according to this deed, the description of the building, the plans, the building permit and the recognised rules of technology at the time of acceptance. The debt is at least one execution of medium type and quality, as far as the construction description does not provide a higher standard.</w:t>
            </w:r>
          </w:p>
        </w:tc>
      </w:tr>
      <w:tr>
        <w:trPr/>
        <w:tc>
          <w:tcPr>
            <w:tcW w:w="7569" w:type="dxa"/>
            <w:tcBorders/>
            <w:vAlign w:val="center"/>
          </w:tcPr>
          <w:p>
            <w:pPr>
              <w:pStyle w:val="TableContents"/>
              <w:bidi w:val="0"/>
              <w:spacing w:before="0" w:after="283"/>
              <w:rPr/>
            </w:pPr>
            <w:r>
              <w:rPr/>
              <w:t>5.2 Die Verkäuferin übergibt der Käuferin spätestens zur Abnahme, soweit sachlich einschlägig und vorhanden, digital und auf Wunsch in Papierform:</w:t>
            </w:r>
          </w:p>
        </w:tc>
        <w:tc>
          <w:tcPr>
            <w:tcW w:w="7965" w:type="dxa"/>
            <w:tcBorders/>
            <w:vAlign w:val="center"/>
          </w:tcPr>
          <w:p>
            <w:pPr>
              <w:pStyle w:val="TableContents"/>
              <w:bidi w:val="0"/>
              <w:spacing w:before="0" w:after="283"/>
              <w:rPr/>
            </w:pPr>
            <w:r>
              <w:rPr/>
              <w:t>5.2 The Seller hands over to the Buyer at the latest for acceptance, as far as relevant and available, digitally and on request in paper form:</w:t>
            </w:r>
          </w:p>
        </w:tc>
      </w:tr>
      <w:tr>
        <w:trPr/>
        <w:tc>
          <w:tcPr>
            <w:tcW w:w="7569" w:type="dxa"/>
            <w:tcBorders/>
            <w:vAlign w:val="center"/>
          </w:tcPr>
          <w:p>
            <w:pPr>
              <w:pStyle w:val="TableContents"/>
              <w:numPr>
                <w:ilvl w:val="0"/>
                <w:numId w:val="4"/>
              </w:numPr>
              <w:tabs>
                <w:tab w:val="clear" w:pos="1134"/>
                <w:tab w:val="left" w:pos="709" w:leader="none"/>
              </w:tabs>
              <w:bidi w:val="0"/>
              <w:spacing w:before="0" w:after="0"/>
              <w:ind w:hanging="283" w:start="709"/>
              <w:rPr/>
            </w:pPr>
            <w:r>
              <w:rPr/>
              <w:t xml:space="preserve">Baugenehmigung und genehmigte Pläne; </w:t>
            </w:r>
          </w:p>
          <w:p>
            <w:pPr>
              <w:pStyle w:val="TableContents"/>
              <w:numPr>
                <w:ilvl w:val="0"/>
                <w:numId w:val="4"/>
              </w:numPr>
              <w:tabs>
                <w:tab w:val="clear" w:pos="1134"/>
                <w:tab w:val="left" w:pos="709" w:leader="none"/>
              </w:tabs>
              <w:bidi w:val="0"/>
              <w:spacing w:before="0" w:after="0"/>
              <w:ind w:hanging="283" w:start="709"/>
              <w:rPr/>
            </w:pPr>
            <w:r>
              <w:rPr/>
              <w:t xml:space="preserve">Energiebedarfsausweis und GEG-Nachweise; </w:t>
            </w:r>
          </w:p>
          <w:p>
            <w:pPr>
              <w:pStyle w:val="TableContents"/>
              <w:numPr>
                <w:ilvl w:val="0"/>
                <w:numId w:val="4"/>
              </w:numPr>
              <w:tabs>
                <w:tab w:val="clear" w:pos="1134"/>
                <w:tab w:val="left" w:pos="709" w:leader="none"/>
              </w:tabs>
              <w:bidi w:val="0"/>
              <w:spacing w:before="0" w:after="0"/>
              <w:ind w:hanging="283" w:start="709"/>
              <w:rPr/>
            </w:pPr>
            <w:r>
              <w:rPr/>
              <w:t xml:space="preserve">Schallschutznachweis; </w:t>
            </w:r>
          </w:p>
          <w:p>
            <w:pPr>
              <w:pStyle w:val="TableContents"/>
              <w:numPr>
                <w:ilvl w:val="0"/>
                <w:numId w:val="4"/>
              </w:numPr>
              <w:tabs>
                <w:tab w:val="clear" w:pos="1134"/>
                <w:tab w:val="left" w:pos="709" w:leader="none"/>
              </w:tabs>
              <w:bidi w:val="0"/>
              <w:spacing w:before="0" w:after="0"/>
              <w:ind w:hanging="283" w:start="709"/>
              <w:rPr/>
            </w:pPr>
            <w:r>
              <w:rPr/>
              <w:t xml:space="preserve">Brandschutzkonzept und brandschutzrelevante Abnahmeunterlagen; </w:t>
            </w:r>
          </w:p>
          <w:p>
            <w:pPr>
              <w:pStyle w:val="TableContents"/>
              <w:numPr>
                <w:ilvl w:val="0"/>
                <w:numId w:val="4"/>
              </w:numPr>
              <w:tabs>
                <w:tab w:val="clear" w:pos="1134"/>
                <w:tab w:val="left" w:pos="709" w:leader="none"/>
              </w:tabs>
              <w:bidi w:val="0"/>
              <w:spacing w:before="0" w:after="0"/>
              <w:ind w:hanging="283" w:start="709"/>
              <w:rPr/>
            </w:pPr>
            <w:r>
              <w:rPr/>
              <w:t xml:space="preserve">geotechnischer Bericht und Abdichtungskonzept; </w:t>
            </w:r>
          </w:p>
          <w:p>
            <w:pPr>
              <w:pStyle w:val="TableContents"/>
              <w:numPr>
                <w:ilvl w:val="0"/>
                <w:numId w:val="4"/>
              </w:numPr>
              <w:tabs>
                <w:tab w:val="clear" w:pos="1134"/>
                <w:tab w:val="left" w:pos="709" w:leader="none"/>
              </w:tabs>
              <w:bidi w:val="0"/>
              <w:spacing w:before="0" w:after="0"/>
              <w:ind w:hanging="283" w:start="709"/>
              <w:rPr/>
            </w:pPr>
            <w:r>
              <w:rPr/>
              <w:t xml:space="preserve">Revisionsunterlagen für Heizung, Lüftung, Elektro, Photovoltaik und Entwässerung; </w:t>
            </w:r>
          </w:p>
          <w:p>
            <w:pPr>
              <w:pStyle w:val="TableContents"/>
              <w:numPr>
                <w:ilvl w:val="0"/>
                <w:numId w:val="4"/>
              </w:numPr>
              <w:tabs>
                <w:tab w:val="clear" w:pos="1134"/>
                <w:tab w:val="left" w:pos="709" w:leader="none"/>
              </w:tabs>
              <w:bidi w:val="0"/>
              <w:spacing w:before="0" w:after="0"/>
              <w:ind w:hanging="283" w:start="709"/>
              <w:rPr/>
            </w:pPr>
            <w:r>
              <w:rPr/>
              <w:t xml:space="preserve">Bedienungs- und Wartungsanleitungen; </w:t>
            </w:r>
          </w:p>
          <w:p>
            <w:pPr>
              <w:pStyle w:val="TableContents"/>
              <w:numPr>
                <w:ilvl w:val="0"/>
                <w:numId w:val="4"/>
              </w:numPr>
              <w:tabs>
                <w:tab w:val="clear" w:pos="1134"/>
                <w:tab w:val="left" w:pos="709" w:leader="none"/>
              </w:tabs>
              <w:bidi w:val="0"/>
              <w:spacing w:before="0" w:after="0"/>
              <w:ind w:hanging="283" w:start="709"/>
              <w:rPr/>
            </w:pPr>
            <w:r>
              <w:rPr/>
              <w:t xml:space="preserve">Fachunternehmererklärungen, Prüfprotokolle und Gewährleistungsübersicht; </w:t>
            </w:r>
          </w:p>
          <w:p>
            <w:pPr>
              <w:pStyle w:val="TableContents"/>
              <w:numPr>
                <w:ilvl w:val="0"/>
                <w:numId w:val="4"/>
              </w:numPr>
              <w:tabs>
                <w:tab w:val="clear" w:pos="1134"/>
                <w:tab w:val="left" w:pos="709" w:leader="none"/>
              </w:tabs>
              <w:bidi w:val="0"/>
              <w:spacing w:before="0" w:after="283"/>
              <w:ind w:hanging="283" w:start="709"/>
              <w:rPr/>
            </w:pPr>
            <w:r>
              <w:rPr/>
              <w:t xml:space="preserve">Bestandspläne der Einheit und der für die Nutzung wesentlichen Gemeinschaftseinrichtungen. </w:t>
            </w:r>
          </w:p>
        </w:tc>
        <w:tc>
          <w:tcPr>
            <w:tcW w:w="7965" w:type="dxa"/>
            <w:tcBorders/>
            <w:vAlign w:val="center"/>
          </w:tcPr>
          <w:p>
            <w:pPr>
              <w:pStyle w:val="TableContents"/>
              <w:numPr>
                <w:ilvl w:val="0"/>
                <w:numId w:val="5"/>
              </w:numPr>
              <w:tabs>
                <w:tab w:val="clear" w:pos="1134"/>
                <w:tab w:val="left" w:pos="709" w:leader="none"/>
              </w:tabs>
              <w:bidi w:val="0"/>
              <w:spacing w:before="0" w:after="0"/>
              <w:ind w:hanging="283" w:start="709"/>
              <w:rPr/>
            </w:pPr>
            <w:r>
              <w:rPr/>
              <w:t xml:space="preserve">building permit and approved plans; </w:t>
            </w:r>
          </w:p>
          <w:p>
            <w:pPr>
              <w:pStyle w:val="TableContents"/>
              <w:numPr>
                <w:ilvl w:val="0"/>
                <w:numId w:val="5"/>
              </w:numPr>
              <w:tabs>
                <w:tab w:val="clear" w:pos="1134"/>
                <w:tab w:val="left" w:pos="709" w:leader="none"/>
              </w:tabs>
              <w:bidi w:val="0"/>
              <w:spacing w:before="0" w:after="0"/>
              <w:ind w:hanging="283" w:start="709"/>
              <w:rPr/>
            </w:pPr>
            <w:r>
              <w:rPr/>
              <w:t xml:space="preserve">energy performance certificate and GEG certificates; </w:t>
            </w:r>
          </w:p>
          <w:p>
            <w:pPr>
              <w:pStyle w:val="TableContents"/>
              <w:numPr>
                <w:ilvl w:val="0"/>
                <w:numId w:val="5"/>
              </w:numPr>
              <w:tabs>
                <w:tab w:val="clear" w:pos="1134"/>
                <w:tab w:val="left" w:pos="709" w:leader="none"/>
              </w:tabs>
              <w:bidi w:val="0"/>
              <w:spacing w:before="0" w:after="0"/>
              <w:ind w:hanging="283" w:start="709"/>
              <w:rPr/>
            </w:pPr>
            <w:r>
              <w:rPr/>
              <w:t xml:space="preserve">soundproofing; </w:t>
            </w:r>
          </w:p>
          <w:p>
            <w:pPr>
              <w:pStyle w:val="TableContents"/>
              <w:numPr>
                <w:ilvl w:val="0"/>
                <w:numId w:val="5"/>
              </w:numPr>
              <w:tabs>
                <w:tab w:val="clear" w:pos="1134"/>
                <w:tab w:val="left" w:pos="709" w:leader="none"/>
              </w:tabs>
              <w:bidi w:val="0"/>
              <w:spacing w:before="0" w:after="0"/>
              <w:ind w:hanging="283" w:start="709"/>
              <w:rPr/>
            </w:pPr>
            <w:r>
              <w:rPr/>
              <w:t xml:space="preserve">fire protection concept and fire protection-related acceptance documents; </w:t>
            </w:r>
          </w:p>
          <w:p>
            <w:pPr>
              <w:pStyle w:val="TableContents"/>
              <w:numPr>
                <w:ilvl w:val="0"/>
                <w:numId w:val="5"/>
              </w:numPr>
              <w:tabs>
                <w:tab w:val="clear" w:pos="1134"/>
                <w:tab w:val="left" w:pos="709" w:leader="none"/>
              </w:tabs>
              <w:bidi w:val="0"/>
              <w:spacing w:before="0" w:after="0"/>
              <w:ind w:hanging="283" w:start="709"/>
              <w:rPr/>
            </w:pPr>
            <w:r>
              <w:rPr/>
              <w:t xml:space="preserve">geotechnical report and sealing concept; </w:t>
            </w:r>
          </w:p>
          <w:p>
            <w:pPr>
              <w:pStyle w:val="TableContents"/>
              <w:numPr>
                <w:ilvl w:val="0"/>
                <w:numId w:val="5"/>
              </w:numPr>
              <w:tabs>
                <w:tab w:val="clear" w:pos="1134"/>
                <w:tab w:val="left" w:pos="709" w:leader="none"/>
              </w:tabs>
              <w:bidi w:val="0"/>
              <w:spacing w:before="0" w:after="0"/>
              <w:ind w:hanging="283" w:start="709"/>
              <w:rPr/>
            </w:pPr>
            <w:r>
              <w:rPr/>
              <w:t xml:space="preserve">revision documents for heating, ventilation, electrical, photovoltaic and drainage; </w:t>
            </w:r>
          </w:p>
          <w:p>
            <w:pPr>
              <w:pStyle w:val="TableContents"/>
              <w:numPr>
                <w:ilvl w:val="0"/>
                <w:numId w:val="5"/>
              </w:numPr>
              <w:tabs>
                <w:tab w:val="clear" w:pos="1134"/>
                <w:tab w:val="left" w:pos="709" w:leader="none"/>
              </w:tabs>
              <w:bidi w:val="0"/>
              <w:spacing w:before="0" w:after="0"/>
              <w:ind w:hanging="283" w:start="709"/>
              <w:rPr/>
            </w:pPr>
            <w:r>
              <w:rPr/>
              <w:t xml:space="preserve">operating and maintenance instructions; </w:t>
            </w:r>
          </w:p>
          <w:p>
            <w:pPr>
              <w:pStyle w:val="TableContents"/>
              <w:numPr>
                <w:ilvl w:val="0"/>
                <w:numId w:val="5"/>
              </w:numPr>
              <w:tabs>
                <w:tab w:val="clear" w:pos="1134"/>
                <w:tab w:val="left" w:pos="709" w:leader="none"/>
              </w:tabs>
              <w:bidi w:val="0"/>
              <w:spacing w:before="0" w:after="0"/>
              <w:ind w:hanging="283" w:start="709"/>
              <w:rPr/>
            </w:pPr>
            <w:r>
              <w:rPr/>
              <w:t xml:space="preserve">professional operators’ declarations, test reports and warranty summary; </w:t>
            </w:r>
          </w:p>
          <w:p>
            <w:pPr>
              <w:pStyle w:val="TableContents"/>
              <w:numPr>
                <w:ilvl w:val="0"/>
                <w:numId w:val="5"/>
              </w:numPr>
              <w:tabs>
                <w:tab w:val="clear" w:pos="1134"/>
                <w:tab w:val="left" w:pos="709" w:leader="none"/>
              </w:tabs>
              <w:bidi w:val="0"/>
              <w:spacing w:before="0" w:after="283"/>
              <w:ind w:hanging="283" w:start="709"/>
              <w:rPr/>
            </w:pPr>
            <w:r>
              <w:rPr/>
              <w:t xml:space="preserve">Stock plans of the unit and community facilities essential for use. </w:t>
            </w:r>
          </w:p>
        </w:tc>
      </w:tr>
      <w:tr>
        <w:trPr/>
        <w:tc>
          <w:tcPr>
            <w:tcW w:w="7569" w:type="dxa"/>
            <w:tcBorders/>
            <w:vAlign w:val="center"/>
          </w:tcPr>
          <w:p>
            <w:pPr>
              <w:pStyle w:val="TableContents"/>
              <w:bidi w:val="0"/>
              <w:spacing w:before="0" w:after="283"/>
              <w:rPr/>
            </w:pPr>
            <w:r>
              <w:rPr/>
              <w:t>5.3 Die Verkäuferin organisiert Planung, Fachplanung, Bauleitung, Objektüberwachung, Sicherheitskoordination und Mängelverfolgung in eigener Verantwortung. Die Käuferin erhält keine eigenen Ansprüche gegen die Fachplaner allein aufgrund dieses Vertrags, jedoch bleibt eine gesetzliche oder deliktische Haftung Dritter unberührt.</w:t>
            </w:r>
          </w:p>
        </w:tc>
        <w:tc>
          <w:tcPr>
            <w:tcW w:w="7965" w:type="dxa"/>
            <w:tcBorders/>
            <w:vAlign w:val="center"/>
          </w:tcPr>
          <w:p>
            <w:pPr>
              <w:pStyle w:val="TableContents"/>
              <w:bidi w:val="0"/>
              <w:spacing w:before="0" w:after="283"/>
              <w:rPr/>
            </w:pPr>
            <w:r>
              <w:rPr/>
              <w:t>5.3 The Seller organizes planning, specialist planning, construction management, site supervision, security coordination and defect tracking under her own responsibility. The Buyer does not receive any claims against the specialist planners solely on the basis of this contract, but a legal or tortious liability of third parties remains unaffected.</w:t>
            </w:r>
          </w:p>
        </w:tc>
      </w:tr>
      <w:tr>
        <w:trPr/>
        <w:tc>
          <w:tcPr>
            <w:tcW w:w="7569" w:type="dxa"/>
            <w:tcBorders/>
            <w:vAlign w:val="center"/>
          </w:tcPr>
          <w:p>
            <w:pPr>
              <w:pStyle w:val="TableContents"/>
              <w:bidi w:val="0"/>
              <w:spacing w:before="0" w:after="283"/>
              <w:rPr/>
            </w:pPr>
            <w:r>
              <w:rPr/>
              <w:t>5.4 Die Käuferin darf während der Bauzeit eine eigene sachverständige Person hinzuziehen. Baustellenbegehungen erfolgen nach vorheriger Abstimmung, mindestens zu folgenden Zeitpunkten: nach Rohbau, nach Fenstereinbau und Rohinstallation, vor Estrich, vor Verkleidung wesentlicher Installationsschächte, bei Bezugsfertigkeit und vor Abnahme. Die Verkäuferin darf die Begehung aus Sicherheitsgründen organisieren, aber nicht ohne sachlichen Grund verweigern.</w:t>
            </w:r>
          </w:p>
        </w:tc>
        <w:tc>
          <w:tcPr>
            <w:tcW w:w="7965" w:type="dxa"/>
            <w:tcBorders/>
            <w:vAlign w:val="center"/>
          </w:tcPr>
          <w:p>
            <w:pPr>
              <w:pStyle w:val="TableContents"/>
              <w:bidi w:val="0"/>
              <w:spacing w:before="0" w:after="283"/>
              <w:rPr/>
            </w:pPr>
            <w:r>
              <w:rPr/>
              <w:t>5.4 The Buyer may bring in his own expert person during the construction period. Construction site visits shall be carried out by prior agreement, at least at the following times: after shell construction, after window installation and shell installation, before screed, before lining of essential installation trunks, when ready for reference and before acceptance. The Seller may organize the visit for security reasons, but not without factual reason.</w:t>
            </w:r>
          </w:p>
        </w:tc>
      </w:tr>
      <w:tr>
        <w:trPr/>
        <w:tc>
          <w:tcPr>
            <w:tcW w:w="7569" w:type="dxa"/>
            <w:tcBorders/>
            <w:vAlign w:val="center"/>
          </w:tcPr>
          <w:p>
            <w:pPr>
              <w:pStyle w:val="TableContents"/>
              <w:bidi w:val="0"/>
              <w:spacing w:before="0" w:after="283"/>
              <w:rPr/>
            </w:pPr>
            <w:r>
              <w:rPr/>
              <w:t>5.5 Leistungsänderungen durch die Verkäuferin sind nur zulässig, wenn sie technisch oder öffentlich-rechtlich erforderlich sind, den Wert, die Gebrauchstauglichkeit, die Wohnfläche, den Schallschutz, die Energiequalität, die Barrierearmut, die Belichtung und den Zuschnitt nicht nachteilig berühren und der Käuferin rechtzeitig in Textform erläutert werden. Bei nachteiliger oder nicht nur unwesentlicher Änderung ist die vorherige Zustimmung der Käuferin erforderlich, soweit ihr Sondereigentum betroffen ist.</w:t>
            </w:r>
          </w:p>
        </w:tc>
        <w:tc>
          <w:tcPr>
            <w:tcW w:w="7965" w:type="dxa"/>
            <w:tcBorders/>
            <w:vAlign w:val="center"/>
          </w:tcPr>
          <w:p>
            <w:pPr>
              <w:pStyle w:val="TableContents"/>
              <w:bidi w:val="0"/>
              <w:spacing w:before="0" w:after="283"/>
              <w:rPr/>
            </w:pPr>
            <w:r>
              <w:rPr/>
              <w:t>5.5 Changes in performance by the Seller are only permitted if they are technically or under public law necessary, do not adversely affect the value, the suitability for use, the living space, the sound insulation, the energy quality, the barrier poverty, the exposure and the blank and are explained to the Buyer in text form in good time. In the event of adverse or not only insignificant changes, the prior consent of the Buyer is necessary as far as her Sondereigentum is concerned.</w:t>
            </w:r>
          </w:p>
        </w:tc>
      </w:tr>
      <w:tr>
        <w:trPr/>
        <w:tc>
          <w:tcPr>
            <w:tcW w:w="7569" w:type="dxa"/>
            <w:tcBorders/>
            <w:vAlign w:val="center"/>
          </w:tcPr>
          <w:p>
            <w:pPr>
              <w:pStyle w:val="TableContents"/>
              <w:bidi w:val="0"/>
              <w:spacing w:before="0" w:after="283"/>
              <w:rPr/>
            </w:pPr>
            <w:r>
              <w:rPr/>
              <w:t>5.6 Ändern sich zwischen Vertragsschluss und Abnahme die anerkannten Regeln der Technik, informiert die Verkäuferin die Käuferin unverzüglich über Inhalt, Auswirkung, Mehrkosten und Alternativen. Eine Unterschreitung des zum Abnahmezeitpunkt geschuldeten Standards ist nur aufgrund ausdrücklicher, gesonderter und über die Folgen aufklärender Vereinbarung zulässig.</w:t>
            </w:r>
          </w:p>
        </w:tc>
        <w:tc>
          <w:tcPr>
            <w:tcW w:w="7965" w:type="dxa"/>
            <w:tcBorders/>
            <w:vAlign w:val="center"/>
          </w:tcPr>
          <w:p>
            <w:pPr>
              <w:pStyle w:val="TableContents"/>
              <w:bidi w:val="0"/>
              <w:spacing w:before="0" w:after="283"/>
              <w:rPr/>
            </w:pPr>
            <w:r>
              <w:rPr/>
              <w:t>5.6 If the accepted rules of technology change between the conclusion of the contract and acceptance, the Seller shall inform the Buyer immediately about the content, impact, additional costs and alternatives. A fall below the standard owed at the time of acceptance is only permitted on the basis of an explicit, separate agreement that informs about the consequences.</w:t>
            </w:r>
          </w:p>
        </w:tc>
      </w:tr>
      <w:tr>
        <w:trPr/>
        <w:tc>
          <w:tcPr>
            <w:tcW w:w="7569" w:type="dxa"/>
            <w:tcBorders/>
            <w:vAlign w:val="center"/>
          </w:tcPr>
          <w:p>
            <w:pPr>
              <w:pStyle w:val="TableContents"/>
              <w:bidi w:val="0"/>
              <w:spacing w:before="0" w:after="283"/>
              <w:rPr/>
            </w:pPr>
            <w:r>
              <w:rPr/>
              <w:t>5.7 Sonderwünsche werden in einer gesonderten Nachtragsvereinbarung mit Leistungsbeschreibung, Preis, Auswirkung auf Termine, Gewährleistung und Schnittstellen festgelegt. Die Verkäuferin darf einen Sonderwunsch ablehnen, wenn er Bauablauf, Genehmigung, Statik, Schall, Brand, Energie, Gewährleistung oder Rechte anderer Erwerber beeinträchtigt.</w:t>
            </w:r>
          </w:p>
        </w:tc>
        <w:tc>
          <w:tcPr>
            <w:tcW w:w="7965" w:type="dxa"/>
            <w:tcBorders/>
            <w:vAlign w:val="center"/>
          </w:tcPr>
          <w:p>
            <w:pPr>
              <w:pStyle w:val="TableContents"/>
              <w:bidi w:val="0"/>
              <w:spacing w:before="0" w:after="283"/>
              <w:rPr/>
            </w:pPr>
            <w:r>
              <w:rPr/>
              <w:t>5.7 Special requests are specified in a separate supplementary agreement with specifications of services, price, impact on dates, warranty and interfaces. The Seller may reject a special request if it affects construction process, approval, static, sound, fire, energy, warranty or rights of other purchasers.</w:t>
            </w:r>
          </w:p>
        </w:tc>
      </w:tr>
      <w:tr>
        <w:trPr/>
        <w:tc>
          <w:tcPr>
            <w:tcW w:w="7569" w:type="dxa"/>
            <w:tcBorders/>
            <w:vAlign w:val="center"/>
          </w:tcPr>
          <w:p>
            <w:pPr>
              <w:pStyle w:val="Heading2"/>
              <w:bidi w:val="0"/>
              <w:spacing w:before="200" w:after="120"/>
              <w:ind w:hanging="0" w:start="0" w:end="0"/>
              <w:rPr/>
            </w:pPr>
            <w:bookmarkStart w:id="20" w:name="fertigstellung-verzug-vertragsstrafe"/>
            <w:bookmarkEnd w:id="20"/>
            <w:r>
              <w:rPr/>
              <w:t>6 Fertigstellung, Verzug, Vertragsstrafe</w:t>
            </w:r>
          </w:p>
        </w:tc>
        <w:tc>
          <w:tcPr>
            <w:tcW w:w="7965" w:type="dxa"/>
            <w:tcBorders/>
            <w:vAlign w:val="center"/>
          </w:tcPr>
          <w:p>
            <w:pPr>
              <w:pStyle w:val="Heading2"/>
              <w:bidi w:val="0"/>
              <w:spacing w:before="200" w:after="120"/>
              <w:ind w:hanging="0" w:start="0" w:end="0"/>
              <w:rPr/>
            </w:pPr>
            <w:bookmarkStart w:id="21" w:name="completion-delay-penalty"/>
            <w:bookmarkEnd w:id="21"/>
            <w:r>
              <w:rPr/>
              <w:t>6 Completion, delay, penalty</w:t>
            </w:r>
          </w:p>
        </w:tc>
      </w:tr>
      <w:tr>
        <w:trPr/>
        <w:tc>
          <w:tcPr>
            <w:tcW w:w="7569" w:type="dxa"/>
            <w:tcBorders/>
            <w:vAlign w:val="center"/>
          </w:tcPr>
          <w:p>
            <w:pPr>
              <w:pStyle w:val="TableContents"/>
              <w:bidi w:val="0"/>
              <w:spacing w:before="0" w:after="283"/>
              <w:rPr/>
            </w:pPr>
            <w:r>
              <w:rPr/>
              <w:t>6.1 Die Verkäuferin verpflichtet sich, die Wohnung B-05 spätestens am 30. April 2028 bezugsfertig herzustellen und Zug um Zug gegen Zahlung der bis dahin fälligen Raten zu übergeben. Vollständige Fertigstellung einschließlich Außenanlagen, Tiefgarage und Gemeinschaftseinrichtungen ist spätestens am 31. Juli 2028 geschuldet.</w:t>
            </w:r>
          </w:p>
        </w:tc>
        <w:tc>
          <w:tcPr>
            <w:tcW w:w="7965" w:type="dxa"/>
            <w:tcBorders/>
            <w:vAlign w:val="center"/>
          </w:tcPr>
          <w:p>
            <w:pPr>
              <w:pStyle w:val="TableContents"/>
              <w:bidi w:val="0"/>
              <w:spacing w:before="0" w:after="283"/>
              <w:rPr/>
            </w:pPr>
            <w:r>
              <w:rPr/>
              <w:t>6.1. The Seller undertakes to pay the apartment B-05 at the latest by 30. To be ready for occupancy to April 2028 and handed over train by train against payment of the instalments due until then. Complete completion including outdoor facilities, underground parking and community facilities is due no later than 31 July 2028.</w:t>
            </w:r>
          </w:p>
        </w:tc>
      </w:tr>
      <w:tr>
        <w:trPr/>
        <w:tc>
          <w:tcPr>
            <w:tcW w:w="7569" w:type="dxa"/>
            <w:tcBorders/>
            <w:vAlign w:val="center"/>
          </w:tcPr>
          <w:p>
            <w:pPr>
              <w:pStyle w:val="TableContents"/>
              <w:bidi w:val="0"/>
              <w:spacing w:before="0" w:after="283"/>
              <w:rPr/>
            </w:pPr>
            <w:r>
              <w:rPr/>
              <w:t>6.2 Gerät die Verkäuferin mit der Bezugsfertigkeit in Verzug, bedarf es wegen des kalendermäßig bestimmten Termins keiner Mahnung. Die Verkäuferin haftet nach den gesetzlichen Vorschriften. Sie kann sich nur entlasten, wenn sie konkrete bauablaufbezogene Umstände darlegt, die sie nicht zu vertreten hat, einschließlich betroffenem Gewerk, Zeitraum, Auswirkungen auf Folgevorgänge und Wiederanlauf.</w:t>
            </w:r>
          </w:p>
        </w:tc>
        <w:tc>
          <w:tcPr>
            <w:tcW w:w="7965" w:type="dxa"/>
            <w:tcBorders/>
            <w:vAlign w:val="center"/>
          </w:tcPr>
          <w:p>
            <w:pPr>
              <w:pStyle w:val="TableContents"/>
              <w:bidi w:val="0"/>
              <w:spacing w:before="0" w:after="283"/>
              <w:rPr/>
            </w:pPr>
            <w:r>
              <w:rPr/>
              <w:t>6.2 If the Seller is in default with the reference skill, there is no need for a reminder due to the calendar date. The Seller is liable according to the legal regulations. It can only relieve itself if it demonstrates concrete construction-related circumstances for which it is not responsible, including the trade concerned, the period of time, the impact on subsequent operations and the restart.</w:t>
            </w:r>
          </w:p>
        </w:tc>
      </w:tr>
      <w:tr>
        <w:trPr/>
        <w:tc>
          <w:tcPr>
            <w:tcW w:w="7569" w:type="dxa"/>
            <w:tcBorders/>
            <w:vAlign w:val="center"/>
          </w:tcPr>
          <w:p>
            <w:pPr>
              <w:pStyle w:val="TableContents"/>
              <w:bidi w:val="0"/>
              <w:spacing w:before="0" w:after="283"/>
              <w:rPr/>
            </w:pPr>
            <w:r>
              <w:rPr/>
              <w:t>6.3 Für jeden begonnenen Monat des Verzugs mit der Bezugsfertigkeit schuldet die Verkäuferin eine Vertragsstrafe von 0,25 % des Kaufpreises, höchstens insgesamt 5 % des Kaufpreises. Weitergehender Verzugsschaden bleibt ersatzfähig; die Vertragsstrafe wird auf einen gleichgerichteten Schaden angerechnet.</w:t>
            </w:r>
          </w:p>
        </w:tc>
        <w:tc>
          <w:tcPr>
            <w:tcW w:w="7965" w:type="dxa"/>
            <w:tcBorders/>
            <w:vAlign w:val="center"/>
          </w:tcPr>
          <w:p>
            <w:pPr>
              <w:pStyle w:val="TableContents"/>
              <w:bidi w:val="0"/>
              <w:spacing w:before="0" w:after="283"/>
              <w:rPr/>
            </w:pPr>
            <w:r>
              <w:rPr/>
              <w:t>6.3 For each month of default with the readiness for occupancy, the Seller owes a contractual penalty of 0.25% of the Purchase Price, a maximum of 5% of the Purchase Price. Further delay damage remains reparable; the penalty shall be set off against equivalent damage.</w:t>
            </w:r>
          </w:p>
        </w:tc>
      </w:tr>
      <w:tr>
        <w:trPr/>
        <w:tc>
          <w:tcPr>
            <w:tcW w:w="7569" w:type="dxa"/>
            <w:tcBorders/>
            <w:vAlign w:val="center"/>
          </w:tcPr>
          <w:p>
            <w:pPr>
              <w:pStyle w:val="TableContents"/>
              <w:bidi w:val="0"/>
              <w:spacing w:before="0" w:after="283"/>
              <w:rPr/>
            </w:pPr>
            <w:r>
              <w:rPr/>
              <w:t>6.4 Ersatzfähig können insbesondere nachgewiesene Mehrmiete, Hotelkosten, Lagerkosten, zusätzliche Umzugskosten, Bereitstellungszinsen für noch nicht abgerufene Darlehensmittel und sonstige adäquat verursachte Mehrkosten sein. Zinsen auf bereits ausgezahlte Darlehensvaluta sind hiervon zu unterscheiden.</w:t>
            </w:r>
          </w:p>
        </w:tc>
        <w:tc>
          <w:tcPr>
            <w:tcW w:w="7965" w:type="dxa"/>
            <w:tcBorders/>
            <w:vAlign w:val="center"/>
          </w:tcPr>
          <w:p>
            <w:pPr>
              <w:pStyle w:val="TableContents"/>
              <w:bidi w:val="0"/>
              <w:spacing w:before="0" w:after="283"/>
              <w:rPr/>
            </w:pPr>
            <w:r>
              <w:rPr/>
              <w:t>6.4 Replacement may in particular be proven additional rent, hotel costs, storage costs, additional removal costs, interest on provision for loan funds not yet called up and other adequately incurred additional costs. Interest on already paid loan values must be distinguished from this.</w:t>
            </w:r>
          </w:p>
        </w:tc>
      </w:tr>
      <w:tr>
        <w:trPr/>
        <w:tc>
          <w:tcPr>
            <w:tcW w:w="7569" w:type="dxa"/>
            <w:tcBorders/>
            <w:vAlign w:val="center"/>
          </w:tcPr>
          <w:p>
            <w:pPr>
              <w:pStyle w:val="TableContents"/>
              <w:bidi w:val="0"/>
              <w:spacing w:before="0" w:after="283"/>
              <w:rPr/>
            </w:pPr>
            <w:r>
              <w:rPr/>
              <w:t>6.5 Termine verschieben sich nicht durch pauschale Hinweise auf Lieferketten, Wetter, Krankheit oder Marktlage. Eine Terminverschiebung kommt nur in Betracht, wenn die Verkäuferin unverzüglich informiert, die konkrete Bauablaufstörung darlegt und zumutbare Beschleunigungs- und Ersatzmaßnahmen ergreift.</w:t>
            </w:r>
          </w:p>
        </w:tc>
        <w:tc>
          <w:tcPr>
            <w:tcW w:w="7965" w:type="dxa"/>
            <w:tcBorders/>
            <w:vAlign w:val="center"/>
          </w:tcPr>
          <w:p>
            <w:pPr>
              <w:pStyle w:val="TableContents"/>
              <w:bidi w:val="0"/>
              <w:spacing w:before="0" w:after="283"/>
              <w:rPr/>
            </w:pPr>
            <w:r>
              <w:rPr/>
              <w:t>6.5 Dates are not postponed by blanket information on supply chains, weather, illness or market conditions. A postponement of the date is only considered if the Seller informs immediately, explains the concrete construction disruption and takes reasonable acceleration and replacement measures.</w:t>
            </w:r>
          </w:p>
        </w:tc>
      </w:tr>
      <w:tr>
        <w:trPr/>
        <w:tc>
          <w:tcPr>
            <w:tcW w:w="7569" w:type="dxa"/>
            <w:tcBorders/>
            <w:vAlign w:val="center"/>
          </w:tcPr>
          <w:p>
            <w:pPr>
              <w:pStyle w:val="Heading2"/>
              <w:bidi w:val="0"/>
              <w:spacing w:before="200" w:after="120"/>
              <w:ind w:hanging="0" w:start="0" w:end="0"/>
              <w:rPr/>
            </w:pPr>
            <w:bookmarkStart w:id="22" w:name="besitzübergabe-abnahme"/>
            <w:bookmarkEnd w:id="22"/>
            <w:r>
              <w:rPr/>
              <w:t>7 Besitzübergabe, Abnahme</w:t>
            </w:r>
          </w:p>
        </w:tc>
        <w:tc>
          <w:tcPr>
            <w:tcW w:w="7965" w:type="dxa"/>
            <w:tcBorders/>
            <w:vAlign w:val="center"/>
          </w:tcPr>
          <w:p>
            <w:pPr>
              <w:pStyle w:val="Heading2"/>
              <w:bidi w:val="0"/>
              <w:spacing w:before="200" w:after="120"/>
              <w:ind w:hanging="0" w:start="0" w:end="0"/>
              <w:rPr/>
            </w:pPr>
            <w:bookmarkStart w:id="23" w:name="transfer-of-ownership-acceptance"/>
            <w:bookmarkEnd w:id="23"/>
            <w:r>
              <w:rPr/>
              <w:t>7 Transfer of ownership, acceptance</w:t>
            </w:r>
          </w:p>
        </w:tc>
      </w:tr>
      <w:tr>
        <w:trPr/>
        <w:tc>
          <w:tcPr>
            <w:tcW w:w="7569" w:type="dxa"/>
            <w:tcBorders/>
            <w:vAlign w:val="center"/>
          </w:tcPr>
          <w:p>
            <w:pPr>
              <w:pStyle w:val="TableContents"/>
              <w:bidi w:val="0"/>
              <w:spacing w:before="0" w:after="283"/>
              <w:rPr/>
            </w:pPr>
            <w:r>
              <w:rPr/>
              <w:t>7.1 Die Besitzübergabe erfolgt nach Bezugsfertigkeit, Verkehrssicherheit der Zugänge und Zahlung oder berechtigtem Angebot der bis dahin fälligen Raten. Die Verkäuferin darf die Schlüssel nicht wegen streitiger, nicht fälliger oder berechtigt zurückbehaltener Beträge verweigern.</w:t>
            </w:r>
          </w:p>
        </w:tc>
        <w:tc>
          <w:tcPr>
            <w:tcW w:w="7965" w:type="dxa"/>
            <w:tcBorders/>
            <w:vAlign w:val="center"/>
          </w:tcPr>
          <w:p>
            <w:pPr>
              <w:pStyle w:val="TableContents"/>
              <w:bidi w:val="0"/>
              <w:spacing w:before="0" w:after="283"/>
              <w:rPr/>
            </w:pPr>
            <w:r>
              <w:rPr/>
              <w:t>7.1 The transfer of ownership takes place according to the skill of reference, traffic safety of the accesses and payment or justified offer of the installments due until then. The Seller may not refuse the keys because of disputed, undue or legitimately retained amounts.</w:t>
            </w:r>
          </w:p>
        </w:tc>
      </w:tr>
      <w:tr>
        <w:trPr/>
        <w:tc>
          <w:tcPr>
            <w:tcW w:w="7569" w:type="dxa"/>
            <w:tcBorders/>
            <w:vAlign w:val="center"/>
          </w:tcPr>
          <w:p>
            <w:pPr>
              <w:pStyle w:val="TableContents"/>
              <w:bidi w:val="0"/>
              <w:spacing w:before="0" w:after="283"/>
              <w:rPr/>
            </w:pPr>
            <w:r>
              <w:rPr/>
              <w:t>7.2 Bezugsfertigkeit setzt voraus, dass die Wohnung sicher erreichbar, abschließbar, beheizbar, mit Wasser, Abwasser, Strom, Lüftung, Sanitäreinrichtungen und funktionsfähiger Zugangssicherung nutzbar ist und keine wesentlichen Gefahrenquellen bestehen. Restarbeiten am Gemeinschaftseigentum dürfen die Nutzung nicht unzumutbar beeinträchtigen.</w:t>
            </w:r>
          </w:p>
        </w:tc>
        <w:tc>
          <w:tcPr>
            <w:tcW w:w="7965" w:type="dxa"/>
            <w:tcBorders/>
            <w:vAlign w:val="center"/>
          </w:tcPr>
          <w:p>
            <w:pPr>
              <w:pStyle w:val="TableContents"/>
              <w:bidi w:val="0"/>
              <w:spacing w:before="0" w:after="283"/>
              <w:rPr/>
            </w:pPr>
            <w:r>
              <w:rPr/>
              <w:t>7.2 Competence requires that the dwelling is safely accessible, lockable, heatable, usable with water, sewage, electricity, ventilation, sanitary facilities and functional access security and that there are no significant sources of danger. Any remaining work on the joint property must not unreasonably impair the use.</w:t>
            </w:r>
          </w:p>
        </w:tc>
      </w:tr>
      <w:tr>
        <w:trPr/>
        <w:tc>
          <w:tcPr>
            <w:tcW w:w="7569" w:type="dxa"/>
            <w:tcBorders/>
            <w:vAlign w:val="center"/>
          </w:tcPr>
          <w:p>
            <w:pPr>
              <w:pStyle w:val="TableContents"/>
              <w:bidi w:val="0"/>
              <w:spacing w:before="0" w:after="283"/>
              <w:rPr/>
            </w:pPr>
            <w:r>
              <w:rPr/>
              <w:t>7.3 Die Abnahme des Sondereigentums erfolgt durch die Käuferin persönlich oder durch eine von ihr frei gewählte bevollmächtigte Person. Die Verkäuferin lädt mindestens 14 Kalendertage vorher unter Beifügung der wesentlichen Unterlagen nach § 5.2 ein. Die Käuferin darf eine sachverständige Person hinzuziehen.</w:t>
            </w:r>
          </w:p>
        </w:tc>
        <w:tc>
          <w:tcPr>
            <w:tcW w:w="7965" w:type="dxa"/>
            <w:tcBorders/>
            <w:vAlign w:val="center"/>
          </w:tcPr>
          <w:p>
            <w:pPr>
              <w:pStyle w:val="TableContents"/>
              <w:bidi w:val="0"/>
              <w:spacing w:before="0" w:after="283"/>
              <w:rPr/>
            </w:pPr>
            <w:r>
              <w:rPr/>
              <w:t>7.3 The acceptance of the Sondereigentum takes place by the Buyer personally or by a person freely chosen by her. The Seller invites at least 14 calendar days in advance with the essential documents according to § 5.2. The Buyer may bring in an expert person.</w:t>
            </w:r>
          </w:p>
        </w:tc>
      </w:tr>
      <w:tr>
        <w:trPr/>
        <w:tc>
          <w:tcPr>
            <w:tcW w:w="7569" w:type="dxa"/>
            <w:tcBorders/>
            <w:vAlign w:val="center"/>
          </w:tcPr>
          <w:p>
            <w:pPr>
              <w:pStyle w:val="TableContents"/>
              <w:bidi w:val="0"/>
              <w:spacing w:before="0" w:after="283"/>
              <w:rPr/>
            </w:pPr>
            <w:r>
              <w:rPr/>
              <w:t>7.4 Die Abnahme des Gemeinschaftseigentums erfolgt ebenfalls durch die einzelnen Erwerber persönlich oder durch jeweils frei gewählte Vertreter. Eine Abnahme durch die Verkäuferin, eine mit ihr verbundene Person, die Erstverwalterin oder einen von der Verkäuferin einseitig benannten Sachverständigen mit bindender Wirkung für die Käuferin ist ausgeschlossen.</w:t>
            </w:r>
          </w:p>
        </w:tc>
        <w:tc>
          <w:tcPr>
            <w:tcW w:w="7965" w:type="dxa"/>
            <w:tcBorders/>
            <w:vAlign w:val="center"/>
          </w:tcPr>
          <w:p>
            <w:pPr>
              <w:pStyle w:val="TableContents"/>
              <w:bidi w:val="0"/>
              <w:spacing w:before="0" w:after="283"/>
              <w:rPr/>
            </w:pPr>
            <w:r>
              <w:rPr/>
              <w:t>7.4 The acceptance of the joint property is also carried out by the individual acquirers personally or by freely elected representatives. An acceptance by the Seller, a person associated with it, the first manager or an expert unilaterally appointed by the Seller with binding effect for the Buyer is excluded.</w:t>
            </w:r>
          </w:p>
        </w:tc>
      </w:tr>
      <w:tr>
        <w:trPr/>
        <w:tc>
          <w:tcPr>
            <w:tcW w:w="7569" w:type="dxa"/>
            <w:tcBorders/>
            <w:vAlign w:val="center"/>
          </w:tcPr>
          <w:p>
            <w:pPr>
              <w:pStyle w:val="TableContents"/>
              <w:bidi w:val="0"/>
              <w:spacing w:before="0" w:after="283"/>
              <w:rPr/>
            </w:pPr>
            <w:r>
              <w:rPr/>
              <w:t>7.5 Über jede Abnahme wird ein Protokoll erstellt. Mängel, Restarbeiten, fehlende Unterlagen, Fristen zur Beseitigung und Vorbehalte werden aufgenommen. Die Unterschrift unter das Protokoll bedeutet nur Abnahme, soweit die Käuferin dies ausdrücklich erklärt. Vorbehalte wegen Vertragsstrafe, Mängeln und fehlenden Unterlagen können im Protokoll erklärt werden.</w:t>
            </w:r>
          </w:p>
        </w:tc>
        <w:tc>
          <w:tcPr>
            <w:tcW w:w="7965" w:type="dxa"/>
            <w:tcBorders/>
            <w:vAlign w:val="center"/>
          </w:tcPr>
          <w:p>
            <w:pPr>
              <w:pStyle w:val="TableContents"/>
              <w:bidi w:val="0"/>
              <w:spacing w:before="0" w:after="283"/>
              <w:rPr/>
            </w:pPr>
            <w:r>
              <w:rPr/>
              <w:t>7.5 A protocol is drawn up for each acceptance. Defects, remaining work, missing documents, deadlines for elimination and reservations are included. The signature under the protocol only means acceptance, as far as the Buyer expressly declares this. Any reservations regarding penalty, defects and missing documents may be declared in the minutes.</w:t>
            </w:r>
          </w:p>
        </w:tc>
      </w:tr>
      <w:tr>
        <w:trPr/>
        <w:tc>
          <w:tcPr>
            <w:tcW w:w="7569" w:type="dxa"/>
            <w:tcBorders/>
            <w:vAlign w:val="center"/>
          </w:tcPr>
          <w:p>
            <w:pPr>
              <w:pStyle w:val="TableContents"/>
              <w:bidi w:val="0"/>
              <w:spacing w:before="0" w:after="283"/>
              <w:rPr/>
            </w:pPr>
            <w:r>
              <w:rPr/>
              <w:t>7.6 Verweigert die Käuferin die Abnahme unter Angabe mindestens eines Mangels, findet keine Abnahmefiktion statt. Bei Verbrauchern weist die Verkäuferin in einer etwaigen Aufforderung zur Abnahme in Textform klar auf die Rechtsfolgen einer nicht erklärten oder ohne Mangelangabe verweigerten Abnahme hin.</w:t>
            </w:r>
          </w:p>
        </w:tc>
        <w:tc>
          <w:tcPr>
            <w:tcW w:w="7965" w:type="dxa"/>
            <w:tcBorders/>
            <w:vAlign w:val="center"/>
          </w:tcPr>
          <w:p>
            <w:pPr>
              <w:pStyle w:val="TableContents"/>
              <w:bidi w:val="0"/>
              <w:spacing w:before="0" w:after="283"/>
              <w:rPr/>
            </w:pPr>
            <w:r>
              <w:rPr/>
              <w:t>7.6 If the Buyer refuses to accept by stating at least one defect, no acceptance fiction takes place. In the case of consumers, the Seller clearly indicates in a possible request for acceptance in text form the legal consequences of an unexplained or refused acceptance without specifying a defect.</w:t>
            </w:r>
          </w:p>
        </w:tc>
      </w:tr>
      <w:tr>
        <w:trPr/>
        <w:tc>
          <w:tcPr>
            <w:tcW w:w="7569" w:type="dxa"/>
            <w:tcBorders/>
            <w:vAlign w:val="center"/>
          </w:tcPr>
          <w:p>
            <w:pPr>
              <w:pStyle w:val="Heading2"/>
              <w:bidi w:val="0"/>
              <w:spacing w:before="200" w:after="120"/>
              <w:ind w:hanging="0" w:start="0" w:end="0"/>
              <w:rPr/>
            </w:pPr>
            <w:bookmarkStart w:id="24" w:name="mängelrechte-verjährung-selbstvornahme"/>
            <w:bookmarkEnd w:id="24"/>
            <w:r>
              <w:rPr/>
              <w:t>8 Mängelrechte, Verjährung, Selbstvornahme</w:t>
            </w:r>
          </w:p>
        </w:tc>
        <w:tc>
          <w:tcPr>
            <w:tcW w:w="7965" w:type="dxa"/>
            <w:tcBorders/>
            <w:vAlign w:val="center"/>
          </w:tcPr>
          <w:p>
            <w:pPr>
              <w:pStyle w:val="Heading2"/>
              <w:bidi w:val="0"/>
              <w:spacing w:before="200" w:after="120"/>
              <w:ind w:hanging="0" w:start="0" w:end="0"/>
              <w:rPr/>
            </w:pPr>
            <w:bookmarkStart w:id="25" w:name="rights-of-defects-statute-of-limitations"/>
            <w:bookmarkEnd w:id="25"/>
            <w:r>
              <w:rPr/>
              <w:t>8 Rights of defects, statute of limitations, self-provision</w:t>
            </w:r>
          </w:p>
        </w:tc>
      </w:tr>
      <w:tr>
        <w:trPr/>
        <w:tc>
          <w:tcPr>
            <w:tcW w:w="7569" w:type="dxa"/>
            <w:tcBorders/>
            <w:vAlign w:val="center"/>
          </w:tcPr>
          <w:p>
            <w:pPr>
              <w:pStyle w:val="TableContents"/>
              <w:bidi w:val="0"/>
              <w:spacing w:before="0" w:after="283"/>
              <w:rPr/>
            </w:pPr>
            <w:r>
              <w:rPr/>
              <w:t>8.1 Für Mängel gelten die gesetzlichen Vorschriften des Werkvertragsrechts. Die Verjährungsfrist für Mängelansprüche wegen Bauwerksmängeln beträgt fünf Jahre ab wirksamer Abnahme des jeweiligen Leistungsbereichs, soweit gesetzlich keine längere Frist gilt.</w:t>
            </w:r>
          </w:p>
        </w:tc>
        <w:tc>
          <w:tcPr>
            <w:tcW w:w="7965" w:type="dxa"/>
            <w:tcBorders/>
            <w:vAlign w:val="center"/>
          </w:tcPr>
          <w:p>
            <w:pPr>
              <w:pStyle w:val="TableContents"/>
              <w:bidi w:val="0"/>
              <w:spacing w:before="0" w:after="283"/>
              <w:rPr/>
            </w:pPr>
            <w:r>
              <w:rPr/>
              <w:t>8.1 For defects, the statutory provisions of the work contract law apply. The limitation period for claims for defects due to structural defects is five years from the effective acceptance of the respective service area, as far as no longer period applies by law.</w:t>
            </w:r>
          </w:p>
        </w:tc>
      </w:tr>
      <w:tr>
        <w:trPr/>
        <w:tc>
          <w:tcPr>
            <w:tcW w:w="7569" w:type="dxa"/>
            <w:tcBorders/>
            <w:vAlign w:val="center"/>
          </w:tcPr>
          <w:p>
            <w:pPr>
              <w:pStyle w:val="TableContents"/>
              <w:bidi w:val="0"/>
              <w:spacing w:before="0" w:after="283"/>
              <w:rPr/>
            </w:pPr>
            <w:r>
              <w:rPr/>
              <w:t>8.2 Mängel sollen der Verkäuferin in Textform angezeigt werden. Die Anzeige ist keine Voraussetzung für das Bestehen der gesetzlichen Mängelrechte. Die Käuferin setzt der Verkäuferin grundsätzlich eine angemessene Frist zur Nacherfüllung; bei Gefahr, ernsthafter und endgültiger Verweigerung, besonderer Dringlichkeit oder Fehlschlagen der Nacherfüllung gelten die gesetzlichen Ausnahmen.</w:t>
            </w:r>
          </w:p>
        </w:tc>
        <w:tc>
          <w:tcPr>
            <w:tcW w:w="7965" w:type="dxa"/>
            <w:tcBorders/>
            <w:vAlign w:val="center"/>
          </w:tcPr>
          <w:p>
            <w:pPr>
              <w:pStyle w:val="TableContents"/>
              <w:bidi w:val="0"/>
              <w:spacing w:before="0" w:after="283"/>
              <w:rPr/>
            </w:pPr>
            <w:r>
              <w:rPr/>
              <w:t>8.2 Defects should be reported to the Seller in text form. The notification is not a prerequisite for the existence of the legal defect rights. The Buyer shall in principle set the Seller a reasonable period for subsequent performance; in the event of danger, serious and final refusal, special urgency or failure of subsequent performance, the legal exceptions apply.</w:t>
            </w:r>
          </w:p>
        </w:tc>
      </w:tr>
      <w:tr>
        <w:trPr/>
        <w:tc>
          <w:tcPr>
            <w:tcW w:w="7569" w:type="dxa"/>
            <w:tcBorders/>
            <w:vAlign w:val="center"/>
          </w:tcPr>
          <w:p>
            <w:pPr>
              <w:pStyle w:val="TableContents"/>
              <w:bidi w:val="0"/>
              <w:spacing w:before="0" w:after="283"/>
              <w:rPr/>
            </w:pPr>
            <w:r>
              <w:rPr/>
              <w:t>8.3 Die Käuferin kann nach fruchtlosem Ablauf einer angemessenen Frist die gesetzlichen Rechte geltend machen, insbesondere Nacherfüllung, Selbstvornahme mit Aufwendungsersatz, Minderung, Rücktritt, Schadensersatz und Vorschuss, soweit die jeweiligen gesetzlichen Voraussetzungen vorliegen.</w:t>
            </w:r>
          </w:p>
        </w:tc>
        <w:tc>
          <w:tcPr>
            <w:tcW w:w="7965" w:type="dxa"/>
            <w:tcBorders/>
            <w:vAlign w:val="center"/>
          </w:tcPr>
          <w:p>
            <w:pPr>
              <w:pStyle w:val="TableContents"/>
              <w:bidi w:val="0"/>
              <w:spacing w:before="0" w:after="283"/>
              <w:rPr/>
            </w:pPr>
            <w:r>
              <w:rPr/>
              <w:t>8.3 After fruitless expiration of a reasonable period, the Buyer can assert the legal rights, in particular subsequent performance, self-performance with reimbursement of expenses, reduction, cancellation, damages and advance, as far as the respective legal requirements are met.</w:t>
            </w:r>
          </w:p>
        </w:tc>
      </w:tr>
      <w:tr>
        <w:trPr/>
        <w:tc>
          <w:tcPr>
            <w:tcW w:w="7569" w:type="dxa"/>
            <w:tcBorders/>
            <w:vAlign w:val="center"/>
          </w:tcPr>
          <w:p>
            <w:pPr>
              <w:pStyle w:val="TableContents"/>
              <w:bidi w:val="0"/>
              <w:spacing w:before="0" w:after="283"/>
              <w:rPr/>
            </w:pPr>
            <w:r>
              <w:rPr/>
              <w:t>8.4 Rechte wegen arglistig verschwiegener Mängel, Organisationsverschulden, Beschaffenheitsgarantie, Vorsatz, grober Fahrlässigkeit sowie Verletzung von Leben, Körper oder Gesundheit bleiben unberührt.</w:t>
            </w:r>
          </w:p>
        </w:tc>
        <w:tc>
          <w:tcPr>
            <w:tcW w:w="7965" w:type="dxa"/>
            <w:tcBorders/>
            <w:vAlign w:val="center"/>
          </w:tcPr>
          <w:p>
            <w:pPr>
              <w:pStyle w:val="TableContents"/>
              <w:bidi w:val="0"/>
              <w:spacing w:before="0" w:after="283"/>
              <w:rPr/>
            </w:pPr>
            <w:r>
              <w:rPr/>
              <w:t>8.4 Rights due to fraudulently concealed defects, organizational fault, quality guarantee, intent, gross negligence as well as injury to life, body or health remain unaffected.</w:t>
            </w:r>
          </w:p>
        </w:tc>
      </w:tr>
      <w:tr>
        <w:trPr/>
        <w:tc>
          <w:tcPr>
            <w:tcW w:w="7569" w:type="dxa"/>
            <w:tcBorders/>
            <w:vAlign w:val="center"/>
          </w:tcPr>
          <w:p>
            <w:pPr>
              <w:pStyle w:val="TableContents"/>
              <w:bidi w:val="0"/>
              <w:spacing w:before="0" w:after="283"/>
              <w:rPr/>
            </w:pPr>
            <w:r>
              <w:rPr/>
              <w:t>8.5 Die Gemeinschaft der Wohnungseigentümer kann Mängelrechte am Gemeinschaftseigentum nach Maßgabe des WEG an sich ziehen oder geltend machen. Die individuellen Abnahme- und Vorbehaltsrechte der Käuferin werden dadurch nicht ausgeschlossen.</w:t>
            </w:r>
          </w:p>
        </w:tc>
        <w:tc>
          <w:tcPr>
            <w:tcW w:w="7965" w:type="dxa"/>
            <w:tcBorders/>
            <w:vAlign w:val="center"/>
          </w:tcPr>
          <w:p>
            <w:pPr>
              <w:pStyle w:val="TableContents"/>
              <w:bidi w:val="0"/>
              <w:spacing w:before="0" w:after="283"/>
              <w:rPr/>
            </w:pPr>
            <w:r>
              <w:rPr/>
              <w:t>8.5 The community of dwelling owners can acquire or assert defect rights in the community property in accordance with the WEG. The individual acceptance and reservation rights of the Buyer are not excluded.</w:t>
            </w:r>
          </w:p>
        </w:tc>
      </w:tr>
      <w:tr>
        <w:trPr/>
        <w:tc>
          <w:tcPr>
            <w:tcW w:w="7569" w:type="dxa"/>
            <w:tcBorders/>
            <w:vAlign w:val="center"/>
          </w:tcPr>
          <w:p>
            <w:pPr>
              <w:pStyle w:val="Heading2"/>
              <w:bidi w:val="0"/>
              <w:spacing w:before="200" w:after="120"/>
              <w:ind w:hanging="0" w:start="0" w:end="0"/>
              <w:rPr/>
            </w:pPr>
            <w:bookmarkStart w:id="26" w:name="teilungserklärung-gemeinschaft-verwaltun"/>
            <w:bookmarkEnd w:id="26"/>
            <w:r>
              <w:rPr/>
              <w:t>9 Teilungserklärung, Gemeinschaft, Verwaltung</w:t>
            </w:r>
          </w:p>
        </w:tc>
        <w:tc>
          <w:tcPr>
            <w:tcW w:w="7965" w:type="dxa"/>
            <w:tcBorders/>
            <w:vAlign w:val="center"/>
          </w:tcPr>
          <w:p>
            <w:pPr>
              <w:pStyle w:val="Heading2"/>
              <w:bidi w:val="0"/>
              <w:spacing w:before="200" w:after="120"/>
              <w:ind w:hanging="0" w:start="0" w:end="0"/>
              <w:rPr/>
            </w:pPr>
            <w:bookmarkStart w:id="27" w:name="declaration-of-division-community-admini"/>
            <w:bookmarkEnd w:id="27"/>
            <w:r>
              <w:rPr/>
              <w:t>9 Declaration of division, Community, administration</w:t>
            </w:r>
          </w:p>
        </w:tc>
      </w:tr>
      <w:tr>
        <w:trPr/>
        <w:tc>
          <w:tcPr>
            <w:tcW w:w="7569" w:type="dxa"/>
            <w:tcBorders/>
            <w:vAlign w:val="center"/>
          </w:tcPr>
          <w:p>
            <w:pPr>
              <w:pStyle w:val="TableContents"/>
              <w:bidi w:val="0"/>
              <w:spacing w:before="0" w:after="283"/>
              <w:rPr/>
            </w:pPr>
            <w:r>
              <w:rPr/>
              <w:t>9.1 Die Käuferin tritt mit Eigentumsumschreibung in die Gemeinschaftsordnung ein. Die Verkäuferin versichert, dass die Gemeinschaftsordnung keine von der Käuferin nicht erkennbare Kostenlast für fremde Sondernutzungsbereiche begründet und keine Instandhaltungspflichten am tragenden oder sicherheitsrelevanten Gemeinschaftseigentum auf einzelne Eigentümer verlagert.</w:t>
            </w:r>
          </w:p>
        </w:tc>
        <w:tc>
          <w:tcPr>
            <w:tcW w:w="7965" w:type="dxa"/>
            <w:tcBorders/>
            <w:vAlign w:val="center"/>
          </w:tcPr>
          <w:p>
            <w:pPr>
              <w:pStyle w:val="TableContents"/>
              <w:bidi w:val="0"/>
              <w:spacing w:before="0" w:after="283"/>
              <w:rPr/>
            </w:pPr>
            <w:r>
              <w:rPr/>
              <w:t>9.1 The Buyer enters the community order with property transfer. The Seller assures that the community regulations do not create any cost burden for third-party special use areas that cannot be seen by the Buyer and do not shift any maintenance obligations on the load-bearing or safety-relevant joint ownership to individual owners.</w:t>
            </w:r>
          </w:p>
        </w:tc>
      </w:tr>
      <w:tr>
        <w:trPr/>
        <w:tc>
          <w:tcPr>
            <w:tcW w:w="7569" w:type="dxa"/>
            <w:tcBorders/>
            <w:vAlign w:val="center"/>
          </w:tcPr>
          <w:p>
            <w:pPr>
              <w:pStyle w:val="TableContents"/>
              <w:bidi w:val="0"/>
              <w:spacing w:before="0" w:after="283"/>
              <w:rPr/>
            </w:pPr>
            <w:r>
              <w:rPr/>
              <w:t>9.2 Änderungen der Teilungserklärung nach Beurkundung sind nur zulässig, soweit sie zur Durchführung des Vollzugs, zur Beseitigung von Vollzugshindernissen oder zur Anpassung an öffentlich-rechtliche Anforderungen erforderlich sind und Lage, Zuschnitt, Größe, Wert, Gebrauchstauglichkeit, Kostenlast und Stimmrechte der Käuferin nicht nachteilig berühren. Änderungen mit nachteiliger Wirkung bedürfen der Zustimmung der Käuferin.</w:t>
            </w:r>
          </w:p>
        </w:tc>
        <w:tc>
          <w:tcPr>
            <w:tcW w:w="7965" w:type="dxa"/>
            <w:tcBorders/>
            <w:vAlign w:val="center"/>
          </w:tcPr>
          <w:p>
            <w:pPr>
              <w:pStyle w:val="TableContents"/>
              <w:bidi w:val="0"/>
              <w:spacing w:before="0" w:after="283"/>
              <w:rPr/>
            </w:pPr>
            <w:r>
              <w:rPr/>
              <w:t>9.2 Changes to the declaration of division after certification are only permissible insofar as they are necessary for the execution of the execution, for the removal of impediments to execution or for adaptation to public law requirements and do not adversely affect the Buyer’s position, blank, size, value, suitability for use, cost burden and voting rights. Changes with adverse effect require the consent of the Buyer.</w:t>
            </w:r>
          </w:p>
        </w:tc>
      </w:tr>
      <w:tr>
        <w:trPr/>
        <w:tc>
          <w:tcPr>
            <w:tcW w:w="7569" w:type="dxa"/>
            <w:tcBorders/>
            <w:vAlign w:val="center"/>
          </w:tcPr>
          <w:p>
            <w:pPr>
              <w:pStyle w:val="TableContents"/>
              <w:bidi w:val="0"/>
              <w:spacing w:before="0" w:after="283"/>
              <w:rPr/>
            </w:pPr>
            <w:r>
              <w:rPr/>
              <w:t>9.3 Die Erstverwaltung wird für höchstens zwei Jahre bestellt. Der Verwaltervertrag darf marktübliche Vergütung und Laufzeit nicht überschreiten und muss eine ordentliche Kündigungsmöglichkeit der Gemeinschaft nach Ablauf des ersten Verwaltungsjahres vorsehen.</w:t>
            </w:r>
          </w:p>
        </w:tc>
        <w:tc>
          <w:tcPr>
            <w:tcW w:w="7965" w:type="dxa"/>
            <w:tcBorders/>
            <w:vAlign w:val="center"/>
          </w:tcPr>
          <w:p>
            <w:pPr>
              <w:pStyle w:val="TableContents"/>
              <w:bidi w:val="0"/>
              <w:spacing w:before="0" w:after="283"/>
              <w:rPr/>
            </w:pPr>
            <w:r>
              <w:rPr/>
              <w:t>9.3 The initial administration shall be appointed for a maximum period of two years. The management contract shall not exceed market remuneration and maturity and shall provide for ordinary termination by the Community after the end of the first administrative year.</w:t>
            </w:r>
          </w:p>
        </w:tc>
      </w:tr>
      <w:tr>
        <w:trPr/>
        <w:tc>
          <w:tcPr>
            <w:tcW w:w="7569" w:type="dxa"/>
            <w:tcBorders/>
            <w:vAlign w:val="center"/>
          </w:tcPr>
          <w:p>
            <w:pPr>
              <w:pStyle w:val="TableContents"/>
              <w:bidi w:val="0"/>
              <w:spacing w:before="0" w:after="283"/>
              <w:rPr/>
            </w:pPr>
            <w:r>
              <w:rPr/>
              <w:t>9.4 Die Verkäuferin übergibt der Gemeinschaft spätestens drei Monate nach erster Eigentumsumschreibung eine geordnete Projektdokumentation mit Wartungsverträgen, Gewährleistungsübersicht, Prüfprotokollen, Revisionsunterlagen und Kontaktdaten der ausführenden Unternehmen.</w:t>
            </w:r>
          </w:p>
        </w:tc>
        <w:tc>
          <w:tcPr>
            <w:tcW w:w="7965" w:type="dxa"/>
            <w:tcBorders/>
            <w:vAlign w:val="center"/>
          </w:tcPr>
          <w:p>
            <w:pPr>
              <w:pStyle w:val="TableContents"/>
              <w:bidi w:val="0"/>
              <w:spacing w:before="0" w:after="283"/>
              <w:rPr/>
            </w:pPr>
            <w:r>
              <w:rPr/>
              <w:t>9.4 At the latest three months after the first transfer of ownership, the Seller shall provide the Community with an orderly project documentation with maintenance contracts, warranty overview, test reports, audit documents and contact details of the executing companies.</w:t>
            </w:r>
          </w:p>
        </w:tc>
      </w:tr>
      <w:tr>
        <w:trPr/>
        <w:tc>
          <w:tcPr>
            <w:tcW w:w="7569" w:type="dxa"/>
            <w:tcBorders/>
            <w:vAlign w:val="center"/>
          </w:tcPr>
          <w:p>
            <w:pPr>
              <w:pStyle w:val="Heading2"/>
              <w:bidi w:val="0"/>
              <w:spacing w:before="200" w:after="120"/>
              <w:ind w:hanging="0" w:start="0" w:end="0"/>
              <w:rPr/>
            </w:pPr>
            <w:bookmarkStart w:id="28" w:name="eigentumssicherung-vormerkung-lastenfrei"/>
            <w:bookmarkEnd w:id="28"/>
            <w:r>
              <w:rPr/>
              <w:t>10 Eigentumssicherung, Vormerkung, Lastenfreistellung, Auflassung</w:t>
            </w:r>
          </w:p>
        </w:tc>
        <w:tc>
          <w:tcPr>
            <w:tcW w:w="7965" w:type="dxa"/>
            <w:tcBorders/>
            <w:vAlign w:val="center"/>
          </w:tcPr>
          <w:p>
            <w:pPr>
              <w:pStyle w:val="Heading2"/>
              <w:bidi w:val="0"/>
              <w:spacing w:before="200" w:after="120"/>
              <w:ind w:hanging="0" w:start="0" w:end="0"/>
              <w:rPr/>
            </w:pPr>
            <w:bookmarkStart w:id="29" w:name="safeguarding-of-property-reservation-rel"/>
            <w:bookmarkEnd w:id="29"/>
            <w:r>
              <w:rPr/>
              <w:t>10 Safeguarding of property, reservation, release of burdens, dissolution</w:t>
            </w:r>
          </w:p>
        </w:tc>
      </w:tr>
      <w:tr>
        <w:trPr/>
        <w:tc>
          <w:tcPr>
            <w:tcW w:w="7569" w:type="dxa"/>
            <w:tcBorders/>
            <w:vAlign w:val="center"/>
          </w:tcPr>
          <w:p>
            <w:pPr>
              <w:pStyle w:val="TableContents"/>
              <w:bidi w:val="0"/>
              <w:spacing w:before="0" w:after="283"/>
              <w:rPr/>
            </w:pPr>
            <w:r>
              <w:rPr/>
              <w:t>10.1 Zur Sicherung des Anspruchs der Käuferin auf Eigentumsverschaffung bewilligt und beantragt die Verkäuferin die Eintragung einer Auflassungsvormerkung im Grundbuch zugunsten der Käuferin.</w:t>
            </w:r>
          </w:p>
        </w:tc>
        <w:tc>
          <w:tcPr>
            <w:tcW w:w="7965" w:type="dxa"/>
            <w:tcBorders/>
            <w:vAlign w:val="center"/>
          </w:tcPr>
          <w:p>
            <w:pPr>
              <w:pStyle w:val="TableContents"/>
              <w:bidi w:val="0"/>
              <w:spacing w:before="0" w:after="283"/>
              <w:rPr/>
            </w:pPr>
            <w:r>
              <w:rPr/>
              <w:t>10.1 In order to secure the Buyer’s right to property acquisition, the Seller authorizes and requests the entry of an insolvency reserve in the Land Register for the benefit of the Buyer.</w:t>
            </w:r>
          </w:p>
        </w:tc>
      </w:tr>
      <w:tr>
        <w:trPr/>
        <w:tc>
          <w:tcPr>
            <w:tcW w:w="7569" w:type="dxa"/>
            <w:tcBorders/>
            <w:vAlign w:val="center"/>
          </w:tcPr>
          <w:p>
            <w:pPr>
              <w:pStyle w:val="TableContents"/>
              <w:bidi w:val="0"/>
              <w:spacing w:before="0" w:after="283"/>
              <w:rPr/>
            </w:pPr>
            <w:r>
              <w:rPr/>
              <w:t>10.2 Die Vormerkung darf nur gelöscht werden, wenn entweder die Eigentumsumschreibung auf die Käuferin vollzogen ist oder die Käuferin in öffentlich beglaubigter Form zustimmt oder eine rechtskräftige Entscheidung die Löschung erlaubt. Eine Löschung allein aufgrund einseitiger Mitteilung der Verkäuferin ist ausgeschlossen.</w:t>
            </w:r>
          </w:p>
        </w:tc>
        <w:tc>
          <w:tcPr>
            <w:tcW w:w="7965" w:type="dxa"/>
            <w:tcBorders/>
            <w:vAlign w:val="center"/>
          </w:tcPr>
          <w:p>
            <w:pPr>
              <w:pStyle w:val="TableContents"/>
              <w:bidi w:val="0"/>
              <w:spacing w:before="0" w:after="283"/>
              <w:rPr/>
            </w:pPr>
            <w:r>
              <w:rPr/>
              <w:t>10.2 The prior notice may only be deleted if either the property transfer to the Buyer has been completed or the Buyer agrees in publicly certified form or a legally binding decision allows the deletion. A deletion solely on the basis of unilateral notification of the Seller is excluded.</w:t>
            </w:r>
          </w:p>
        </w:tc>
      </w:tr>
      <w:tr>
        <w:trPr/>
        <w:tc>
          <w:tcPr>
            <w:tcW w:w="7569" w:type="dxa"/>
            <w:tcBorders/>
            <w:vAlign w:val="center"/>
          </w:tcPr>
          <w:p>
            <w:pPr>
              <w:pStyle w:val="TableContents"/>
              <w:bidi w:val="0"/>
              <w:spacing w:before="0" w:after="283"/>
              <w:rPr/>
            </w:pPr>
            <w:r>
              <w:rPr/>
              <w:t>10.3 Die Verkäuferin verpflichtet sich, die Lastenfreistellung des Kaufgegenstands von der Globalgrundschuld zu bewirken, soweit diese nicht der Finanzierung der Käuferin dient. Die Freistellungserklärung muss sicherstellen, dass die Käuferin lastenfreies Eigentum erhält, wenn sie die nach diesem Vertrag fälligen Beträge zahlt.</w:t>
            </w:r>
          </w:p>
        </w:tc>
        <w:tc>
          <w:tcPr>
            <w:tcW w:w="7965" w:type="dxa"/>
            <w:tcBorders/>
            <w:vAlign w:val="center"/>
          </w:tcPr>
          <w:p>
            <w:pPr>
              <w:pStyle w:val="TableContents"/>
              <w:bidi w:val="0"/>
              <w:spacing w:before="0" w:after="283"/>
              <w:rPr/>
            </w:pPr>
            <w:r>
              <w:rPr/>
              <w:t>10.3 The Seller undertakes to effect the load release of the Purchased Property from the global mortgage, insofar as this does not serve the financing of the Buyer. The declaration of exemption must ensure that the Buyer receives free property when paying the amounts due under this contract.</w:t>
            </w:r>
          </w:p>
        </w:tc>
      </w:tr>
      <w:tr>
        <w:trPr/>
        <w:tc>
          <w:tcPr>
            <w:tcW w:w="7569" w:type="dxa"/>
            <w:tcBorders/>
            <w:vAlign w:val="center"/>
          </w:tcPr>
          <w:p>
            <w:pPr>
              <w:pStyle w:val="TableContents"/>
              <w:bidi w:val="0"/>
              <w:spacing w:before="0" w:after="283"/>
              <w:rPr/>
            </w:pPr>
            <w:r>
              <w:rPr/>
              <w:t>10.4 Die Parteien sind über den Eigentumsübergang einig. Sie bewilligen und beantragen die Eigentumsumschreibung auf die Käuferin. Die Notarin wird angewiesen, die Eigentumsumschreibung erst zu beantragen, wenn der Kaufpreis fällig und gezahlt oder hinsichtlich streitiger Restbeträge berechtigt hinterlegt oder gesichert ist, die steuerliche Unbedenklichkeitsbescheinigung vorliegt und die Lastenfreistellung gesichert ist.</w:t>
            </w:r>
          </w:p>
        </w:tc>
        <w:tc>
          <w:tcPr>
            <w:tcW w:w="7965" w:type="dxa"/>
            <w:tcBorders/>
            <w:vAlign w:val="center"/>
          </w:tcPr>
          <w:p>
            <w:pPr>
              <w:pStyle w:val="TableContents"/>
              <w:bidi w:val="0"/>
              <w:spacing w:before="0" w:after="283"/>
              <w:rPr/>
            </w:pPr>
            <w:r>
              <w:rPr/>
              <w:t>10.4 The parties agree on the transfer of ownership. You approve and apply for the property transfer to the Buyer. The Notary is instructed to apply for the transfer of property only when the Purchase Price is due and paid or is justified or secured with regard to disputed remaining amounts, the tax-safety certificate is available and the burden exemption is secured.</w:t>
            </w:r>
          </w:p>
        </w:tc>
      </w:tr>
      <w:tr>
        <w:trPr/>
        <w:tc>
          <w:tcPr>
            <w:tcW w:w="7569" w:type="dxa"/>
            <w:tcBorders/>
            <w:vAlign w:val="center"/>
          </w:tcPr>
          <w:p>
            <w:pPr>
              <w:pStyle w:val="Heading2"/>
              <w:bidi w:val="0"/>
              <w:spacing w:before="200" w:after="120"/>
              <w:ind w:hanging="0" w:start="0" w:end="0"/>
              <w:rPr/>
            </w:pPr>
            <w:bookmarkStart w:id="30" w:name="rücktritt-rückabwicklung-insolvenzrisiko"/>
            <w:bookmarkEnd w:id="30"/>
            <w:r>
              <w:rPr/>
              <w:t>11 Rücktritt, Rückabwicklung, Insolvenzrisiko</w:t>
            </w:r>
          </w:p>
        </w:tc>
        <w:tc>
          <w:tcPr>
            <w:tcW w:w="7965" w:type="dxa"/>
            <w:tcBorders/>
            <w:vAlign w:val="center"/>
          </w:tcPr>
          <w:p>
            <w:pPr>
              <w:pStyle w:val="Heading2"/>
              <w:bidi w:val="0"/>
              <w:spacing w:before="200" w:after="120"/>
              <w:ind w:hanging="0" w:start="0" w:end="0"/>
              <w:rPr/>
            </w:pPr>
            <w:bookmarkStart w:id="31" w:name="cancellation-reversal-insolvency-risk"/>
            <w:bookmarkEnd w:id="31"/>
            <w:r>
              <w:rPr/>
              <w:t>11 Cancellation, reversal, insolvency risk</w:t>
            </w:r>
          </w:p>
        </w:tc>
      </w:tr>
      <w:tr>
        <w:trPr/>
        <w:tc>
          <w:tcPr>
            <w:tcW w:w="7569" w:type="dxa"/>
            <w:tcBorders/>
            <w:vAlign w:val="center"/>
          </w:tcPr>
          <w:p>
            <w:pPr>
              <w:pStyle w:val="TableContents"/>
              <w:bidi w:val="0"/>
              <w:spacing w:before="0" w:after="283"/>
              <w:rPr/>
            </w:pPr>
            <w:r>
              <w:rPr/>
              <w:t>11.1 Rücktrittsrechte richten sich nach dem Gesetz. Die Verkäuferin darf wegen Zahlungsverzugs erst zurücktreten, wenn eine fällige, unstreitige und nicht berechtigt zurückbehaltene Rate trotz schriftlicher Mahnung und angemessener Nachfrist nicht gezahlt wird.</w:t>
            </w:r>
          </w:p>
        </w:tc>
        <w:tc>
          <w:tcPr>
            <w:tcW w:w="7965" w:type="dxa"/>
            <w:tcBorders/>
            <w:vAlign w:val="center"/>
          </w:tcPr>
          <w:p>
            <w:pPr>
              <w:pStyle w:val="TableContents"/>
              <w:bidi w:val="0"/>
              <w:spacing w:before="0" w:after="283"/>
              <w:rPr/>
            </w:pPr>
            <w:r>
              <w:rPr/>
              <w:t>11.1 Rights of withdrawal shall be governed by law. The Seller may only withdraw due to late payment if a due, undisputed and not entitled withheld installment is not paid despite a written reminder and a reasonable grace period.</w:t>
            </w:r>
          </w:p>
        </w:tc>
      </w:tr>
      <w:tr>
        <w:trPr/>
        <w:tc>
          <w:tcPr>
            <w:tcW w:w="7569" w:type="dxa"/>
            <w:tcBorders/>
            <w:vAlign w:val="center"/>
          </w:tcPr>
          <w:p>
            <w:pPr>
              <w:pStyle w:val="TableContents"/>
              <w:bidi w:val="0"/>
              <w:spacing w:before="0" w:after="283"/>
              <w:rPr/>
            </w:pPr>
            <w:r>
              <w:rPr/>
              <w:t>11.2 Im Fall der Rückabwicklung sind empfangene Leistungen Zug um Zug zurückzugewähren. Eine Löschung der Vormerkung erfolgt erst nach Rückzahlung der von der Käuferin geleisteten Beträge oder nach gesicherter Hinterlegung, soweit nicht eine rechtskräftige Entscheidung etwas anderes bestimmt.</w:t>
            </w:r>
          </w:p>
        </w:tc>
        <w:tc>
          <w:tcPr>
            <w:tcW w:w="7965" w:type="dxa"/>
            <w:tcBorders/>
            <w:vAlign w:val="center"/>
          </w:tcPr>
          <w:p>
            <w:pPr>
              <w:pStyle w:val="TableContents"/>
              <w:bidi w:val="0"/>
              <w:spacing w:before="0" w:after="283"/>
              <w:rPr/>
            </w:pPr>
            <w:r>
              <w:rPr/>
              <w:t>11.2 In the case of rewinding, received services must be returned train by train. A deletion of the reservation takes place only after repayment of the amounts made by the Buyer or after secure deposit, unless a legally binding decision provides otherwise.</w:t>
            </w:r>
          </w:p>
        </w:tc>
      </w:tr>
      <w:tr>
        <w:trPr/>
        <w:tc>
          <w:tcPr>
            <w:tcW w:w="7569" w:type="dxa"/>
            <w:tcBorders/>
            <w:vAlign w:val="center"/>
          </w:tcPr>
          <w:p>
            <w:pPr>
              <w:pStyle w:val="TableContents"/>
              <w:bidi w:val="0"/>
              <w:spacing w:before="0" w:after="283"/>
              <w:rPr/>
            </w:pPr>
            <w:r>
              <w:rPr/>
              <w:t>11.3 Im Fall wirtschaftlicher Krise der Verkäuferin darf die Käuferin Zahlungen bis zur Klärung der Fälligkeit, Sicherheitenlage und Lastenfreistellung zurückhalten, soweit konkrete Zweifel an der ordnungsgemäßen Vertragserfüllung bestehen. Gesetzliche Rechte im Insolvenzfall bleiben unberührt.</w:t>
            </w:r>
          </w:p>
        </w:tc>
        <w:tc>
          <w:tcPr>
            <w:tcW w:w="7965" w:type="dxa"/>
            <w:tcBorders/>
            <w:vAlign w:val="center"/>
          </w:tcPr>
          <w:p>
            <w:pPr>
              <w:pStyle w:val="TableContents"/>
              <w:bidi w:val="0"/>
              <w:spacing w:before="0" w:after="283"/>
              <w:rPr/>
            </w:pPr>
            <w:r>
              <w:rPr/>
              <w:t>11.3 In the event of an economic crisis of the Seller, the Buyer may withhold payments until the due date, collateral position and load release are clarified, insofar as there are concrete doubts about the proper performance of the contract. Legal rights in the event of insolvency remain unaffected.</w:t>
            </w:r>
          </w:p>
        </w:tc>
      </w:tr>
      <w:tr>
        <w:trPr/>
        <w:tc>
          <w:tcPr>
            <w:tcW w:w="7569" w:type="dxa"/>
            <w:tcBorders/>
            <w:vAlign w:val="center"/>
          </w:tcPr>
          <w:p>
            <w:pPr>
              <w:pStyle w:val="Heading2"/>
              <w:bidi w:val="0"/>
              <w:spacing w:before="200" w:after="120"/>
              <w:ind w:hanging="0" w:start="0" w:end="0"/>
              <w:rPr/>
            </w:pPr>
            <w:bookmarkStart w:id="32" w:name="datenschutz-kommunikation-zustellungen"/>
            <w:bookmarkEnd w:id="32"/>
            <w:r>
              <w:rPr/>
              <w:t>12 Datenschutz, Kommunikation, Zustellungen</w:t>
            </w:r>
          </w:p>
        </w:tc>
        <w:tc>
          <w:tcPr>
            <w:tcW w:w="7965" w:type="dxa"/>
            <w:tcBorders/>
            <w:vAlign w:val="center"/>
          </w:tcPr>
          <w:p>
            <w:pPr>
              <w:pStyle w:val="Heading2"/>
              <w:bidi w:val="0"/>
              <w:spacing w:before="200" w:after="120"/>
              <w:ind w:hanging="0" w:start="0" w:end="0"/>
              <w:rPr/>
            </w:pPr>
            <w:bookmarkStart w:id="33" w:name="data-protection-communication-service"/>
            <w:bookmarkEnd w:id="33"/>
            <w:r>
              <w:rPr/>
              <w:t>12 Data protection, communication, service</w:t>
            </w:r>
          </w:p>
        </w:tc>
      </w:tr>
      <w:tr>
        <w:trPr/>
        <w:tc>
          <w:tcPr>
            <w:tcW w:w="7569" w:type="dxa"/>
            <w:tcBorders/>
            <w:vAlign w:val="center"/>
          </w:tcPr>
          <w:p>
            <w:pPr>
              <w:pStyle w:val="TableContents"/>
              <w:bidi w:val="0"/>
              <w:spacing w:before="0" w:after="283"/>
              <w:rPr/>
            </w:pPr>
            <w:r>
              <w:rPr/>
              <w:t>12.1 Die Parteien kommunizieren während der Bauzeit ergänzend in Textform über die in dieser Urkunde angegebenen Adressen und E-Mail-Adressen. Rechtlich formbedürftige Erklärungen bleiben der gesetzlich vorgeschriebenen Form vorbehalten.</w:t>
            </w:r>
          </w:p>
        </w:tc>
        <w:tc>
          <w:tcPr>
            <w:tcW w:w="7965" w:type="dxa"/>
            <w:tcBorders/>
            <w:vAlign w:val="center"/>
          </w:tcPr>
          <w:p>
            <w:pPr>
              <w:pStyle w:val="TableContents"/>
              <w:bidi w:val="0"/>
              <w:spacing w:before="0" w:after="283"/>
              <w:rPr/>
            </w:pPr>
            <w:r>
              <w:rPr/>
              <w:t>12.1 During the construction period, the parties additionally communicate in text form via the addresses and e-mail addresses specified in this document. Legally form-needed declarations are reserved for the legally prescribed form.</w:t>
            </w:r>
          </w:p>
        </w:tc>
      </w:tr>
      <w:tr>
        <w:trPr/>
        <w:tc>
          <w:tcPr>
            <w:tcW w:w="7569" w:type="dxa"/>
            <w:tcBorders/>
            <w:vAlign w:val="center"/>
          </w:tcPr>
          <w:p>
            <w:pPr>
              <w:pStyle w:val="TableContents"/>
              <w:bidi w:val="0"/>
              <w:spacing w:before="0" w:after="283"/>
              <w:rPr/>
            </w:pPr>
            <w:r>
              <w:rPr/>
              <w:t>12.2 Die Verkäuferin verarbeitet personenbezogene Daten der Käuferin nur zur Vorbereitung, Durchführung und Abwicklung dieses Vertrags, zur Erfüllung gesetzlicher Pflichten und zur ordnungsgemäßen Verwaltung der Gemeinschaft. Eine Weitergabe an Planer, Bauleitung, Verwaltung, Bank, Notariat und Behörden erfolgt nur, soweit dies hierfür erforderlich ist.</w:t>
            </w:r>
          </w:p>
        </w:tc>
        <w:tc>
          <w:tcPr>
            <w:tcW w:w="7965" w:type="dxa"/>
            <w:tcBorders/>
            <w:vAlign w:val="center"/>
          </w:tcPr>
          <w:p>
            <w:pPr>
              <w:pStyle w:val="TableContents"/>
              <w:bidi w:val="0"/>
              <w:spacing w:before="0" w:after="283"/>
              <w:rPr/>
            </w:pPr>
            <w:r>
              <w:rPr/>
              <w:t>12.2 The Seller processes personal data of the Buyer only for the preparation, implementation and processing of this contract, for the fulfillment of legal obligations and for the proper administration of the community. A transfer to planners, works management, administration, bank, Notary and authorities will only take place as far as this is necessary.</w:t>
            </w:r>
          </w:p>
        </w:tc>
      </w:tr>
      <w:tr>
        <w:trPr/>
        <w:tc>
          <w:tcPr>
            <w:tcW w:w="7569" w:type="dxa"/>
            <w:tcBorders/>
            <w:vAlign w:val="center"/>
          </w:tcPr>
          <w:p>
            <w:pPr>
              <w:pStyle w:val="Heading2"/>
              <w:bidi w:val="0"/>
              <w:spacing w:before="200" w:after="120"/>
              <w:ind w:hanging="0" w:start="0" w:end="0"/>
              <w:rPr/>
            </w:pPr>
            <w:bookmarkStart w:id="34" w:name="schlussbestimmungen-belehrungen-kosten"/>
            <w:bookmarkEnd w:id="34"/>
            <w:r>
              <w:rPr/>
              <w:t>13 Schlussbestimmungen, Belehrungen, Kosten</w:t>
            </w:r>
          </w:p>
        </w:tc>
        <w:tc>
          <w:tcPr>
            <w:tcW w:w="7965" w:type="dxa"/>
            <w:tcBorders/>
            <w:vAlign w:val="center"/>
          </w:tcPr>
          <w:p>
            <w:pPr>
              <w:pStyle w:val="Heading2"/>
              <w:bidi w:val="0"/>
              <w:spacing w:before="200" w:after="120"/>
              <w:ind w:hanging="0" w:start="0" w:end="0"/>
              <w:rPr/>
            </w:pPr>
            <w:bookmarkStart w:id="35" w:name="final-provisions-instructions-costs"/>
            <w:bookmarkEnd w:id="35"/>
            <w:r>
              <w:rPr/>
              <w:t>13 Final provisions, instructions, costs</w:t>
            </w:r>
          </w:p>
        </w:tc>
      </w:tr>
      <w:tr>
        <w:trPr/>
        <w:tc>
          <w:tcPr>
            <w:tcW w:w="7569" w:type="dxa"/>
            <w:tcBorders/>
            <w:vAlign w:val="center"/>
          </w:tcPr>
          <w:p>
            <w:pPr>
              <w:pStyle w:val="TableContents"/>
              <w:bidi w:val="0"/>
              <w:spacing w:before="0" w:after="283"/>
              <w:rPr/>
            </w:pPr>
            <w:r>
              <w:rPr/>
              <w:t>13.1 Änderungen und Ergänzungen dieses Vertrags bedürfen der notariellen Beurkundung, soweit sie vor Erklärung der Auflassung den Grundstücks- oder Herstellungsgegenstand betreffen oder sonst formbedürftig sind. Nachträgliche Sonderwünsche bleiben formfrei, soweit sie keine beurkundungspflichtigen Rechte ändern.</w:t>
            </w:r>
          </w:p>
        </w:tc>
        <w:tc>
          <w:tcPr>
            <w:tcW w:w="7965" w:type="dxa"/>
            <w:tcBorders/>
            <w:vAlign w:val="center"/>
          </w:tcPr>
          <w:p>
            <w:pPr>
              <w:pStyle w:val="TableContents"/>
              <w:bidi w:val="0"/>
              <w:spacing w:before="0" w:after="283"/>
              <w:rPr/>
            </w:pPr>
            <w:r>
              <w:rPr/>
              <w:t>13.1 Amendments and additions to this contract require notarization insofar as they relate to the property or production object before declaration of disposition or are otherwise in need of form. Subsequent special requests remain form-free insofar as they do not change any legally binding rights.</w:t>
            </w:r>
          </w:p>
        </w:tc>
      </w:tr>
      <w:tr>
        <w:trPr/>
        <w:tc>
          <w:tcPr>
            <w:tcW w:w="7569" w:type="dxa"/>
            <w:tcBorders/>
            <w:vAlign w:val="center"/>
          </w:tcPr>
          <w:p>
            <w:pPr>
              <w:pStyle w:val="TableContents"/>
              <w:bidi w:val="0"/>
              <w:spacing w:before="0" w:after="283"/>
              <w:rPr/>
            </w:pPr>
            <w:r>
              <w:rPr/>
              <w:t>13.2 Sollten einzelne Bestimmungen unwirksam sein, bleibt der Vertrag im Übrigen wirksam. An die Stelle der unwirksamen Bestimmung tritt das Gesetz. Eine geltungserhaltende Reduktion zulasten der Käuferin findet nicht statt.</w:t>
            </w:r>
          </w:p>
        </w:tc>
        <w:tc>
          <w:tcPr>
            <w:tcW w:w="7965" w:type="dxa"/>
            <w:tcBorders/>
            <w:vAlign w:val="center"/>
          </w:tcPr>
          <w:p>
            <w:pPr>
              <w:pStyle w:val="TableContents"/>
              <w:bidi w:val="0"/>
              <w:spacing w:before="0" w:after="283"/>
              <w:rPr/>
            </w:pPr>
            <w:r>
              <w:rPr/>
              <w:t>13.2 If individual provisions are ineffective, the contract shall remain effective. The ineffective provision is replaced by the law. A reduction at the expense of the Buyer does not take place.</w:t>
            </w:r>
          </w:p>
        </w:tc>
      </w:tr>
      <w:tr>
        <w:trPr/>
        <w:tc>
          <w:tcPr>
            <w:tcW w:w="7569" w:type="dxa"/>
            <w:tcBorders/>
            <w:vAlign w:val="center"/>
          </w:tcPr>
          <w:p>
            <w:pPr>
              <w:pStyle w:val="TableContents"/>
              <w:bidi w:val="0"/>
              <w:spacing w:before="0" w:after="283"/>
              <w:rPr/>
            </w:pPr>
            <w:r>
              <w:rPr/>
              <w:t>13.3 Die Notarin belehrte insbesondere über die Wirkungen der Auflassungsvormerkung, die MaBV-Fälligkeitsvoraussetzungen, den 5-%-Sicherheitseinbehalt, die Bedeutung der Abnahme, die Mängelverjährung, die Lastenfreistellung, die Grunderwerbsteuer, die Eigentumsumschreibung und die Bedeutung der mitbeurkundeten Baubeschreibung.</w:t>
            </w:r>
          </w:p>
        </w:tc>
        <w:tc>
          <w:tcPr>
            <w:tcW w:w="7965" w:type="dxa"/>
            <w:tcBorders/>
            <w:vAlign w:val="center"/>
          </w:tcPr>
          <w:p>
            <w:pPr>
              <w:pStyle w:val="TableContents"/>
              <w:bidi w:val="0"/>
              <w:spacing w:before="0" w:after="283"/>
              <w:rPr/>
            </w:pPr>
            <w:r>
              <w:rPr/>
              <w:t>13.3 In particular, the Notary informed about the effects of the priority notice of conveyance, the MaBV due diligence requirements, the 5 % security retention, the significance of the acceptance, the limitation period for defects, the exemption from loads, the real estate transfer tax, the transfer of property and the significance of the co-certified Building Specification.</w:t>
            </w:r>
          </w:p>
        </w:tc>
      </w:tr>
      <w:tr>
        <w:trPr/>
        <w:tc>
          <w:tcPr>
            <w:tcW w:w="7569" w:type="dxa"/>
            <w:tcBorders/>
            <w:vAlign w:val="center"/>
          </w:tcPr>
          <w:p>
            <w:pPr>
              <w:pStyle w:val="TableContents"/>
              <w:bidi w:val="0"/>
              <w:spacing w:before="0" w:after="283"/>
              <w:rPr/>
            </w:pPr>
            <w:r>
              <w:rPr/>
              <w:t>13.4 Die Kosten dieser Urkunde, ihres Vollzugs und der Eigentumsumschreibung trägt die Käuferin, soweit sie nicht durch eine Pflichtverletzung der Verkäuferin verursacht sind. Die Kosten der Lastenfreistellung, der Löschung nicht übernommener Belastungen und der vertragsgerechten Herstellung trägt die Verkäuferin.</w:t>
            </w:r>
          </w:p>
        </w:tc>
        <w:tc>
          <w:tcPr>
            <w:tcW w:w="7965" w:type="dxa"/>
            <w:tcBorders/>
            <w:vAlign w:val="center"/>
          </w:tcPr>
          <w:p>
            <w:pPr>
              <w:pStyle w:val="TableContents"/>
              <w:bidi w:val="0"/>
              <w:spacing w:before="0" w:after="283"/>
              <w:rPr/>
            </w:pPr>
            <w:r>
              <w:rPr/>
              <w:t>13.4 The costs of this document, its execution and the transfer of property shall be borne by the Buyer, insofar as they are not caused by a breach of duty by the Seller. The costs of load release, cancellation of unaccepted loads and contractual production shall be borne by the Seller.</w:t>
            </w:r>
          </w:p>
        </w:tc>
      </w:tr>
      <w:tr>
        <w:trPr/>
        <w:tc>
          <w:tcPr>
            <w:tcW w:w="7569" w:type="dxa"/>
            <w:tcBorders/>
            <w:vAlign w:val="center"/>
          </w:tcPr>
          <w:p>
            <w:pPr>
              <w:pStyle w:val="TableContents"/>
              <w:bidi w:val="0"/>
              <w:spacing w:before="0" w:after="283"/>
              <w:rPr/>
            </w:pPr>
            <w:r>
              <w:rPr/>
              <w:t>13.5 Der Geschäftswert dieser Urkunde beträgt 742.000,00 EUR.</w:t>
            </w:r>
          </w:p>
        </w:tc>
        <w:tc>
          <w:tcPr>
            <w:tcW w:w="7965" w:type="dxa"/>
            <w:tcBorders/>
            <w:vAlign w:val="center"/>
          </w:tcPr>
          <w:p>
            <w:pPr>
              <w:pStyle w:val="TableContents"/>
              <w:bidi w:val="0"/>
              <w:spacing w:before="0" w:after="283"/>
              <w:rPr/>
            </w:pPr>
            <w:r>
              <w:rPr/>
              <w:t>13.5 The business value of this document is EUR 742,000.00.</w:t>
            </w:r>
          </w:p>
        </w:tc>
      </w:tr>
      <w:tr>
        <w:trPr/>
        <w:tc>
          <w:tcPr>
            <w:tcW w:w="7569" w:type="dxa"/>
            <w:tcBorders/>
            <w:vAlign w:val="center"/>
          </w:tcPr>
          <w:p>
            <w:pPr>
              <w:pStyle w:val="Heading2"/>
              <w:bidi w:val="0"/>
              <w:spacing w:before="200" w:after="120"/>
              <w:ind w:hanging="0" w:start="0" w:end="0"/>
              <w:rPr/>
            </w:pPr>
            <w:bookmarkStart w:id="36" w:name="auflassung"/>
            <w:bookmarkEnd w:id="36"/>
            <w:r>
              <w:rPr/>
              <w:t>14 Auflassung</w:t>
            </w:r>
          </w:p>
        </w:tc>
        <w:tc>
          <w:tcPr>
            <w:tcW w:w="7965" w:type="dxa"/>
            <w:tcBorders/>
            <w:vAlign w:val="center"/>
          </w:tcPr>
          <w:p>
            <w:pPr>
              <w:pStyle w:val="Heading2"/>
              <w:bidi w:val="0"/>
              <w:spacing w:before="200" w:after="120"/>
              <w:ind w:hanging="0" w:start="0" w:end="0"/>
              <w:rPr/>
            </w:pPr>
            <w:bookmarkStart w:id="37" w:name="termination"/>
            <w:bookmarkEnd w:id="37"/>
            <w:r>
              <w:rPr/>
              <w:t>14 Termination</w:t>
            </w:r>
          </w:p>
        </w:tc>
      </w:tr>
      <w:tr>
        <w:trPr/>
        <w:tc>
          <w:tcPr>
            <w:tcW w:w="7569" w:type="dxa"/>
            <w:tcBorders/>
            <w:vAlign w:val="center"/>
          </w:tcPr>
          <w:p>
            <w:pPr>
              <w:pStyle w:val="TableContents"/>
              <w:bidi w:val="0"/>
              <w:spacing w:before="0" w:after="283"/>
              <w:rPr/>
            </w:pPr>
            <w:r>
              <w:rPr/>
              <w:t>Die Verkäuferin und die Käuferin sind darüber einig, dass das Eigentum an dem in § 1 bezeichneten Wohnungseigentum auf die Käuferin übergeht. Die Eintragung des Eigentumswechsels im Grundbuch wird bewilligt und beantragt. Die Notarin wird angewiesen, den Antrag nach Maßgabe des § 10.4 einzureichen.</w:t>
            </w:r>
          </w:p>
        </w:tc>
        <w:tc>
          <w:tcPr>
            <w:tcW w:w="7965" w:type="dxa"/>
            <w:tcBorders/>
            <w:vAlign w:val="center"/>
          </w:tcPr>
          <w:p>
            <w:pPr>
              <w:pStyle w:val="TableContents"/>
              <w:bidi w:val="0"/>
              <w:spacing w:before="0" w:after="283"/>
              <w:rPr/>
            </w:pPr>
            <w:r>
              <w:rPr/>
              <w:t>The Seller and the Buyer agree that the ownership of the property referred to in § 1 shall be transferred to the Buyer. The registration of the change of ownership in the Land Register is approved and requested. The Notary is instructed to submit the application in accordance with § 10.4.</w:t>
            </w:r>
          </w:p>
        </w:tc>
      </w:tr>
      <w:tr>
        <w:trPr/>
        <w:tc>
          <w:tcPr>
            <w:tcW w:w="7569" w:type="dxa"/>
            <w:tcBorders/>
            <w:vAlign w:val="center"/>
          </w:tcPr>
          <w:p>
            <w:pPr>
              <w:pStyle w:val="Heading2"/>
              <w:bidi w:val="0"/>
              <w:spacing w:before="200" w:after="120"/>
              <w:ind w:hanging="0" w:start="0" w:end="0"/>
              <w:rPr/>
            </w:pPr>
            <w:bookmarkStart w:id="38" w:name="vorlesen-genehmigung-ausfertigungen"/>
            <w:bookmarkEnd w:id="38"/>
            <w:r>
              <w:rPr/>
              <w:t>15 Vorlesen, Genehmigung, Ausfertigungen</w:t>
            </w:r>
          </w:p>
        </w:tc>
        <w:tc>
          <w:tcPr>
            <w:tcW w:w="7965" w:type="dxa"/>
            <w:tcBorders/>
            <w:vAlign w:val="center"/>
          </w:tcPr>
          <w:p>
            <w:pPr>
              <w:pStyle w:val="Heading2"/>
              <w:bidi w:val="0"/>
              <w:spacing w:before="200" w:after="120"/>
              <w:ind w:hanging="0" w:start="0" w:end="0"/>
              <w:rPr/>
            </w:pPr>
            <w:bookmarkStart w:id="39" w:name="reading-out-approval-copies"/>
            <w:bookmarkEnd w:id="39"/>
            <w:r>
              <w:rPr/>
              <w:t>15 Reading out, approval, copies</w:t>
            </w:r>
          </w:p>
        </w:tc>
      </w:tr>
      <w:tr>
        <w:trPr/>
        <w:tc>
          <w:tcPr>
            <w:tcW w:w="7569" w:type="dxa"/>
            <w:tcBorders/>
            <w:vAlign w:val="center"/>
          </w:tcPr>
          <w:p>
            <w:pPr>
              <w:pStyle w:val="TableContents"/>
              <w:bidi w:val="0"/>
              <w:spacing w:before="0" w:after="283"/>
              <w:rPr/>
            </w:pPr>
            <w:r>
              <w:rPr/>
              <w:t>Diese Niederschrift wurde den Erschienenen von der Notarin vorgelesen, von ihnen genehmigt und eigenhändig unterschrieben.</w:t>
            </w:r>
          </w:p>
        </w:tc>
        <w:tc>
          <w:tcPr>
            <w:tcW w:w="7965" w:type="dxa"/>
            <w:tcBorders/>
            <w:vAlign w:val="center"/>
          </w:tcPr>
          <w:p>
            <w:pPr>
              <w:pStyle w:val="TableContents"/>
              <w:bidi w:val="0"/>
              <w:spacing w:before="0" w:after="283"/>
              <w:rPr/>
            </w:pPr>
            <w:r>
              <w:rPr/>
              <w:t>This record was read to the publications by the Notary, approved by them and signed by hand.</w:t>
            </w:r>
          </w:p>
        </w:tc>
      </w:tr>
      <w:tr>
        <w:trPr/>
        <w:tc>
          <w:tcPr>
            <w:tcW w:w="7569" w:type="dxa"/>
            <w:tcBorders/>
            <w:vAlign w:val="center"/>
          </w:tcPr>
          <w:p>
            <w:pPr>
              <w:pStyle w:val="TableContents"/>
              <w:bidi w:val="0"/>
              <w:spacing w:before="0" w:after="283"/>
              <w:rPr/>
            </w:pPr>
            <w:r>
              <w:rPr/>
              <w:t>Köln, den 18. September 2026</w:t>
            </w:r>
          </w:p>
        </w:tc>
        <w:tc>
          <w:tcPr>
            <w:tcW w:w="7965" w:type="dxa"/>
            <w:tcBorders/>
            <w:vAlign w:val="center"/>
          </w:tcPr>
          <w:p>
            <w:pPr>
              <w:pStyle w:val="TableContents"/>
              <w:bidi w:val="0"/>
              <w:spacing w:before="0" w:after="283"/>
              <w:rPr/>
            </w:pPr>
            <w:r>
              <w:rPr/>
              <w:t>Done at Cologne, 18. September 2026</w:t>
            </w:r>
          </w:p>
        </w:tc>
      </w:tr>
      <w:tr>
        <w:trPr/>
        <w:tc>
          <w:tcPr>
            <w:tcW w:w="7569" w:type="dxa"/>
            <w:tcBorders/>
            <w:vAlign w:val="center"/>
          </w:tcPr>
          <w:p>
            <w:pPr>
              <w:pStyle w:val="TableContents"/>
              <w:bidi w:val="0"/>
              <w:spacing w:before="0" w:after="283"/>
              <w:rPr/>
            </w:pPr>
            <w:r>
              <w:rPr>
                <w:rStyle w:val="Strong"/>
              </w:rPr>
              <w:t>Lindenhain Wohnwerte GmbH &amp; Co. KG</w:t>
            </w:r>
          </w:p>
        </w:tc>
        <w:tc>
          <w:tcPr>
            <w:tcW w:w="7965" w:type="dxa"/>
            <w:tcBorders/>
            <w:vAlign w:val="center"/>
          </w:tcPr>
          <w:p>
            <w:pPr>
              <w:pStyle w:val="TableContents"/>
              <w:bidi w:val="0"/>
              <w:spacing w:before="0" w:after="283"/>
              <w:rPr/>
            </w:pPr>
            <w:r>
              <w:rPr>
                <w:rStyle w:val="Strong"/>
              </w:rPr>
              <w:t>Lindenhain Wohnwerte GmbH &amp; Co. KG</w:t>
            </w:r>
          </w:p>
        </w:tc>
      </w:tr>
      <w:tr>
        <w:trPr/>
        <w:tc>
          <w:tcPr>
            <w:tcW w:w="7569" w:type="dxa"/>
            <w:tcBorders/>
            <w:vAlign w:val="center"/>
          </w:tcPr>
          <w:p>
            <w:pPr>
              <w:pStyle w:val="TableContents"/>
              <w:bidi w:val="0"/>
              <w:spacing w:before="0" w:after="283"/>
              <w:rPr/>
            </w:pPr>
            <w:r>
              <w:rPr/>
              <w:t>vertreten durch Herrn Jonas Reuter</w:t>
            </w:r>
          </w:p>
        </w:tc>
        <w:tc>
          <w:tcPr>
            <w:tcW w:w="7965" w:type="dxa"/>
            <w:tcBorders/>
            <w:vAlign w:val="center"/>
          </w:tcPr>
          <w:p>
            <w:pPr>
              <w:pStyle w:val="TableContents"/>
              <w:bidi w:val="0"/>
              <w:spacing w:before="0" w:after="283"/>
              <w:rPr/>
            </w:pPr>
            <w:r>
              <w:rPr/>
              <w:t>represented by Mr Jonas Reuter</w:t>
            </w:r>
          </w:p>
        </w:tc>
      </w:tr>
      <w:tr>
        <w:trPr/>
        <w:tc>
          <w:tcPr>
            <w:tcW w:w="7569" w:type="dxa"/>
            <w:tcBorders/>
            <w:vAlign w:val="center"/>
          </w:tcPr>
          <w:p>
            <w:pPr>
              <w:pStyle w:val="TableContents"/>
              <w:bidi w:val="0"/>
              <w:spacing w:before="0" w:after="283"/>
              <w:rPr/>
            </w:pPr>
            <w:r>
              <w:rPr>
                <w:rStyle w:val="Strong"/>
              </w:rPr>
              <w:t>Dr. Amelie Brandt</w:t>
            </w:r>
          </w:p>
        </w:tc>
        <w:tc>
          <w:tcPr>
            <w:tcW w:w="7965" w:type="dxa"/>
            <w:tcBorders/>
            <w:vAlign w:val="center"/>
          </w:tcPr>
          <w:p>
            <w:pPr>
              <w:pStyle w:val="TableContents"/>
              <w:bidi w:val="0"/>
              <w:spacing w:before="0" w:after="283"/>
              <w:rPr/>
            </w:pPr>
            <w:r>
              <w:rPr>
                <w:rStyle w:val="Strong"/>
              </w:rPr>
              <w:t>Dr. Amelie Brandt</w:t>
            </w:r>
          </w:p>
        </w:tc>
      </w:tr>
      <w:tr>
        <w:trPr/>
        <w:tc>
          <w:tcPr>
            <w:tcW w:w="7569" w:type="dxa"/>
            <w:tcBorders/>
            <w:vAlign w:val="center"/>
          </w:tcPr>
          <w:p>
            <w:pPr>
              <w:pStyle w:val="TableContents"/>
              <w:bidi w:val="0"/>
              <w:spacing w:before="0" w:after="283"/>
              <w:rPr/>
            </w:pPr>
            <w:r>
              <w:rPr>
                <w:rStyle w:val="Strong"/>
              </w:rPr>
              <w:t>Dr. Miriam Falkenried, Notarin</w:t>
            </w:r>
          </w:p>
        </w:tc>
        <w:tc>
          <w:tcPr>
            <w:tcW w:w="7965" w:type="dxa"/>
            <w:tcBorders/>
            <w:vAlign w:val="center"/>
          </w:tcPr>
          <w:p>
            <w:pPr>
              <w:pStyle w:val="TableContents"/>
              <w:bidi w:val="0"/>
              <w:spacing w:before="0" w:after="283"/>
              <w:rPr/>
            </w:pPr>
            <w:r>
              <w:rPr>
                <w:rStyle w:val="Strong"/>
              </w:rPr>
              <w:t>Dr. Miriam Falkenried, Notarin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569" w:type="dxa"/>
            <w:tcBorders/>
            <w:vAlign w:val="center"/>
          </w:tcPr>
          <w:p>
            <w:pPr>
              <w:pStyle w:val="Heading1"/>
              <w:bidi w:val="0"/>
              <w:spacing w:before="240" w:after="283"/>
              <w:ind w:hanging="0" w:start="0" w:end="0"/>
              <w:rPr/>
            </w:pPr>
            <w:bookmarkStart w:id="40" w:name="anlage-baubeschreibung"/>
            <w:bookmarkEnd w:id="40"/>
            <w:r>
              <w:rPr/>
              <w:t>Anlage: Baubeschreibung</w:t>
            </w:r>
          </w:p>
        </w:tc>
        <w:tc>
          <w:tcPr>
            <w:tcW w:w="7965" w:type="dxa"/>
            <w:tcBorders/>
            <w:vAlign w:val="center"/>
          </w:tcPr>
          <w:p>
            <w:pPr>
              <w:pStyle w:val="Heading1"/>
              <w:bidi w:val="0"/>
              <w:spacing w:before="240" w:after="283"/>
              <w:ind w:hanging="0" w:start="0" w:end="0"/>
              <w:rPr/>
            </w:pPr>
            <w:bookmarkStart w:id="41" w:name="annex-building-specification"/>
            <w:bookmarkEnd w:id="41"/>
            <w:r>
              <w:rPr/>
              <w:t>Annex: Building Specification</w:t>
            </w:r>
          </w:p>
        </w:tc>
      </w:tr>
      <w:tr>
        <w:trPr/>
        <w:tc>
          <w:tcPr>
            <w:tcW w:w="7569" w:type="dxa"/>
            <w:tcBorders/>
            <w:vAlign w:val="center"/>
          </w:tcPr>
          <w:p>
            <w:pPr>
              <w:pStyle w:val="Heading2"/>
              <w:bidi w:val="0"/>
              <w:spacing w:before="200" w:after="120"/>
              <w:ind w:hanging="0" w:start="0" w:end="0"/>
              <w:rPr/>
            </w:pPr>
            <w:bookmarkStart w:id="42" w:name="bauvorhaben-und-planstand"/>
            <w:bookmarkEnd w:id="42"/>
            <w:r>
              <w:rPr/>
              <w:t>Bauvorhaben und Planstand</w:t>
            </w:r>
          </w:p>
        </w:tc>
        <w:tc>
          <w:tcPr>
            <w:tcW w:w="7965" w:type="dxa"/>
            <w:tcBorders/>
            <w:vAlign w:val="center"/>
          </w:tcPr>
          <w:p>
            <w:pPr>
              <w:pStyle w:val="Heading2"/>
              <w:bidi w:val="0"/>
              <w:spacing w:before="200" w:after="120"/>
              <w:ind w:hanging="0" w:start="0" w:end="0"/>
              <w:rPr/>
            </w:pPr>
            <w:bookmarkStart w:id="43" w:name="works-and-works"/>
            <w:bookmarkEnd w:id="43"/>
            <w:r>
              <w:rPr/>
              <w:t>Works and works</w:t>
            </w:r>
          </w:p>
        </w:tc>
      </w:tr>
      <w:tr>
        <w:trPr/>
        <w:tc>
          <w:tcPr>
            <w:tcW w:w="7569" w:type="dxa"/>
            <w:tcBorders/>
            <w:vAlign w:val="center"/>
          </w:tcPr>
          <w:p>
            <w:pPr>
              <w:pStyle w:val="TableContents"/>
              <w:bidi w:val="0"/>
              <w:spacing w:before="0" w:after="283"/>
              <w:rPr/>
            </w:pPr>
            <w:r>
              <w:rPr/>
              <w:t xml:space="preserve">Projekt: Wohngebäude </w:t>
            </w:r>
            <w:r>
              <w:rPr>
                <w:rStyle w:val="Strong"/>
              </w:rPr>
              <w:t>Lindenhain 12</w:t>
            </w:r>
            <w:r>
              <w:rPr/>
              <w:t>, Lindenhainstraße 12, 50825 Köln-Ehrenfeld</w:t>
            </w:r>
          </w:p>
        </w:tc>
        <w:tc>
          <w:tcPr>
            <w:tcW w:w="7965" w:type="dxa"/>
            <w:tcBorders/>
            <w:vAlign w:val="center"/>
          </w:tcPr>
          <w:p>
            <w:pPr>
              <w:pStyle w:val="TableContents"/>
              <w:bidi w:val="0"/>
              <w:spacing w:before="0" w:after="283"/>
              <w:rPr/>
            </w:pPr>
            <w:r>
              <w:rPr/>
              <w:t>Project: residential building Lindenhain 12, Lindenhainstraße 12, 50825 Cologne-Ehrenfeld</w:t>
            </w:r>
          </w:p>
        </w:tc>
      </w:tr>
      <w:tr>
        <w:trPr/>
        <w:tc>
          <w:tcPr>
            <w:tcW w:w="7569" w:type="dxa"/>
            <w:tcBorders/>
            <w:vAlign w:val="center"/>
          </w:tcPr>
          <w:p>
            <w:pPr>
              <w:pStyle w:val="TableContents"/>
              <w:bidi w:val="0"/>
              <w:spacing w:before="0" w:after="283"/>
              <w:rPr/>
            </w:pPr>
            <w:r>
              <w:rPr/>
              <w:t>Bauträgerin: Lindenhain Wohnwerte GmbH &amp; Co. KG, Gereonstraße 18, 50670 Köln</w:t>
            </w:r>
          </w:p>
        </w:tc>
        <w:tc>
          <w:tcPr>
            <w:tcW w:w="7965" w:type="dxa"/>
            <w:tcBorders/>
            <w:vAlign w:val="center"/>
          </w:tcPr>
          <w:p>
            <w:pPr>
              <w:pStyle w:val="TableContents"/>
              <w:bidi w:val="0"/>
              <w:spacing w:before="0" w:after="283"/>
              <w:rPr/>
            </w:pPr>
            <w:r>
              <w:rPr/>
              <w:t>Property developer: Lindenhain Wohnwerte GmbH &amp; Co. KG, Gereonstraße 18, 50670 Cologne</w:t>
            </w:r>
          </w:p>
        </w:tc>
      </w:tr>
      <w:tr>
        <w:trPr/>
        <w:tc>
          <w:tcPr>
            <w:tcW w:w="7569" w:type="dxa"/>
            <w:tcBorders/>
            <w:vAlign w:val="center"/>
          </w:tcPr>
          <w:p>
            <w:pPr>
              <w:pStyle w:val="TableContents"/>
              <w:bidi w:val="0"/>
              <w:spacing w:before="0" w:after="283"/>
              <w:rPr/>
            </w:pPr>
            <w:r>
              <w:rPr/>
              <w:t>Einheit: Wohnung B-05, zweites Obergeschoss, Kellerraum K-B05, Tiefgaragenstellplatz TG-08</w:t>
            </w:r>
          </w:p>
        </w:tc>
        <w:tc>
          <w:tcPr>
            <w:tcW w:w="7965" w:type="dxa"/>
            <w:tcBorders/>
            <w:vAlign w:val="center"/>
          </w:tcPr>
          <w:p>
            <w:pPr>
              <w:pStyle w:val="TableContents"/>
              <w:bidi w:val="0"/>
              <w:spacing w:before="0" w:after="283"/>
              <w:rPr/>
            </w:pPr>
            <w:r>
              <w:rPr/>
              <w:t>Unit: Apartment B-05, second floor, basement K-B05, underground parking space TG-08</w:t>
            </w:r>
          </w:p>
        </w:tc>
      </w:tr>
      <w:tr>
        <w:trPr/>
        <w:tc>
          <w:tcPr>
            <w:tcW w:w="7569" w:type="dxa"/>
            <w:tcBorders/>
            <w:vAlign w:val="center"/>
          </w:tcPr>
          <w:p>
            <w:pPr>
              <w:pStyle w:val="TableContents"/>
              <w:bidi w:val="0"/>
              <w:spacing w:before="0" w:after="283"/>
              <w:rPr/>
            </w:pPr>
            <w:r>
              <w:rPr/>
              <w:t>Planstand: 20. August 2026, Baubeschreibung Fassung 1.0</w:t>
            </w:r>
          </w:p>
        </w:tc>
        <w:tc>
          <w:tcPr>
            <w:tcW w:w="7965" w:type="dxa"/>
            <w:tcBorders/>
            <w:vAlign w:val="center"/>
          </w:tcPr>
          <w:p>
            <w:pPr>
              <w:pStyle w:val="TableContents"/>
              <w:bidi w:val="0"/>
              <w:spacing w:before="0" w:after="283"/>
              <w:rPr/>
            </w:pPr>
            <w:r>
              <w:rPr/>
              <w:t>Planned status: 20. August 2026, Building description version 1.0</w:t>
            </w:r>
          </w:p>
        </w:tc>
      </w:tr>
      <w:tr>
        <w:trPr/>
        <w:tc>
          <w:tcPr>
            <w:tcW w:w="7569" w:type="dxa"/>
            <w:tcBorders/>
            <w:vAlign w:val="center"/>
          </w:tcPr>
          <w:p>
            <w:pPr>
              <w:pStyle w:val="TableContents"/>
              <w:bidi w:val="0"/>
              <w:spacing w:before="0" w:after="283"/>
              <w:rPr/>
            </w:pPr>
            <w:r>
              <w:rPr/>
              <w:t>Diese Baubeschreibung ist mit dem Bauträgervertrag mitbeurkundet und bestimmt das Bausoll für die Einheit B-05 sowie das für ihre Nutzung erforderliche Gemeinschaftseigentum.</w:t>
            </w:r>
          </w:p>
        </w:tc>
        <w:tc>
          <w:tcPr>
            <w:tcW w:w="7965" w:type="dxa"/>
            <w:tcBorders/>
            <w:vAlign w:val="center"/>
          </w:tcPr>
          <w:p>
            <w:pPr>
              <w:pStyle w:val="TableContents"/>
              <w:bidi w:val="0"/>
              <w:spacing w:before="0" w:after="283"/>
              <w:rPr/>
            </w:pPr>
            <w:r>
              <w:rPr/>
              <w:t>This specification is co-certified with the contract and determines the construction target for unit B-05 as well as the joint ownership required for its use.</w:t>
            </w:r>
          </w:p>
        </w:tc>
      </w:tr>
      <w:tr>
        <w:trPr/>
        <w:tc>
          <w:tcPr>
            <w:tcW w:w="7569" w:type="dxa"/>
            <w:tcBorders/>
            <w:vAlign w:val="center"/>
          </w:tcPr>
          <w:p>
            <w:pPr>
              <w:pStyle w:val="Heading2"/>
              <w:bidi w:val="0"/>
              <w:spacing w:before="200" w:after="120"/>
              <w:ind w:hanging="0" w:start="0" w:end="0"/>
              <w:rPr/>
            </w:pPr>
            <w:bookmarkStart w:id="44" w:name="grundstück-erschließung-außenanlagen"/>
            <w:bookmarkEnd w:id="44"/>
            <w:r>
              <w:rPr/>
              <w:t>1 Grundstück, Erschließung, Außenanlagen</w:t>
            </w:r>
          </w:p>
        </w:tc>
        <w:tc>
          <w:tcPr>
            <w:tcW w:w="7965" w:type="dxa"/>
            <w:tcBorders/>
            <w:vAlign w:val="center"/>
          </w:tcPr>
          <w:p>
            <w:pPr>
              <w:pStyle w:val="Heading2"/>
              <w:bidi w:val="0"/>
              <w:spacing w:before="200" w:after="120"/>
              <w:ind w:hanging="0" w:start="0" w:end="0"/>
              <w:rPr/>
            </w:pPr>
            <w:bookmarkStart w:id="45" w:name="land-development-outdoor-installations"/>
            <w:bookmarkEnd w:id="45"/>
            <w:r>
              <w:rPr/>
              <w:t>1 Land, development, outdoor installations</w:t>
            </w:r>
          </w:p>
        </w:tc>
      </w:tr>
      <w:tr>
        <w:trPr/>
        <w:tc>
          <w:tcPr>
            <w:tcW w:w="7569" w:type="dxa"/>
            <w:tcBorders/>
            <w:vAlign w:val="center"/>
          </w:tcPr>
          <w:p>
            <w:pPr>
              <w:pStyle w:val="TableContents"/>
              <w:bidi w:val="0"/>
              <w:spacing w:before="0" w:after="283"/>
              <w:rPr/>
            </w:pPr>
            <w:r>
              <w:rPr/>
              <w:t>1.1 Das Gebäude wird auf dem Grundstück Lindenhainstraße 12 in Köln-Ehrenfeld errichtet. Die Erschließung erfolgt über die Lindenhainstraße. Hauszugang, Tiefgaragenzufahrt, Feuerwehrflächen, Müllstandort, Fahrradzugang und barrierearmer Innenhofzugang werden dauerhaft hergestellt und beleuchtet.</w:t>
            </w:r>
          </w:p>
        </w:tc>
        <w:tc>
          <w:tcPr>
            <w:tcW w:w="7965" w:type="dxa"/>
            <w:tcBorders/>
            <w:vAlign w:val="center"/>
          </w:tcPr>
          <w:p>
            <w:pPr>
              <w:pStyle w:val="TableContents"/>
              <w:bidi w:val="0"/>
              <w:spacing w:before="0" w:after="283"/>
              <w:rPr/>
            </w:pPr>
            <w:r>
              <w:rPr/>
              <w:t>1.1. The building will be built on the Lindenhainstraße 12 property in Cologne-Ehrenfeld. The development takes place via the Lindenhainstraße. Home access, underground garage access, firefighting areas, garbage location, bicycle access and barrier courtyard access are permanently produced and illuminated.</w:t>
            </w:r>
          </w:p>
        </w:tc>
      </w:tr>
      <w:tr>
        <w:trPr/>
        <w:tc>
          <w:tcPr>
            <w:tcW w:w="7569" w:type="dxa"/>
            <w:tcBorders/>
            <w:vAlign w:val="center"/>
          </w:tcPr>
          <w:p>
            <w:pPr>
              <w:pStyle w:val="TableContents"/>
              <w:bidi w:val="0"/>
              <w:spacing w:before="0" w:after="283"/>
              <w:rPr/>
            </w:pPr>
            <w:r>
              <w:rPr/>
              <w:t>1.2 Die Außenanlagen umfassen gepflasterte Zugänge, begrünte Innenhofflächen, Sitzbank, Spielpunkt für Kleinkinder, Fahrradabstellflächen, Müll- und Wertstoffstandort mit Sichtschutz, Brief- und Paketstation, Außenbeleuchtung mit Bewegungsmeldern sowie Entwässerungseinrichtungen.</w:t>
            </w:r>
          </w:p>
        </w:tc>
        <w:tc>
          <w:tcPr>
            <w:tcW w:w="7965" w:type="dxa"/>
            <w:tcBorders/>
            <w:vAlign w:val="center"/>
          </w:tcPr>
          <w:p>
            <w:pPr>
              <w:pStyle w:val="TableContents"/>
              <w:bidi w:val="0"/>
              <w:spacing w:before="0" w:after="283"/>
              <w:rPr/>
            </w:pPr>
            <w:r>
              <w:rPr/>
              <w:t>1.2. The outdoor facilities include paved entrances, green courtyard areas, bench seat, play point for infants, bicycle parking areas, waste and recyclables site with privacy, letter and parcel station, outdoor lighting with motion detectors and drainage facilities.</w:t>
            </w:r>
          </w:p>
        </w:tc>
      </w:tr>
      <w:tr>
        <w:trPr/>
        <w:tc>
          <w:tcPr>
            <w:tcW w:w="7569" w:type="dxa"/>
            <w:tcBorders/>
            <w:vAlign w:val="center"/>
          </w:tcPr>
          <w:p>
            <w:pPr>
              <w:pStyle w:val="TableContents"/>
              <w:bidi w:val="0"/>
              <w:spacing w:before="0" w:after="283"/>
              <w:rPr/>
            </w:pPr>
            <w:r>
              <w:rPr/>
              <w:t>1.3 Das Dach erhält ein Retentionsgründach mit Photovoltaikanlage zur Versorgung gemeinschaftlicher Verbraucher und nach Maßgabe des Messkonzepts anteilig der Wohnungen. Einzelheiten der Abrechnung werden in der Gemeinschaftsordnung und im späteren Betreiberkonzept beschrieben.</w:t>
            </w:r>
          </w:p>
        </w:tc>
        <w:tc>
          <w:tcPr>
            <w:tcW w:w="7965" w:type="dxa"/>
            <w:tcBorders/>
            <w:vAlign w:val="center"/>
          </w:tcPr>
          <w:p>
            <w:pPr>
              <w:pStyle w:val="TableContents"/>
              <w:bidi w:val="0"/>
              <w:spacing w:before="0" w:after="283"/>
              <w:rPr/>
            </w:pPr>
            <w:r>
              <w:rPr/>
              <w:t>1.3 The roof receives a retention green roof with photovoltaic system for the supply of common consumers and in accordance with the measurement concept proportionately of the apartments. Details of the billing are described in the Community regulations and in the subsequent operator concept.</w:t>
            </w:r>
          </w:p>
        </w:tc>
      </w:tr>
      <w:tr>
        <w:trPr/>
        <w:tc>
          <w:tcPr>
            <w:tcW w:w="7569" w:type="dxa"/>
            <w:tcBorders/>
            <w:vAlign w:val="center"/>
          </w:tcPr>
          <w:p>
            <w:pPr>
              <w:pStyle w:val="Heading2"/>
              <w:bidi w:val="0"/>
              <w:spacing w:before="200" w:after="120"/>
              <w:ind w:hanging="0" w:start="0" w:end="0"/>
              <w:rPr/>
            </w:pPr>
            <w:bookmarkStart w:id="46" w:name="baugrund-gründung-abdichtung"/>
            <w:bookmarkEnd w:id="46"/>
            <w:r>
              <w:rPr/>
              <w:t>2 Baugrund, Gründung, Abdichtung</w:t>
            </w:r>
          </w:p>
        </w:tc>
        <w:tc>
          <w:tcPr>
            <w:tcW w:w="7965" w:type="dxa"/>
            <w:tcBorders/>
            <w:vAlign w:val="center"/>
          </w:tcPr>
          <w:p>
            <w:pPr>
              <w:pStyle w:val="Heading2"/>
              <w:bidi w:val="0"/>
              <w:spacing w:before="200" w:after="120"/>
              <w:ind w:hanging="0" w:start="0" w:end="0"/>
              <w:rPr/>
            </w:pPr>
            <w:bookmarkStart w:id="47" w:name="building-ground-foundation-sealing"/>
            <w:bookmarkEnd w:id="47"/>
            <w:r>
              <w:rPr/>
              <w:t>2 Building ground, foundation, sealing</w:t>
            </w:r>
          </w:p>
        </w:tc>
      </w:tr>
      <w:tr>
        <w:trPr/>
        <w:tc>
          <w:tcPr>
            <w:tcW w:w="7569" w:type="dxa"/>
            <w:tcBorders/>
            <w:vAlign w:val="center"/>
          </w:tcPr>
          <w:p>
            <w:pPr>
              <w:pStyle w:val="TableContents"/>
              <w:bidi w:val="0"/>
              <w:spacing w:before="0" w:after="283"/>
              <w:rPr/>
            </w:pPr>
            <w:r>
              <w:rPr/>
              <w:t>2.1 Grundlage ist der geotechnische Bericht RheinGeo 26-118 vom 12. Mai 2026. Die Verkäuferin schuldet eine Gründung und Abdichtung, die den dort beschriebenen Boden- und Wasserverhältnissen sowie den anerkannten Regeln der Technik zum Zeitpunkt der Abnahme entspricht.</w:t>
            </w:r>
          </w:p>
        </w:tc>
        <w:tc>
          <w:tcPr>
            <w:tcW w:w="7965" w:type="dxa"/>
            <w:tcBorders/>
            <w:vAlign w:val="center"/>
          </w:tcPr>
          <w:p>
            <w:pPr>
              <w:pStyle w:val="TableContents"/>
              <w:bidi w:val="0"/>
              <w:spacing w:before="0" w:after="283"/>
              <w:rPr/>
            </w:pPr>
            <w:r>
              <w:rPr/>
              <w:t>2.1 The basis is the geotechnical report RheinGeo 26-118 of 12 May 2026. The Seller owes a foundation and sealing, which corresponds to the soil and water conditions described there as well as the recognised rules of technology at the time of acceptance.</w:t>
            </w:r>
          </w:p>
        </w:tc>
      </w:tr>
      <w:tr>
        <w:trPr/>
        <w:tc>
          <w:tcPr>
            <w:tcW w:w="7569" w:type="dxa"/>
            <w:tcBorders/>
            <w:vAlign w:val="center"/>
          </w:tcPr>
          <w:p>
            <w:pPr>
              <w:pStyle w:val="TableContents"/>
              <w:bidi w:val="0"/>
              <w:spacing w:before="0" w:after="283"/>
              <w:rPr/>
            </w:pPr>
            <w:r>
              <w:rPr/>
              <w:t>2.2 Keller, Tiefgarage und erdberührte Bauteile werden gegen die maßgebliche Wassereinwirkung abgedichtet. Durchdringungen, Lichtschächte, Rampenanschlüsse, Fugen und Hauseinführungen werden in das Abdichtungskonzept einbezogen.</w:t>
            </w:r>
          </w:p>
        </w:tc>
        <w:tc>
          <w:tcPr>
            <w:tcW w:w="7965" w:type="dxa"/>
            <w:tcBorders/>
            <w:vAlign w:val="center"/>
          </w:tcPr>
          <w:p>
            <w:pPr>
              <w:pStyle w:val="TableContents"/>
              <w:bidi w:val="0"/>
              <w:spacing w:before="0" w:after="283"/>
              <w:rPr/>
            </w:pPr>
            <w:r>
              <w:rPr/>
              <w:t>2.2 Basements, underground garage and earth-contacted components are sealed against the relevant water exposure. Penetrations, light shafts, ramp connections, joints and home insertions are included in the sealing concept.</w:t>
            </w:r>
          </w:p>
        </w:tc>
      </w:tr>
      <w:tr>
        <w:trPr/>
        <w:tc>
          <w:tcPr>
            <w:tcW w:w="7569" w:type="dxa"/>
            <w:tcBorders/>
            <w:vAlign w:val="center"/>
          </w:tcPr>
          <w:p>
            <w:pPr>
              <w:pStyle w:val="TableContents"/>
              <w:bidi w:val="0"/>
              <w:spacing w:before="0" w:after="283"/>
              <w:rPr/>
            </w:pPr>
            <w:r>
              <w:rPr/>
              <w:t>2.3 Die Verkäuferin dokumentiert Abdichtungsarbeiten durch Ausführungsunterlagen, Fotodokumentation wesentlicher Arbeitsschritte und Fachunternehmererklärung.</w:t>
            </w:r>
          </w:p>
        </w:tc>
        <w:tc>
          <w:tcPr>
            <w:tcW w:w="7965" w:type="dxa"/>
            <w:tcBorders/>
            <w:vAlign w:val="center"/>
          </w:tcPr>
          <w:p>
            <w:pPr>
              <w:pStyle w:val="TableContents"/>
              <w:bidi w:val="0"/>
              <w:spacing w:before="0" w:after="283"/>
              <w:rPr/>
            </w:pPr>
            <w:r>
              <w:rPr/>
              <w:t>2.3 The Seller documents sealing work by means of execution documents, photo documentation of essential work steps and specialist contractor declaration.</w:t>
            </w:r>
          </w:p>
        </w:tc>
      </w:tr>
      <w:tr>
        <w:trPr/>
        <w:tc>
          <w:tcPr>
            <w:tcW w:w="7569" w:type="dxa"/>
            <w:tcBorders/>
            <w:vAlign w:val="center"/>
          </w:tcPr>
          <w:p>
            <w:pPr>
              <w:pStyle w:val="Heading2"/>
              <w:bidi w:val="0"/>
              <w:spacing w:before="200" w:after="120"/>
              <w:ind w:hanging="0" w:start="0" w:end="0"/>
              <w:rPr/>
            </w:pPr>
            <w:bookmarkStart w:id="48" w:name="konstruktion-gebäudehülle"/>
            <w:bookmarkEnd w:id="48"/>
            <w:r>
              <w:rPr/>
              <w:t>3 Konstruktion, Gebäudehülle</w:t>
            </w:r>
          </w:p>
        </w:tc>
        <w:tc>
          <w:tcPr>
            <w:tcW w:w="7965" w:type="dxa"/>
            <w:tcBorders/>
            <w:vAlign w:val="center"/>
          </w:tcPr>
          <w:p>
            <w:pPr>
              <w:pStyle w:val="Heading2"/>
              <w:bidi w:val="0"/>
              <w:spacing w:before="200" w:after="120"/>
              <w:ind w:hanging="0" w:start="0" w:end="0"/>
              <w:rPr/>
            </w:pPr>
            <w:bookmarkStart w:id="49" w:name="construction-building-envelope"/>
            <w:bookmarkEnd w:id="49"/>
            <w:r>
              <w:rPr/>
              <w:t>3 Construction, building envelope</w:t>
            </w:r>
          </w:p>
        </w:tc>
      </w:tr>
      <w:tr>
        <w:trPr/>
        <w:tc>
          <w:tcPr>
            <w:tcW w:w="7569" w:type="dxa"/>
            <w:tcBorders/>
            <w:vAlign w:val="center"/>
          </w:tcPr>
          <w:p>
            <w:pPr>
              <w:pStyle w:val="TableContents"/>
              <w:bidi w:val="0"/>
              <w:spacing w:before="0" w:after="283"/>
              <w:rPr/>
            </w:pPr>
            <w:r>
              <w:rPr/>
              <w:t>3.1 Tragwerk: Stahlbeton- und Mauerwerkskonstruktion nach Statik, Geschossdecken aus Stahlbeton, nichttragende Innenwände je nach Lage aus Mauerwerk oder Trockenbau mit geeigneter Schall- und Brandschutzqualität.</w:t>
            </w:r>
          </w:p>
        </w:tc>
        <w:tc>
          <w:tcPr>
            <w:tcW w:w="7965" w:type="dxa"/>
            <w:tcBorders/>
            <w:vAlign w:val="center"/>
          </w:tcPr>
          <w:p>
            <w:pPr>
              <w:pStyle w:val="TableContents"/>
              <w:bidi w:val="0"/>
              <w:spacing w:before="0" w:after="283"/>
              <w:rPr/>
            </w:pPr>
            <w:r>
              <w:rPr/>
              <w:t>3.1 Structure: Structure of reinforced concrete and masonry according to statics, floor ceilings of reinforced concrete, non-supporting inner walls depending on the layer of masonry or drywall with suitable sound and fire protection quality.</w:t>
            </w:r>
          </w:p>
        </w:tc>
      </w:tr>
      <w:tr>
        <w:trPr/>
        <w:tc>
          <w:tcPr>
            <w:tcW w:w="7569" w:type="dxa"/>
            <w:tcBorders/>
            <w:vAlign w:val="center"/>
          </w:tcPr>
          <w:p>
            <w:pPr>
              <w:pStyle w:val="TableContents"/>
              <w:bidi w:val="0"/>
              <w:spacing w:before="0" w:after="283"/>
              <w:rPr/>
            </w:pPr>
            <w:r>
              <w:rPr/>
              <w:t>3.2 Fassade: Wärmedämmverbundsystem oder mineralisch gedämmte Putzfassade nach Energie- und Brandschutzkonzept, farblich hell abgestimmt mit akzentuierten Laibungen. Änderungen der Farbgestaltung dürfen den wertigen Gesamteindruck nicht wesentlich mindern.</w:t>
            </w:r>
          </w:p>
        </w:tc>
        <w:tc>
          <w:tcPr>
            <w:tcW w:w="7965" w:type="dxa"/>
            <w:tcBorders/>
            <w:vAlign w:val="center"/>
          </w:tcPr>
          <w:p>
            <w:pPr>
              <w:pStyle w:val="TableContents"/>
              <w:bidi w:val="0"/>
              <w:spacing w:before="0" w:after="283"/>
              <w:rPr/>
            </w:pPr>
            <w:r>
              <w:rPr/>
              <w:t>3.2 Facade: composite thermal insulation system or mineral-insulated plaster facade according to the energy and fire protection concept, in bright color coordinated with accentuated layouts. Changes in colour design must not significantly reduce the overall impression of value.</w:t>
            </w:r>
          </w:p>
        </w:tc>
      </w:tr>
      <w:tr>
        <w:trPr/>
        <w:tc>
          <w:tcPr>
            <w:tcW w:w="7569" w:type="dxa"/>
            <w:tcBorders/>
            <w:vAlign w:val="center"/>
          </w:tcPr>
          <w:p>
            <w:pPr>
              <w:pStyle w:val="TableContents"/>
              <w:bidi w:val="0"/>
              <w:spacing w:before="0" w:after="283"/>
              <w:rPr/>
            </w:pPr>
            <w:r>
              <w:rPr/>
              <w:t>3.3 Fenster und Fenstertüren: Kunststoff-Aluminium- oder Holz-Aluminium-Elemente mit Dreifachverglasung, Dreh-Kipp-Funktion nach Planung, außenliegender Sonnenschutz an den süd- und westorientierten Aufenthaltsräumen, soweit nach Planung vorgesehen.</w:t>
            </w:r>
          </w:p>
        </w:tc>
        <w:tc>
          <w:tcPr>
            <w:tcW w:w="7965" w:type="dxa"/>
            <w:tcBorders/>
            <w:vAlign w:val="center"/>
          </w:tcPr>
          <w:p>
            <w:pPr>
              <w:pStyle w:val="TableContents"/>
              <w:bidi w:val="0"/>
              <w:spacing w:before="0" w:after="283"/>
              <w:rPr/>
            </w:pPr>
            <w:r>
              <w:rPr/>
              <w:t>3.3 Windows and windows: plastic aluminium or wood aluminium elements with triple glazing, turn-tilt function after design, external sun protection on the south- and west-oriented lounges, if intended after design.</w:t>
            </w:r>
          </w:p>
        </w:tc>
      </w:tr>
      <w:tr>
        <w:trPr/>
        <w:tc>
          <w:tcPr>
            <w:tcW w:w="7569" w:type="dxa"/>
            <w:tcBorders/>
            <w:vAlign w:val="center"/>
          </w:tcPr>
          <w:p>
            <w:pPr>
              <w:pStyle w:val="TableContents"/>
              <w:bidi w:val="0"/>
              <w:spacing w:before="0" w:after="283"/>
              <w:rPr/>
            </w:pPr>
            <w:r>
              <w:rPr/>
              <w:t>3.4 Wohnungseingangstür: dichtschließende Tür mit erhöhtem Schallschutz, Mehrfachverriegelung, Spion, Sicherheitsbeschlag und einheitlicher Oberfläche nach Bemusterungslinie Lindenhain Komfort.</w:t>
            </w:r>
          </w:p>
        </w:tc>
        <w:tc>
          <w:tcPr>
            <w:tcW w:w="7965" w:type="dxa"/>
            <w:tcBorders/>
            <w:vAlign w:val="center"/>
          </w:tcPr>
          <w:p>
            <w:pPr>
              <w:pStyle w:val="TableContents"/>
              <w:bidi w:val="0"/>
              <w:spacing w:before="0" w:after="283"/>
              <w:rPr/>
            </w:pPr>
            <w:r>
              <w:rPr/>
              <w:t>3.4 Apartment entrance door: tightly closing door with increased sound protection, multiple locking, spy, safety fitting and uniform surface according to Lindenhain comfort pattern line.</w:t>
            </w:r>
          </w:p>
        </w:tc>
      </w:tr>
      <w:tr>
        <w:trPr/>
        <w:tc>
          <w:tcPr>
            <w:tcW w:w="7569" w:type="dxa"/>
            <w:tcBorders/>
            <w:vAlign w:val="center"/>
          </w:tcPr>
          <w:p>
            <w:pPr>
              <w:pStyle w:val="Heading2"/>
              <w:bidi w:val="0"/>
              <w:spacing w:before="200" w:after="120"/>
              <w:ind w:hanging="0" w:start="0" w:end="0"/>
              <w:rPr/>
            </w:pPr>
            <w:bookmarkStart w:id="50" w:name="energie-heizung-lüftung-sanitär"/>
            <w:bookmarkEnd w:id="50"/>
            <w:r>
              <w:rPr/>
              <w:t>4 Energie, Heizung, Lüftung, Sanitär</w:t>
            </w:r>
          </w:p>
        </w:tc>
        <w:tc>
          <w:tcPr>
            <w:tcW w:w="7965" w:type="dxa"/>
            <w:tcBorders/>
            <w:vAlign w:val="center"/>
          </w:tcPr>
          <w:p>
            <w:pPr>
              <w:pStyle w:val="Heading2"/>
              <w:bidi w:val="0"/>
              <w:spacing w:before="200" w:after="120"/>
              <w:ind w:hanging="0" w:start="0" w:end="0"/>
              <w:rPr/>
            </w:pPr>
            <w:bookmarkStart w:id="51" w:name="energy-heating-ventilation-sanitation"/>
            <w:bookmarkEnd w:id="51"/>
            <w:r>
              <w:rPr/>
              <w:t>4 Energy, heating, ventilation, sanitation</w:t>
            </w:r>
          </w:p>
        </w:tc>
      </w:tr>
      <w:tr>
        <w:trPr/>
        <w:tc>
          <w:tcPr>
            <w:tcW w:w="7569" w:type="dxa"/>
            <w:tcBorders/>
            <w:vAlign w:val="center"/>
          </w:tcPr>
          <w:p>
            <w:pPr>
              <w:pStyle w:val="TableContents"/>
              <w:bidi w:val="0"/>
              <w:spacing w:before="0" w:after="283"/>
              <w:rPr/>
            </w:pPr>
            <w:r>
              <w:rPr/>
              <w:t>4.1 Das Gebäude wird mindestens nach GEG 2026 und nach dem in den Vertragsunterlagen bezeichneten Effizienzhausstandard hergestellt. Die Verkäuferin übergibt Energiebedarfsausweis, GEG-Nachweise und die für Förder- oder Finanzierungszwecke üblichen Bestätigungen, soweit diese vertraglich vorausgesetzt sind.</w:t>
            </w:r>
          </w:p>
        </w:tc>
        <w:tc>
          <w:tcPr>
            <w:tcW w:w="7965" w:type="dxa"/>
            <w:tcBorders/>
            <w:vAlign w:val="center"/>
          </w:tcPr>
          <w:p>
            <w:pPr>
              <w:pStyle w:val="TableContents"/>
              <w:bidi w:val="0"/>
              <w:spacing w:before="0" w:after="283"/>
              <w:rPr/>
            </w:pPr>
            <w:r>
              <w:rPr/>
              <w:t>4.1 The building will be manufactured at least according to GEG 2026 and the efficiency house standard specified in the contract documents. The Seller shall provide energy performance certificates, GEG proofs and the usual confirmations for funding or financing purposes, as far as these are contractually required.</w:t>
            </w:r>
          </w:p>
        </w:tc>
      </w:tr>
      <w:tr>
        <w:trPr/>
        <w:tc>
          <w:tcPr>
            <w:tcW w:w="7569" w:type="dxa"/>
            <w:tcBorders/>
            <w:vAlign w:val="center"/>
          </w:tcPr>
          <w:p>
            <w:pPr>
              <w:pStyle w:val="TableContents"/>
              <w:bidi w:val="0"/>
              <w:spacing w:before="0" w:after="283"/>
              <w:rPr/>
            </w:pPr>
            <w:r>
              <w:rPr/>
              <w:t>4.2 Wärmeversorgung erfolgt über eine zentrale Wärmepumpe mit ergänzender Spitzenlastabdeckung nach Energiekonzept. Die Wohnung erhält Fußbodenheizung mit Einzelraumregelung in Aufenthaltsräumen, Bad und Küche.</w:t>
            </w:r>
          </w:p>
        </w:tc>
        <w:tc>
          <w:tcPr>
            <w:tcW w:w="7965" w:type="dxa"/>
            <w:tcBorders/>
            <w:vAlign w:val="center"/>
          </w:tcPr>
          <w:p>
            <w:pPr>
              <w:pStyle w:val="TableContents"/>
              <w:bidi w:val="0"/>
              <w:spacing w:before="0" w:after="283"/>
              <w:rPr/>
            </w:pPr>
            <w:r>
              <w:rPr/>
              <w:t>4.2 Heat is supplied via a central heat pump with supplementary peak load coverage according to energy concept. The apartment receives underfloor heating with individual room control in lounges, bathroom and kitchen.</w:t>
            </w:r>
          </w:p>
        </w:tc>
      </w:tr>
      <w:tr>
        <w:trPr/>
        <w:tc>
          <w:tcPr>
            <w:tcW w:w="7569" w:type="dxa"/>
            <w:tcBorders/>
            <w:vAlign w:val="center"/>
          </w:tcPr>
          <w:p>
            <w:pPr>
              <w:pStyle w:val="TableContents"/>
              <w:bidi w:val="0"/>
              <w:spacing w:before="0" w:after="283"/>
              <w:rPr/>
            </w:pPr>
            <w:r>
              <w:rPr/>
              <w:t>4.3 Lüftung erfolgt über ein nutzerunabhängiges Lüftungskonzept mit Fensterfalzlüftern oder dezentralen Lüftungselementen nach Fachplanung. Feuchteschutzlüftung muss ohne dauerndes manuelles Fensterlüften gesichert sein.</w:t>
            </w:r>
          </w:p>
        </w:tc>
        <w:tc>
          <w:tcPr>
            <w:tcW w:w="7965" w:type="dxa"/>
            <w:tcBorders/>
            <w:vAlign w:val="center"/>
          </w:tcPr>
          <w:p>
            <w:pPr>
              <w:pStyle w:val="TableContents"/>
              <w:bidi w:val="0"/>
              <w:spacing w:before="0" w:after="283"/>
              <w:rPr/>
            </w:pPr>
            <w:r>
              <w:rPr/>
              <w:t>4.3 Ventilation takes place via a user-independent ventilation concept with window fold fans or decentralized ventilation elements according to specialist planning. Humidity protection ventilation shall be secured without continuous manual window ventilation.</w:t>
            </w:r>
          </w:p>
        </w:tc>
      </w:tr>
      <w:tr>
        <w:trPr/>
        <w:tc>
          <w:tcPr>
            <w:tcW w:w="7569" w:type="dxa"/>
            <w:tcBorders/>
            <w:vAlign w:val="center"/>
          </w:tcPr>
          <w:p>
            <w:pPr>
              <w:pStyle w:val="TableContents"/>
              <w:bidi w:val="0"/>
              <w:spacing w:before="0" w:after="283"/>
              <w:rPr/>
            </w:pPr>
            <w:r>
              <w:rPr/>
              <w:t>4.4 Bad und Gäste-WC erhalten weiße Sanitärobjekte der Bemusterungslinie Lindenhain Komfort, bodengleiche Dusche im Bad, Waschtisch, wandhängendes WC, verchromte Armaturen eines Markenherstellers und Handtuchheizkörper elektrisch oder warmwassergeführt nach Planung.</w:t>
            </w:r>
          </w:p>
        </w:tc>
        <w:tc>
          <w:tcPr>
            <w:tcW w:w="7965" w:type="dxa"/>
            <w:tcBorders/>
            <w:vAlign w:val="center"/>
          </w:tcPr>
          <w:p>
            <w:pPr>
              <w:pStyle w:val="TableContents"/>
              <w:bidi w:val="0"/>
              <w:spacing w:before="0" w:after="283"/>
              <w:rPr/>
            </w:pPr>
            <w:r>
              <w:rPr/>
              <w:t>4.4 Bathroom and guest toilet receive white sanitary objects of the Lindenhain comfort sample line, floor-level shower in the bathroom, washstand, wall-hanging toilet, chrome-plated fittings of a brand manufacturer and towel heaters electrically or hot-water guided according to planning.</w:t>
            </w:r>
          </w:p>
        </w:tc>
      </w:tr>
      <w:tr>
        <w:trPr/>
        <w:tc>
          <w:tcPr>
            <w:tcW w:w="7569" w:type="dxa"/>
            <w:tcBorders/>
            <w:vAlign w:val="center"/>
          </w:tcPr>
          <w:p>
            <w:pPr>
              <w:pStyle w:val="Heading2"/>
              <w:bidi w:val="0"/>
              <w:spacing w:before="200" w:after="120"/>
              <w:ind w:hanging="0" w:start="0" w:end="0"/>
              <w:rPr/>
            </w:pPr>
            <w:bookmarkStart w:id="52" w:name="elektro-medien-sicherheit"/>
            <w:bookmarkEnd w:id="52"/>
            <w:r>
              <w:rPr/>
              <w:t>5 Elektro, Medien, Sicherheit</w:t>
            </w:r>
          </w:p>
        </w:tc>
        <w:tc>
          <w:tcPr>
            <w:tcW w:w="7965" w:type="dxa"/>
            <w:tcBorders/>
            <w:vAlign w:val="center"/>
          </w:tcPr>
          <w:p>
            <w:pPr>
              <w:pStyle w:val="Heading2"/>
              <w:bidi w:val="0"/>
              <w:spacing w:before="200" w:after="120"/>
              <w:ind w:hanging="0" w:start="0" w:end="0"/>
              <w:rPr/>
            </w:pPr>
            <w:bookmarkStart w:id="53" w:name="electrical-media-safety"/>
            <w:bookmarkEnd w:id="53"/>
            <w:r>
              <w:rPr/>
              <w:t>5 Electrical, media, safety</w:t>
            </w:r>
          </w:p>
        </w:tc>
      </w:tr>
      <w:tr>
        <w:trPr/>
        <w:tc>
          <w:tcPr>
            <w:tcW w:w="7569" w:type="dxa"/>
            <w:tcBorders/>
            <w:vAlign w:val="center"/>
          </w:tcPr>
          <w:p>
            <w:pPr>
              <w:pStyle w:val="TableContents"/>
              <w:bidi w:val="0"/>
              <w:spacing w:before="0" w:after="283"/>
              <w:rPr/>
            </w:pPr>
            <w:r>
              <w:rPr/>
              <w:t>5.1 Die Elektroinstallation entspricht DIN 18015 Mindestausstattung zuzüglich der in den Plänen dargestellten Steckdosen, Lichtauslässe und Datenanschlüsse. Wohn- und Schlafräume erhalten Netzwerkanschlüsse oder Leerrohre zu einem zentralen Medienverteiler.</w:t>
            </w:r>
          </w:p>
        </w:tc>
        <w:tc>
          <w:tcPr>
            <w:tcW w:w="7965" w:type="dxa"/>
            <w:tcBorders/>
            <w:vAlign w:val="center"/>
          </w:tcPr>
          <w:p>
            <w:pPr>
              <w:pStyle w:val="TableContents"/>
              <w:bidi w:val="0"/>
              <w:spacing w:before="0" w:after="283"/>
              <w:rPr/>
            </w:pPr>
            <w:r>
              <w:rPr/>
              <w:t>5.1 The electrical installation complies with DIN 18015 minimum equipment plus the sockets, light outlets and data connections shown in the plans. Living and sleeping rooms receive network connections or empty pipes to a central media distributor.</w:t>
            </w:r>
          </w:p>
        </w:tc>
      </w:tr>
      <w:tr>
        <w:trPr/>
        <w:tc>
          <w:tcPr>
            <w:tcW w:w="7569" w:type="dxa"/>
            <w:tcBorders/>
            <w:vAlign w:val="center"/>
          </w:tcPr>
          <w:p>
            <w:pPr>
              <w:pStyle w:val="TableContents"/>
              <w:bidi w:val="0"/>
              <w:spacing w:before="0" w:after="283"/>
              <w:rPr/>
            </w:pPr>
            <w:r>
              <w:rPr/>
              <w:t>5.2 Jede Wohnung erhält eine Video- oder Audio-Gegensprechanlage, Rauchwarnmelder nach Landesrecht, vorbereitete Glasfaser- oder Breitbandanbindung und eigene Zähler nach Messkonzept.</w:t>
            </w:r>
          </w:p>
        </w:tc>
        <w:tc>
          <w:tcPr>
            <w:tcW w:w="7965" w:type="dxa"/>
            <w:tcBorders/>
            <w:vAlign w:val="center"/>
          </w:tcPr>
          <w:p>
            <w:pPr>
              <w:pStyle w:val="TableContents"/>
              <w:bidi w:val="0"/>
              <w:spacing w:before="0" w:after="283"/>
              <w:rPr/>
            </w:pPr>
            <w:r>
              <w:rPr/>
              <w:t>5.2 Each apartment receives a video or audio intercom system, smoke alarms according to state law, prepared fiber optic or broadband connection and its own meters according to measurement concept.</w:t>
            </w:r>
          </w:p>
        </w:tc>
      </w:tr>
      <w:tr>
        <w:trPr/>
        <w:tc>
          <w:tcPr>
            <w:tcW w:w="7569" w:type="dxa"/>
            <w:tcBorders/>
            <w:vAlign w:val="center"/>
          </w:tcPr>
          <w:p>
            <w:pPr>
              <w:pStyle w:val="TableContents"/>
              <w:bidi w:val="0"/>
              <w:spacing w:before="0" w:after="283"/>
              <w:rPr/>
            </w:pPr>
            <w:r>
              <w:rPr/>
              <w:t>5.3 Gemeinschaftsbereiche erhalten energiesparende Beleuchtung, Bewegungsmelder in Fluren, Keller und Tiefgarage sowie eine ausreichend beleuchtete Hausnummer und Klingelanlage.</w:t>
            </w:r>
          </w:p>
        </w:tc>
        <w:tc>
          <w:tcPr>
            <w:tcW w:w="7965" w:type="dxa"/>
            <w:tcBorders/>
            <w:vAlign w:val="center"/>
          </w:tcPr>
          <w:p>
            <w:pPr>
              <w:pStyle w:val="TableContents"/>
              <w:bidi w:val="0"/>
              <w:spacing w:before="0" w:after="283"/>
              <w:rPr/>
            </w:pPr>
            <w:r>
              <w:rPr/>
              <w:t>5.3 Common areas receive energy-saving lighting, motion detectors in hallways, basements and underground garage as well as a sufficiently lit house number and bell system.</w:t>
            </w:r>
          </w:p>
        </w:tc>
      </w:tr>
      <w:tr>
        <w:trPr/>
        <w:tc>
          <w:tcPr>
            <w:tcW w:w="7569" w:type="dxa"/>
            <w:tcBorders/>
            <w:vAlign w:val="center"/>
          </w:tcPr>
          <w:p>
            <w:pPr>
              <w:pStyle w:val="Heading2"/>
              <w:bidi w:val="0"/>
              <w:spacing w:before="200" w:after="120"/>
              <w:ind w:hanging="0" w:start="0" w:end="0"/>
              <w:rPr/>
            </w:pPr>
            <w:bookmarkStart w:id="54" w:name="innenausbau-oberflächen-türen"/>
            <w:bookmarkEnd w:id="54"/>
            <w:r>
              <w:rPr/>
              <w:t>6 Innenausbau, Oberflächen, Türen</w:t>
            </w:r>
          </w:p>
        </w:tc>
        <w:tc>
          <w:tcPr>
            <w:tcW w:w="7965" w:type="dxa"/>
            <w:tcBorders/>
            <w:vAlign w:val="center"/>
          </w:tcPr>
          <w:p>
            <w:pPr>
              <w:pStyle w:val="Heading2"/>
              <w:bidi w:val="0"/>
              <w:spacing w:before="200" w:after="120"/>
              <w:ind w:hanging="0" w:start="0" w:end="0"/>
              <w:rPr/>
            </w:pPr>
            <w:bookmarkStart w:id="55" w:name="interior-surfaces-doors"/>
            <w:bookmarkEnd w:id="55"/>
            <w:r>
              <w:rPr/>
              <w:t>6 Interior, surfaces, doors</w:t>
            </w:r>
          </w:p>
        </w:tc>
      </w:tr>
      <w:tr>
        <w:trPr/>
        <w:tc>
          <w:tcPr>
            <w:tcW w:w="7569" w:type="dxa"/>
            <w:tcBorders/>
            <w:vAlign w:val="center"/>
          </w:tcPr>
          <w:p>
            <w:pPr>
              <w:pStyle w:val="TableContents"/>
              <w:bidi w:val="0"/>
              <w:spacing w:before="0" w:after="283"/>
              <w:rPr/>
            </w:pPr>
            <w:r>
              <w:rPr/>
              <w:t>6.1 Wohn- und Schlafräume erhalten Parkett oder hochwertigen Designboden nach Bemusterungslinie. Küche, Bad, Gäste-WC und Abstellraum erhalten Fliesen oder geeigneten Bodenbelag nach Bemusterung.</w:t>
            </w:r>
          </w:p>
        </w:tc>
        <w:tc>
          <w:tcPr>
            <w:tcW w:w="7965" w:type="dxa"/>
            <w:tcBorders/>
            <w:vAlign w:val="center"/>
          </w:tcPr>
          <w:p>
            <w:pPr>
              <w:pStyle w:val="TableContents"/>
              <w:bidi w:val="0"/>
              <w:spacing w:before="0" w:after="283"/>
              <w:rPr/>
            </w:pPr>
            <w:r>
              <w:rPr/>
              <w:t>6.1 Living and sleeping rooms receive parquet or high-quality design flooring according to the pattern line. Kitchen, bathroom, guest toilet and storage room receive tiles or suitable flooring after sampling.</w:t>
            </w:r>
          </w:p>
        </w:tc>
      </w:tr>
      <w:tr>
        <w:trPr/>
        <w:tc>
          <w:tcPr>
            <w:tcW w:w="7569" w:type="dxa"/>
            <w:tcBorders/>
            <w:vAlign w:val="center"/>
          </w:tcPr>
          <w:p>
            <w:pPr>
              <w:pStyle w:val="TableContents"/>
              <w:bidi w:val="0"/>
              <w:spacing w:before="0" w:after="283"/>
              <w:rPr/>
            </w:pPr>
            <w:r>
              <w:rPr/>
              <w:t>6.2 Wände und Decken der Wohnung werden malerfertig gespachtelt und weiß gestrichen. Bäder werden im Spritzwasserbereich gefliest; übrige Wandflächen werden geeignet beschichtet.</w:t>
            </w:r>
          </w:p>
        </w:tc>
        <w:tc>
          <w:tcPr>
            <w:tcW w:w="7965" w:type="dxa"/>
            <w:tcBorders/>
            <w:vAlign w:val="center"/>
          </w:tcPr>
          <w:p>
            <w:pPr>
              <w:pStyle w:val="TableContents"/>
              <w:bidi w:val="0"/>
              <w:spacing w:before="0" w:after="283"/>
              <w:rPr/>
            </w:pPr>
            <w:r>
              <w:rPr/>
              <w:t>6.2 Walls and ceilings of the apartment are painted and painted white. baths are tiled in the splash water area; other wall surfaces are suitably coated.</w:t>
            </w:r>
          </w:p>
        </w:tc>
      </w:tr>
      <w:tr>
        <w:trPr/>
        <w:tc>
          <w:tcPr>
            <w:tcW w:w="7569" w:type="dxa"/>
            <w:tcBorders/>
            <w:vAlign w:val="center"/>
          </w:tcPr>
          <w:p>
            <w:pPr>
              <w:pStyle w:val="TableContents"/>
              <w:bidi w:val="0"/>
              <w:spacing w:before="0" w:after="283"/>
              <w:rPr/>
            </w:pPr>
            <w:r>
              <w:rPr/>
              <w:t>6.3 Innentüren: Röhrenspantüren oder gleichwertige Türen mit CPL- oder Lackoberfläche, Drückergarnituren in Edelstahloptik. Türhöhen und Anschläge nach Plan.</w:t>
            </w:r>
          </w:p>
        </w:tc>
        <w:tc>
          <w:tcPr>
            <w:tcW w:w="7965" w:type="dxa"/>
            <w:tcBorders/>
            <w:vAlign w:val="center"/>
          </w:tcPr>
          <w:p>
            <w:pPr>
              <w:pStyle w:val="TableContents"/>
              <w:bidi w:val="0"/>
              <w:spacing w:before="0" w:after="283"/>
              <w:rPr/>
            </w:pPr>
            <w:r>
              <w:rPr/>
              <w:t>6.3 Interior doors: tubular chip doors or equivalent doors with a CPL or varnish surface, knob fittings in stainless steel optics. Door heights and stops according to plan.</w:t>
            </w:r>
          </w:p>
        </w:tc>
      </w:tr>
      <w:tr>
        <w:trPr/>
        <w:tc>
          <w:tcPr>
            <w:tcW w:w="7569" w:type="dxa"/>
            <w:tcBorders/>
            <w:vAlign w:val="center"/>
          </w:tcPr>
          <w:p>
            <w:pPr>
              <w:pStyle w:val="TableContents"/>
              <w:bidi w:val="0"/>
              <w:spacing w:before="0" w:after="283"/>
              <w:rPr/>
            </w:pPr>
            <w:r>
              <w:rPr/>
              <w:t>6.4 Balkon oder Loggia der Einheit B-05 wird mit frostsicherem Belag, Entwässerung, Außensteckdose und Außenleuchte hergestellt.</w:t>
            </w:r>
          </w:p>
        </w:tc>
        <w:tc>
          <w:tcPr>
            <w:tcW w:w="7965" w:type="dxa"/>
            <w:tcBorders/>
            <w:vAlign w:val="center"/>
          </w:tcPr>
          <w:p>
            <w:pPr>
              <w:pStyle w:val="TableContents"/>
              <w:bidi w:val="0"/>
              <w:spacing w:before="0" w:after="283"/>
              <w:rPr/>
            </w:pPr>
            <w:r>
              <w:rPr/>
              <w:t>6.4 Balcony or loggia of unit B-05 is made with frost-proof covering, drainage, external socket and exterior light.</w:t>
            </w:r>
          </w:p>
        </w:tc>
      </w:tr>
      <w:tr>
        <w:trPr/>
        <w:tc>
          <w:tcPr>
            <w:tcW w:w="7569" w:type="dxa"/>
            <w:tcBorders/>
            <w:vAlign w:val="center"/>
          </w:tcPr>
          <w:p>
            <w:pPr>
              <w:pStyle w:val="Heading2"/>
              <w:bidi w:val="0"/>
              <w:spacing w:before="200" w:after="120"/>
              <w:ind w:hanging="0" w:start="0" w:end="0"/>
              <w:rPr/>
            </w:pPr>
            <w:bookmarkStart w:id="56" w:name="schallschutz-brandschutz-barrierearmut"/>
            <w:bookmarkEnd w:id="56"/>
            <w:r>
              <w:rPr/>
              <w:t>7 Schallschutz, Brandschutz, Barrierearmut</w:t>
            </w:r>
          </w:p>
        </w:tc>
        <w:tc>
          <w:tcPr>
            <w:tcW w:w="7965" w:type="dxa"/>
            <w:tcBorders/>
            <w:vAlign w:val="center"/>
          </w:tcPr>
          <w:p>
            <w:pPr>
              <w:pStyle w:val="Heading2"/>
              <w:bidi w:val="0"/>
              <w:spacing w:before="200" w:after="120"/>
              <w:ind w:hanging="0" w:start="0" w:end="0"/>
              <w:rPr/>
            </w:pPr>
            <w:bookmarkStart w:id="57" w:name="soundproofing-fire-protection-barrier-lo"/>
            <w:bookmarkEnd w:id="57"/>
            <w:r>
              <w:rPr/>
              <w:t>7 Soundproofing, fire protection, barrier low</w:t>
            </w:r>
          </w:p>
        </w:tc>
      </w:tr>
      <w:tr>
        <w:trPr/>
        <w:tc>
          <w:tcPr>
            <w:tcW w:w="7569" w:type="dxa"/>
            <w:tcBorders/>
            <w:vAlign w:val="center"/>
          </w:tcPr>
          <w:p>
            <w:pPr>
              <w:pStyle w:val="TableContents"/>
              <w:bidi w:val="0"/>
              <w:spacing w:before="0" w:after="283"/>
              <w:rPr/>
            </w:pPr>
            <w:r>
              <w:rPr/>
              <w:t>7.1 Geschuldet ist der in den Vertragsunterlagen bezeichnete erhöhte Schallschutz für Wohnungstrennwände und Decken, mindestens jedoch der nach anerkannten Regeln der Technik geschuldete Standard. Die Verkäuferin übergibt den Schallschutznachweis.</w:t>
            </w:r>
          </w:p>
        </w:tc>
        <w:tc>
          <w:tcPr>
            <w:tcW w:w="7965" w:type="dxa"/>
            <w:tcBorders/>
            <w:vAlign w:val="center"/>
          </w:tcPr>
          <w:p>
            <w:pPr>
              <w:pStyle w:val="TableContents"/>
              <w:bidi w:val="0"/>
              <w:spacing w:before="0" w:after="283"/>
              <w:rPr/>
            </w:pPr>
            <w:r>
              <w:rPr/>
              <w:t>7.1 The debt is due to the increased sound insulation for housing partitions and ceilings as specified in the contract documents, but at least the standard owed according to recognised rules of technology. The Seller provides the soundproof.</w:t>
            </w:r>
          </w:p>
        </w:tc>
      </w:tr>
      <w:tr>
        <w:trPr/>
        <w:tc>
          <w:tcPr>
            <w:tcW w:w="7569" w:type="dxa"/>
            <w:tcBorders/>
            <w:vAlign w:val="center"/>
          </w:tcPr>
          <w:p>
            <w:pPr>
              <w:pStyle w:val="TableContents"/>
              <w:bidi w:val="0"/>
              <w:spacing w:before="0" w:after="283"/>
              <w:rPr/>
            </w:pPr>
            <w:r>
              <w:rPr/>
              <w:t>7.2 Brandschutz wird nach genehmigtem Brandschutzkonzept ausgeführt. Brandschutztüren, Rettungswege, Tiefgarage, Leitungsabschottungen und Rauchwarnmelder werden dokumentiert.</w:t>
            </w:r>
          </w:p>
        </w:tc>
        <w:tc>
          <w:tcPr>
            <w:tcW w:w="7965" w:type="dxa"/>
            <w:tcBorders/>
            <w:vAlign w:val="center"/>
          </w:tcPr>
          <w:p>
            <w:pPr>
              <w:pStyle w:val="TableContents"/>
              <w:bidi w:val="0"/>
              <w:spacing w:before="0" w:after="283"/>
              <w:rPr/>
            </w:pPr>
            <w:r>
              <w:rPr/>
              <w:t>7.2 Fire protection is carried out according to an approved fire protection concept. Fire safety doors, rescue routes, underground parking garage, line foreclosure and smoke alarms shall be documented.</w:t>
            </w:r>
          </w:p>
        </w:tc>
      </w:tr>
      <w:tr>
        <w:trPr/>
        <w:tc>
          <w:tcPr>
            <w:tcW w:w="7569" w:type="dxa"/>
            <w:tcBorders/>
            <w:vAlign w:val="center"/>
          </w:tcPr>
          <w:p>
            <w:pPr>
              <w:pStyle w:val="TableContents"/>
              <w:bidi w:val="0"/>
              <w:spacing w:before="0" w:after="283"/>
              <w:rPr/>
            </w:pPr>
            <w:r>
              <w:rPr/>
              <w:t>7.3 Der Hauszugang, der Aufzug, die Flure und die Wohnung B-05 werden barrierearm nutzbar ausgeführt. Eine vollständige Barrierefreiheit nach DIN 18040 ist nur geschuldet, soweit sie ausdrücklich in den Plänen bezeichnet ist.</w:t>
            </w:r>
          </w:p>
        </w:tc>
        <w:tc>
          <w:tcPr>
            <w:tcW w:w="7965" w:type="dxa"/>
            <w:tcBorders/>
            <w:vAlign w:val="center"/>
          </w:tcPr>
          <w:p>
            <w:pPr>
              <w:pStyle w:val="TableContents"/>
              <w:bidi w:val="0"/>
              <w:spacing w:before="0" w:after="283"/>
              <w:rPr/>
            </w:pPr>
            <w:r>
              <w:rPr/>
              <w:t>7.3 The house access, the elevator, the corridors and the apartment B-05 are designed to be accessible. A complete accessibility according to DIN 18040 is only owed if it is expressly specified in the plans.</w:t>
            </w:r>
          </w:p>
        </w:tc>
      </w:tr>
      <w:tr>
        <w:trPr/>
        <w:tc>
          <w:tcPr>
            <w:tcW w:w="7569" w:type="dxa"/>
            <w:tcBorders/>
            <w:vAlign w:val="center"/>
          </w:tcPr>
          <w:p>
            <w:pPr>
              <w:pStyle w:val="Heading2"/>
              <w:bidi w:val="0"/>
              <w:spacing w:before="200" w:after="120"/>
              <w:ind w:hanging="0" w:start="0" w:end="0"/>
              <w:rPr/>
            </w:pPr>
            <w:bookmarkStart w:id="58" w:name="aufzug-keller-tiefgarage-gemeinschaftsrä"/>
            <w:bookmarkEnd w:id="58"/>
            <w:r>
              <w:rPr/>
              <w:t>8 Aufzug, Keller, Tiefgarage, Gemeinschaftsräume</w:t>
            </w:r>
          </w:p>
        </w:tc>
        <w:tc>
          <w:tcPr>
            <w:tcW w:w="7965" w:type="dxa"/>
            <w:tcBorders/>
            <w:vAlign w:val="center"/>
          </w:tcPr>
          <w:p>
            <w:pPr>
              <w:pStyle w:val="Heading2"/>
              <w:bidi w:val="0"/>
              <w:spacing w:before="200" w:after="120"/>
              <w:ind w:hanging="0" w:start="0" w:end="0"/>
              <w:rPr/>
            </w:pPr>
            <w:bookmarkStart w:id="59" w:name="elevator-basement-underground-car-park-c"/>
            <w:bookmarkEnd w:id="59"/>
            <w:r>
              <w:rPr/>
              <w:t>8 Elevator, basement, underground car park, common areas</w:t>
            </w:r>
          </w:p>
        </w:tc>
      </w:tr>
      <w:tr>
        <w:trPr/>
        <w:tc>
          <w:tcPr>
            <w:tcW w:w="7569" w:type="dxa"/>
            <w:tcBorders/>
            <w:vAlign w:val="center"/>
          </w:tcPr>
          <w:p>
            <w:pPr>
              <w:pStyle w:val="TableContents"/>
              <w:bidi w:val="0"/>
              <w:spacing w:before="0" w:after="283"/>
              <w:rPr/>
            </w:pPr>
            <w:r>
              <w:rPr/>
              <w:t>8.1 Das Gebäude erhält einen Personenaufzug von der Tiefgarage bis in alle Wohngeschosse. Der Aufzug ist spätestens bei Besitzübergabe der Einheit B-05 betriebsbereit, soweit keine kurzzeitige technische Störung vorliegt.</w:t>
            </w:r>
          </w:p>
        </w:tc>
        <w:tc>
          <w:tcPr>
            <w:tcW w:w="7965" w:type="dxa"/>
            <w:tcBorders/>
            <w:vAlign w:val="center"/>
          </w:tcPr>
          <w:p>
            <w:pPr>
              <w:pStyle w:val="TableContents"/>
              <w:bidi w:val="0"/>
              <w:spacing w:before="0" w:after="283"/>
              <w:rPr/>
            </w:pPr>
            <w:r>
              <w:rPr/>
              <w:t>8.1 The building receives a passenger elevator from the underground garage to all residential floors. The elevator is ready for operation at the latest upon transfer of ownership of unit B-05, unless there is a short-term technical malfunction.</w:t>
            </w:r>
          </w:p>
        </w:tc>
      </w:tr>
      <w:tr>
        <w:trPr/>
        <w:tc>
          <w:tcPr>
            <w:tcW w:w="7569" w:type="dxa"/>
            <w:tcBorders/>
            <w:vAlign w:val="center"/>
          </w:tcPr>
          <w:p>
            <w:pPr>
              <w:pStyle w:val="TableContents"/>
              <w:bidi w:val="0"/>
              <w:spacing w:before="0" w:after="283"/>
              <w:rPr/>
            </w:pPr>
            <w:r>
              <w:rPr/>
              <w:t>8.2 Kellerraum K-B05 erhält abschließbare Tür, Beleuchtung in den Verkehrsflächen und trockene, für Lagerzwecke übliche Beschaffenheit. Tiefgaragenstellplatz TG-08 wird markiert, beleuchtet und mit der nach Planung vorgesehenen Ladeinfrastrukturvorbereitung ausgestattet.</w:t>
            </w:r>
          </w:p>
        </w:tc>
        <w:tc>
          <w:tcPr>
            <w:tcW w:w="7965" w:type="dxa"/>
            <w:tcBorders/>
            <w:vAlign w:val="center"/>
          </w:tcPr>
          <w:p>
            <w:pPr>
              <w:pStyle w:val="TableContents"/>
              <w:bidi w:val="0"/>
              <w:spacing w:before="0" w:after="283"/>
              <w:rPr/>
            </w:pPr>
            <w:r>
              <w:rPr/>
              <w:t>8.2 Basement room K-B05 receives lockable door, lighting in traffic areas and dry, usual for storage purposes. Underground parking space TG-08 is marked, illuminated and equipped with the planned charging infrastructure preparation.</w:t>
            </w:r>
          </w:p>
        </w:tc>
      </w:tr>
      <w:tr>
        <w:trPr/>
        <w:tc>
          <w:tcPr>
            <w:tcW w:w="7569" w:type="dxa"/>
            <w:tcBorders/>
            <w:vAlign w:val="center"/>
          </w:tcPr>
          <w:p>
            <w:pPr>
              <w:pStyle w:val="TableContents"/>
              <w:bidi w:val="0"/>
              <w:spacing w:before="0" w:after="283"/>
              <w:rPr/>
            </w:pPr>
            <w:r>
              <w:rPr/>
              <w:t>8.3 Fahrradraum, Kinderwagenraum, Müllraum und Paketstation werden spätestens bei Bezugsfertigkeit nutzbar hergestellt.</w:t>
            </w:r>
          </w:p>
        </w:tc>
        <w:tc>
          <w:tcPr>
            <w:tcW w:w="7965" w:type="dxa"/>
            <w:tcBorders/>
            <w:vAlign w:val="center"/>
          </w:tcPr>
          <w:p>
            <w:pPr>
              <w:pStyle w:val="TableContents"/>
              <w:bidi w:val="0"/>
              <w:spacing w:before="0" w:after="283"/>
              <w:rPr/>
            </w:pPr>
            <w:r>
              <w:rPr/>
              <w:t>8.3 Bicycle compartment, stroller compartment, garbage compartment and parcel station are made usable at the latest when ready for reference.</w:t>
            </w:r>
          </w:p>
        </w:tc>
      </w:tr>
      <w:tr>
        <w:trPr/>
        <w:tc>
          <w:tcPr>
            <w:tcW w:w="7569" w:type="dxa"/>
            <w:tcBorders/>
            <w:vAlign w:val="center"/>
          </w:tcPr>
          <w:p>
            <w:pPr>
              <w:pStyle w:val="Heading2"/>
              <w:bidi w:val="0"/>
              <w:spacing w:before="200" w:after="120"/>
              <w:ind w:hanging="0" w:start="0" w:end="0"/>
              <w:rPr/>
            </w:pPr>
            <w:bookmarkStart w:id="60" w:name="bemusterung-auswahlrechte"/>
            <w:bookmarkEnd w:id="60"/>
            <w:r>
              <w:rPr/>
              <w:t>9 Bemusterung, Auswahlrechte</w:t>
            </w:r>
          </w:p>
        </w:tc>
        <w:tc>
          <w:tcPr>
            <w:tcW w:w="7965" w:type="dxa"/>
            <w:tcBorders/>
            <w:vAlign w:val="center"/>
          </w:tcPr>
          <w:p>
            <w:pPr>
              <w:pStyle w:val="Heading2"/>
              <w:bidi w:val="0"/>
              <w:spacing w:before="200" w:after="120"/>
              <w:ind w:hanging="0" w:start="0" w:end="0"/>
              <w:rPr/>
            </w:pPr>
            <w:bookmarkStart w:id="61" w:name="sampling-selection-rights"/>
            <w:bookmarkEnd w:id="61"/>
            <w:r>
              <w:rPr/>
              <w:t>9 Sampling, selection rights</w:t>
            </w:r>
          </w:p>
        </w:tc>
      </w:tr>
      <w:tr>
        <w:trPr/>
        <w:tc>
          <w:tcPr>
            <w:tcW w:w="7569" w:type="dxa"/>
            <w:tcBorders/>
            <w:vAlign w:val="center"/>
          </w:tcPr>
          <w:p>
            <w:pPr>
              <w:pStyle w:val="TableContents"/>
              <w:bidi w:val="0"/>
              <w:spacing w:before="0" w:after="283"/>
              <w:rPr/>
            </w:pPr>
            <w:r>
              <w:rPr/>
              <w:t>9.1 Die Käuferin kann innerhalb der Bemusterungslinie Lindenhain Komfort ohne Mehrpreis aus mindestens drei Bodenvarianten, drei Fliesenserien, zwei Innentür-Oberflächen und zwei Armaturenlinien wählen. Die Verkäuferin lädt rechtzeitig zur Bemusterung ein und dokumentiert die Auswahl.</w:t>
            </w:r>
          </w:p>
        </w:tc>
        <w:tc>
          <w:tcPr>
            <w:tcW w:w="7965" w:type="dxa"/>
            <w:tcBorders/>
            <w:vAlign w:val="center"/>
          </w:tcPr>
          <w:p>
            <w:pPr>
              <w:pStyle w:val="TableContents"/>
              <w:bidi w:val="0"/>
              <w:spacing w:before="0" w:after="283"/>
              <w:rPr/>
            </w:pPr>
            <w:r>
              <w:rPr/>
              <w:t>9.1 Within the Lindenhain Comfort sample line, the Buyer can choose from at least three floor variants, three tile series, two interior door surfaces and two dashboard lines at no extra cost. The Seller invites in time for sampling and documents the selection.</w:t>
            </w:r>
          </w:p>
        </w:tc>
      </w:tr>
      <w:tr>
        <w:trPr/>
        <w:tc>
          <w:tcPr>
            <w:tcW w:w="7569" w:type="dxa"/>
            <w:tcBorders/>
            <w:vAlign w:val="center"/>
          </w:tcPr>
          <w:p>
            <w:pPr>
              <w:pStyle w:val="TableContents"/>
              <w:bidi w:val="0"/>
              <w:spacing w:before="0" w:after="283"/>
              <w:rPr/>
            </w:pPr>
            <w:r>
              <w:rPr/>
              <w:t>9.2 Erfolgt trotz Einladung und angemessener Nachfrist keine Auswahl, bestimmt die Verkäuferin eine neutrale, marktübliche Ausführung aus der Bemusterungslinie. Die Auswahl darf den Wert und die Gebrauchstauglichkeit nicht mindern.</w:t>
            </w:r>
          </w:p>
        </w:tc>
        <w:tc>
          <w:tcPr>
            <w:tcW w:w="7965" w:type="dxa"/>
            <w:tcBorders/>
            <w:vAlign w:val="center"/>
          </w:tcPr>
          <w:p>
            <w:pPr>
              <w:pStyle w:val="TableContents"/>
              <w:bidi w:val="0"/>
              <w:spacing w:before="0" w:after="283"/>
              <w:rPr/>
            </w:pPr>
            <w:r>
              <w:rPr/>
              <w:t>9.2 If no selection is made despite an invitation and a reasonable grace period, the Seller shall determine a neutral, customary market execution from the sample line. The selection shall not reduce the value and suitability for use.</w:t>
            </w:r>
          </w:p>
        </w:tc>
      </w:tr>
      <w:tr>
        <w:trPr/>
        <w:tc>
          <w:tcPr>
            <w:tcW w:w="7569" w:type="dxa"/>
            <w:tcBorders/>
            <w:vAlign w:val="center"/>
          </w:tcPr>
          <w:p>
            <w:pPr>
              <w:pStyle w:val="TableContents"/>
              <w:bidi w:val="0"/>
              <w:spacing w:before="0" w:after="283"/>
              <w:rPr/>
            </w:pPr>
            <w:r>
              <w:rPr/>
              <w:t>9.3 Sonderwünsche außerhalb der Bemusterungslinie werden nur nach schriftlicher Beschreibung, Preisangabe, Terminfolge und technischer Prüfung ausgeführt.</w:t>
            </w:r>
          </w:p>
        </w:tc>
        <w:tc>
          <w:tcPr>
            <w:tcW w:w="7965" w:type="dxa"/>
            <w:tcBorders/>
            <w:vAlign w:val="center"/>
          </w:tcPr>
          <w:p>
            <w:pPr>
              <w:pStyle w:val="TableContents"/>
              <w:bidi w:val="0"/>
              <w:spacing w:before="0" w:after="283"/>
              <w:rPr/>
            </w:pPr>
            <w:r>
              <w:rPr/>
              <w:t>9.3 Special requests outside the sample line will only be carried out after written description, price indication, schedule and technical examination.</w:t>
            </w:r>
          </w:p>
        </w:tc>
      </w:tr>
      <w:tr>
        <w:trPr/>
        <w:tc>
          <w:tcPr>
            <w:tcW w:w="7569" w:type="dxa"/>
            <w:tcBorders/>
            <w:vAlign w:val="center"/>
          </w:tcPr>
          <w:p>
            <w:pPr>
              <w:pStyle w:val="Heading2"/>
              <w:bidi w:val="0"/>
              <w:spacing w:before="200" w:after="120"/>
              <w:ind w:hanging="0" w:start="0" w:end="0"/>
              <w:rPr/>
            </w:pPr>
            <w:bookmarkStart w:id="62" w:name="unterlagen-wartung-übergabe"/>
            <w:bookmarkEnd w:id="62"/>
            <w:r>
              <w:rPr/>
              <w:t>10 Unterlagen, Wartung, Übergabe</w:t>
            </w:r>
          </w:p>
        </w:tc>
        <w:tc>
          <w:tcPr>
            <w:tcW w:w="7965" w:type="dxa"/>
            <w:tcBorders/>
            <w:vAlign w:val="center"/>
          </w:tcPr>
          <w:p>
            <w:pPr>
              <w:pStyle w:val="Heading2"/>
              <w:bidi w:val="0"/>
              <w:spacing w:before="200" w:after="120"/>
              <w:ind w:hanging="0" w:start="0" w:end="0"/>
              <w:rPr/>
            </w:pPr>
            <w:bookmarkStart w:id="63" w:name="documents-maintenance-transfer"/>
            <w:bookmarkEnd w:id="63"/>
            <w:r>
              <w:rPr/>
              <w:t>10 Documents, maintenance, transfer</w:t>
            </w:r>
          </w:p>
        </w:tc>
      </w:tr>
      <w:tr>
        <w:trPr/>
        <w:tc>
          <w:tcPr>
            <w:tcW w:w="7569" w:type="dxa"/>
            <w:tcBorders/>
            <w:vAlign w:val="center"/>
          </w:tcPr>
          <w:p>
            <w:pPr>
              <w:pStyle w:val="TableContents"/>
              <w:bidi w:val="0"/>
              <w:spacing w:before="0" w:after="283"/>
              <w:rPr/>
            </w:pPr>
            <w:r>
              <w:rPr/>
              <w:t>10.1 Zur Übergabe erhält die Käuferin Bedienungsanleitungen für Heizung, Lüftung, Elektro, Sonnenschutz, Gegensprechanlage, Rauchwarnmelder und sonstige wohnungsbezogene Anlagen.</w:t>
            </w:r>
          </w:p>
        </w:tc>
        <w:tc>
          <w:tcPr>
            <w:tcW w:w="7965" w:type="dxa"/>
            <w:tcBorders/>
            <w:vAlign w:val="center"/>
          </w:tcPr>
          <w:p>
            <w:pPr>
              <w:pStyle w:val="TableContents"/>
              <w:bidi w:val="0"/>
              <w:spacing w:before="0" w:after="283"/>
              <w:rPr/>
            </w:pPr>
            <w:r>
              <w:rPr/>
              <w:t>10.1 For handover, the Buyer receives operating instructions for heating, ventilation, electric, sun protection, intercom, smoke alarms and other residential facilities.</w:t>
            </w:r>
          </w:p>
        </w:tc>
      </w:tr>
      <w:tr>
        <w:trPr/>
        <w:tc>
          <w:tcPr>
            <w:tcW w:w="7569" w:type="dxa"/>
            <w:tcBorders/>
            <w:vAlign w:val="center"/>
          </w:tcPr>
          <w:p>
            <w:pPr>
              <w:pStyle w:val="TableContents"/>
              <w:bidi w:val="0"/>
              <w:spacing w:before="0" w:after="283"/>
              <w:rPr/>
            </w:pPr>
            <w:r>
              <w:rPr/>
              <w:t>10.2 Die Gemeinschaft erhält Revisionsunterlagen, Wartungshinweise, Prüfprotokolle, Fachunternehmererklärungen und Gewährleistungsübersicht für gemeinschaftliche Anlagen.</w:t>
            </w:r>
          </w:p>
        </w:tc>
        <w:tc>
          <w:tcPr>
            <w:tcW w:w="7965" w:type="dxa"/>
            <w:tcBorders/>
            <w:vAlign w:val="center"/>
          </w:tcPr>
          <w:p>
            <w:pPr>
              <w:pStyle w:val="TableContents"/>
              <w:bidi w:val="0"/>
              <w:spacing w:before="0" w:after="283"/>
              <w:rPr/>
            </w:pPr>
            <w:r>
              <w:rPr/>
              <w:t>10.2 The Community shall receive audit documentation, maintenance instructions, test reports, declarations of business operators and certificates of assurance for Community installations.</w:t>
            </w:r>
          </w:p>
        </w:tc>
      </w:tr>
      <w:tr>
        <w:trPr/>
        <w:tc>
          <w:tcPr>
            <w:tcW w:w="7569" w:type="dxa"/>
            <w:tcBorders/>
            <w:vAlign w:val="center"/>
          </w:tcPr>
          <w:p>
            <w:pPr>
              <w:pStyle w:val="TableContents"/>
              <w:bidi w:val="0"/>
              <w:spacing w:before="0" w:after="283"/>
              <w:rPr/>
            </w:pPr>
            <w:r>
              <w:rPr/>
              <w:t>10.3 Wartungsbedürftige Anlagen werden so beschrieben, dass die Gemeinschaft nach Übergabe eigenständig Wartungsverträge prüfen, übernehmen oder neu vergeben kann.</w:t>
            </w:r>
          </w:p>
        </w:tc>
        <w:tc>
          <w:tcPr>
            <w:tcW w:w="7965" w:type="dxa"/>
            <w:tcBorders/>
            <w:vAlign w:val="center"/>
          </w:tcPr>
          <w:p>
            <w:pPr>
              <w:pStyle w:val="TableContents"/>
              <w:bidi w:val="0"/>
              <w:spacing w:before="0" w:after="283"/>
              <w:rPr/>
            </w:pPr>
            <w:r>
              <w:rPr/>
              <w:t>10.3 Installations requiring maintenance are described in such a way that the Community can independently examine, accept or re-assign maintenance contracts after handover.</w:t>
            </w:r>
          </w:p>
        </w:tc>
      </w:tr>
      <w:tr>
        <w:trPr/>
        <w:tc>
          <w:tcPr>
            <w:tcW w:w="7569" w:type="dxa"/>
            <w:tcBorders/>
            <w:vAlign w:val="center"/>
          </w:tcPr>
          <w:p>
            <w:pPr>
              <w:pStyle w:val="Heading2"/>
              <w:bidi w:val="0"/>
              <w:spacing w:before="200" w:after="120"/>
              <w:ind w:hanging="0" w:start="0" w:end="0"/>
              <w:rPr/>
            </w:pPr>
            <w:bookmarkStart w:id="64" w:name="fertigstellung-der-baubeschreibung"/>
            <w:bookmarkEnd w:id="64"/>
            <w:r>
              <w:rPr/>
              <w:t>11 Fertigstellung der Baubeschreibung</w:t>
            </w:r>
          </w:p>
        </w:tc>
        <w:tc>
          <w:tcPr>
            <w:tcW w:w="7965" w:type="dxa"/>
            <w:tcBorders/>
            <w:vAlign w:val="center"/>
          </w:tcPr>
          <w:p>
            <w:pPr>
              <w:pStyle w:val="Heading2"/>
              <w:bidi w:val="0"/>
              <w:spacing w:before="200" w:after="120"/>
              <w:ind w:hanging="0" w:start="0" w:end="0"/>
              <w:rPr/>
            </w:pPr>
            <w:bookmarkStart w:id="65" w:name="completion-of-the-building-specification"/>
            <w:bookmarkEnd w:id="65"/>
            <w:r>
              <w:rPr/>
              <w:t>11 Completion of the Building Specification</w:t>
            </w:r>
          </w:p>
        </w:tc>
      </w:tr>
      <w:tr>
        <w:trPr/>
        <w:tc>
          <w:tcPr>
            <w:tcW w:w="7569" w:type="dxa"/>
            <w:tcBorders/>
            <w:vAlign w:val="center"/>
          </w:tcPr>
          <w:p>
            <w:pPr>
              <w:pStyle w:val="TableContents"/>
              <w:bidi w:val="0"/>
              <w:spacing w:before="0" w:after="283"/>
              <w:rPr/>
            </w:pPr>
            <w:r>
              <w:rPr/>
              <w:t>Diese Baubeschreibung ist Bestandteil des Bauträgervertrags. Bei Lücken oder Unklarheiten gilt die für die Käuferin günstigere Auslegung, soweit sich aus Vertrag, Plänen, anerkannten Regeln der Technik oder zwingendem Recht nichts Eindeutiges ergibt.</w:t>
            </w:r>
          </w:p>
        </w:tc>
        <w:tc>
          <w:tcPr>
            <w:tcW w:w="7965" w:type="dxa"/>
            <w:tcBorders/>
            <w:vAlign w:val="center"/>
          </w:tcPr>
          <w:p>
            <w:pPr>
              <w:pStyle w:val="TableContents"/>
              <w:bidi w:val="0"/>
              <w:spacing w:before="0" w:after="283"/>
              <w:rPr/>
            </w:pPr>
            <w:r>
              <w:rPr/>
              <w:t>This Building Specification is part of the building contract. In the event of gaps or ambiguities, the more favourable interpretation applies to the Buyer, insofar as nothing clear emerges from the contract, plans, recognised rules of technology or mandatory law.</w:t>
            </w:r>
          </w:p>
        </w:tc>
      </w:tr>
      <w:tr>
        <w:trPr/>
        <w:tc>
          <w:tcPr>
            <w:tcW w:w="7569" w:type="dxa"/>
            <w:tcBorders/>
            <w:vAlign w:val="center"/>
          </w:tcPr>
          <w:p>
            <w:pPr>
              <w:pStyle w:val="TableContents"/>
              <w:bidi w:val="0"/>
              <w:spacing w:before="0" w:after="283"/>
              <w:rPr/>
            </w:pPr>
            <w:r>
              <w:rPr/>
              <w:t>Köln, im September 2026</w:t>
            </w:r>
          </w:p>
        </w:tc>
        <w:tc>
          <w:tcPr>
            <w:tcW w:w="7965" w:type="dxa"/>
            <w:tcBorders/>
            <w:vAlign w:val="center"/>
          </w:tcPr>
          <w:p>
            <w:pPr>
              <w:pStyle w:val="TableContents"/>
              <w:bidi w:val="0"/>
              <w:spacing w:before="0" w:after="283"/>
              <w:rPr/>
            </w:pPr>
            <w:r>
              <w:rPr/>
              <w:t>Cologne, September 2026</w:t>
            </w:r>
          </w:p>
        </w:tc>
      </w:tr>
      <w:tr>
        <w:trPr/>
        <w:tc>
          <w:tcPr>
            <w:tcW w:w="7569" w:type="dxa"/>
            <w:tcBorders/>
            <w:vAlign w:val="center"/>
          </w:tcPr>
          <w:p>
            <w:pPr>
              <w:pStyle w:val="TableContents"/>
              <w:bidi w:val="0"/>
              <w:spacing w:before="0" w:after="283"/>
              <w:rPr/>
            </w:pPr>
            <w:r>
              <w:rPr/>
              <w:t>Lindenhain Wohnwerte GmbH &amp; Co. KG</w:t>
            </w:r>
          </w:p>
        </w:tc>
        <w:tc>
          <w:tcPr>
            <w:tcW w:w="7965" w:type="dxa"/>
            <w:tcBorders/>
            <w:vAlign w:val="center"/>
          </w:tcPr>
          <w:p>
            <w:pPr>
              <w:pStyle w:val="TableContents"/>
              <w:bidi w:val="0"/>
              <w:spacing w:before="0" w:after="283"/>
              <w:rPr/>
            </w:pPr>
            <w:r>
              <w:rPr/>
              <w:t>Lindenhain Wohnwerte GmbH &amp; Co. KG</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569" w:type="dxa"/>
            <w:tcBorders/>
            <w:vAlign w:val="center"/>
          </w:tcPr>
          <w:p>
            <w:pPr>
              <w:pStyle w:val="Heading1"/>
              <w:bidi w:val="0"/>
              <w:spacing w:before="240" w:after="283"/>
              <w:ind w:hanging="0" w:start="0" w:end="0"/>
              <w:rPr/>
            </w:pPr>
            <w:bookmarkStart w:id="66" w:name="sprachvorrang"/>
            <w:bookmarkEnd w:id="66"/>
            <w:r>
              <w:rPr/>
              <w:t>Sprachvorrang</w:t>
            </w:r>
          </w:p>
        </w:tc>
        <w:tc>
          <w:tcPr>
            <w:tcW w:w="7965" w:type="dxa"/>
            <w:tcBorders/>
            <w:vAlign w:val="center"/>
          </w:tcPr>
          <w:p>
            <w:pPr>
              <w:pStyle w:val="Heading1"/>
              <w:bidi w:val="0"/>
              <w:spacing w:before="240" w:after="283"/>
              <w:ind w:hanging="0" w:start="0" w:end="0"/>
              <w:rPr/>
            </w:pPr>
            <w:bookmarkStart w:id="67" w:name="language-precedence"/>
            <w:bookmarkEnd w:id="67"/>
            <w:r>
              <w:rPr/>
              <w:t>Language Precedence</w:t>
            </w:r>
          </w:p>
        </w:tc>
      </w:tr>
      <w:tr>
        <w:trPr/>
        <w:tc>
          <w:tcPr>
            <w:tcW w:w="7569" w:type="dxa"/>
            <w:tcBorders/>
            <w:vAlign w:val="center"/>
          </w:tcPr>
          <w:p>
            <w:pPr>
              <w:pStyle w:val="TableContents"/>
              <w:bidi w:val="0"/>
              <w:spacing w:before="0" w:after="283"/>
              <w:rPr/>
            </w:pPr>
            <w:r>
              <w:rPr>
                <w:rStyle w:val="Strong"/>
              </w:rPr>
              <w:t>SV.1</w:t>
            </w:r>
            <w:r>
              <w:rPr/>
              <w:t xml:space="preserve"> Bei Konflikten, Auslegungszweifeln, Abweichungen, Übersetzungsungenauigkeiten oder sonstigen Widersprüchen zwischen der deutschen und der englischen Sprachfassung ist ausschließlich die deutsche Sprachfassung maßgeblich. Die englische Sprachfassung tritt in jedem Fall hinter die deutsche Sprachfassung zurück und dient allein als Verständnishilfe.</w:t>
            </w:r>
          </w:p>
        </w:tc>
        <w:tc>
          <w:tcPr>
            <w:tcW w:w="7965" w:type="dxa"/>
            <w:tcBorders/>
            <w:vAlign w:val="center"/>
          </w:tcPr>
          <w:p>
            <w:pPr>
              <w:pStyle w:val="TableContents"/>
              <w:bidi w:val="0"/>
              <w:spacing w:before="0" w:after="283"/>
              <w:rPr/>
            </w:pPr>
            <w:r>
              <w:rPr>
                <w:rStyle w:val="Strong"/>
              </w:rPr>
              <w:t>SV.1</w:t>
            </w:r>
            <w:r>
              <w:rPr/>
              <w:t xml:space="preserve"> In the event of conflicts, doubts of interpretation, deviations, translation inaccuracies or any other inconsistencies between the German and English language versions, only the German language version shall be authoritative. The English language version shall in all cases be subordinate to the German language version and serves solely as a comprehension aid.</w:t>
            </w:r>
          </w:p>
        </w:tc>
      </w:tr>
    </w:tbl>
    <w:p>
      <w:pPr>
        <w:pStyle w:val="BodyText"/>
        <w:bidi w:val="0"/>
        <w:spacing w:before="0" w:after="283"/>
        <w:rPr/>
      </w:pPr>
      <w:r>
        <w:rPr/>
      </w:r>
    </w:p>
    <w:sectPr>
      <w:type w:val="nextPage"/>
      <w:pgSz w:orient="landscape" w:w="16838" w:h="11906"/>
      <w:pgMar w:left="652" w:right="652" w:gutter="0" w:header="0" w:top="765" w:footer="0" w:bottom="709"/>
      <w:pgNumType w:fmt="decimal"/>
      <w:formProt w:val="false"/>
      <w:textDirection w:val="lrTb"/>
      <w:docGrid w:type="default" w:linePitch="600" w:charSpace="4751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altName w:val="Georgia"/>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2"/>
    </w:pPr>
    <w:rPr>
      <w:rFonts w:ascii="DejaVu Serif;Georgia;serif" w:hAnsi="DejaVu Serif;Georgia;serif" w:eastAsia="DejaVu Serif;Georgia;serif" w:cs="DejaVu Serif;Georgia;serif"/>
      <w:color w:val="111111"/>
      <w:sz w:val="17"/>
      <w:szCs w:val="17"/>
      <w:lang w:val="en-US" w:eastAsia="zh-CN" w:bidi="hi-IN"/>
    </w:rPr>
  </w:style>
  <w:style w:type="paragraph" w:styleId="Heading1">
    <w:name w:val="heading 1"/>
    <w:basedOn w:val="Heading"/>
    <w:next w:val="BodyText"/>
    <w:qFormat/>
    <w:pPr>
      <w:keepNext w:val="true"/>
      <w:pBdr>
        <w:bottom w:val="single" w:sz="2" w:space="1" w:color="333333"/>
      </w:pBdr>
    </w:pPr>
    <w:rPr>
      <w:b/>
      <w:bCs/>
      <w:sz w:val="23"/>
      <w:szCs w:val="23"/>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Songti SC" w:cs="Arial Unicode MS"/>
      <w:b/>
      <w:bCs/>
      <w:sz w:val="20"/>
      <w:szCs w:val="20"/>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Songti SC" w:cs="Arial Unicode MS"/>
      <w:b/>
      <w:bCs/>
      <w:sz w:val="18"/>
      <w:szCs w:val="1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lockQuotation">
    <w:name w:val="Block Quotation"/>
    <w:basedOn w:val="Normal"/>
    <w:qFormat/>
    <w:pPr>
      <w:pBdr>
        <w:left w:val="single" w:sz="6" w:space="1" w:color="AAAAAA"/>
      </w:pBdr>
      <w:spacing w:before="0" w:after="283"/>
      <w:ind w:hanging="0" w:start="567" w:end="567"/>
    </w:pPr>
    <w:rPr/>
  </w:style>
  <w:style w:type="paragraph" w:styleId="Heading1doc-title">
    <w:name w:val="Heading 1.doc-title"/>
    <w:basedOn w:val="Heading1"/>
    <w:qFormat/>
    <w:pPr/>
    <w:rPr>
      <w:spacing w:val="0"/>
      <w:sz w:val="32"/>
      <w:szCs w:val="32"/>
    </w:rPr>
  </w:style>
  <w:style w:type="paragraph" w:styleId="BodyTextdoc-note">
    <w:name w:val="Body Text.doc-note"/>
    <w:basedOn w:val="BodyText"/>
    <w:qFormat/>
    <w:pPr/>
    <w:rPr>
      <w:color w:val="333333"/>
      <w:sz w:val="17"/>
      <w:szCs w:val="17"/>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9243</Words>
  <Characters>59872</Characters>
  <CharactersWithSpaces>68692</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Wohnungsbauträgervertrag mit Auflassung — Deutsch/English</dc:title>
</cp:coreProperties>
</file>

<file path=docProps/custom.xml><?xml version="1.0" encoding="utf-8"?>
<Properties xmlns="http://schemas.openxmlformats.org/officeDocument/2006/custom-properties" xmlns:vt="http://schemas.openxmlformats.org/officeDocument/2006/docPropsVTypes"/>
</file>