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914"/>
        <w:gridCol w:w="7620"/>
      </w:tblGrid>
      <w:tr>
        <w:trPr>
          <w:tblHeader w:val="true"/>
        </w:trPr>
        <w:tc>
          <w:tcPr>
            <w:tcW w:w="7914" w:type="dxa"/>
            <w:tcBorders/>
            <w:vAlign w:val="center"/>
          </w:tcPr>
          <w:p>
            <w:pPr>
              <w:pStyle w:val="TableHeading"/>
              <w:suppressLineNumbers/>
              <w:bidi w:val="0"/>
              <w:spacing w:before="0" w:after="283"/>
              <w:jc w:val="center"/>
              <w:rPr/>
            </w:pPr>
            <w:r>
              <w:rPr/>
              <w:t>Deutsche Fassung</w:t>
            </w:r>
          </w:p>
        </w:tc>
        <w:tc>
          <w:tcPr>
            <w:tcW w:w="7620" w:type="dxa"/>
            <w:tcBorders/>
            <w:vAlign w:val="center"/>
          </w:tcPr>
          <w:p>
            <w:pPr>
              <w:pStyle w:val="TableHeading"/>
              <w:suppressLineNumbers/>
              <w:bidi w:val="0"/>
              <w:spacing w:before="0" w:after="283"/>
              <w:jc w:val="center"/>
              <w:rPr/>
            </w:pPr>
            <w:r>
              <w:rPr/>
              <w:t>English convenience translation</w:t>
            </w:r>
          </w:p>
        </w:tc>
      </w:tr>
      <w:tr>
        <w:trPr/>
        <w:tc>
          <w:tcPr>
            <w:tcW w:w="7914" w:type="dxa"/>
            <w:tcBorders/>
            <w:vAlign w:val="center"/>
          </w:tcPr>
          <w:p>
            <w:pPr>
              <w:pStyle w:val="Heading1"/>
              <w:bidi w:val="0"/>
              <w:spacing w:before="240" w:after="283"/>
              <w:ind w:hanging="0" w:start="0" w:end="0"/>
              <w:rPr/>
            </w:pPr>
            <w:bookmarkStart w:id="0" w:name="bauträgervertrag"/>
            <w:bookmarkEnd w:id="0"/>
            <w:r>
              <w:rPr/>
              <w:t>Bauträgervertrag</w:t>
            </w:r>
          </w:p>
        </w:tc>
        <w:tc>
          <w:tcPr>
            <w:tcW w:w="7620"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914"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620"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914"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620"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 w:name="ur-nr.-7442026-bs"/>
            <w:bookmarkEnd w:id="4"/>
            <w:r>
              <w:rPr/>
              <w:t>UR-Nr. 744/2026 BS</w:t>
            </w:r>
          </w:p>
        </w:tc>
        <w:tc>
          <w:tcPr>
            <w:tcW w:w="7620" w:type="dxa"/>
            <w:tcBorders/>
            <w:vAlign w:val="center"/>
          </w:tcPr>
          <w:p>
            <w:pPr>
              <w:pStyle w:val="Heading1"/>
              <w:bidi w:val="0"/>
              <w:spacing w:before="240" w:after="283"/>
              <w:ind w:hanging="0" w:start="0" w:end="0"/>
              <w:rPr/>
            </w:pPr>
            <w:bookmarkStart w:id="5" w:name="ur-no-7442026-bs"/>
            <w:bookmarkEnd w:id="5"/>
            <w:r>
              <w:rPr/>
              <w:t>UR No 744/2026 BS</w:t>
            </w:r>
          </w:p>
        </w:tc>
      </w:tr>
      <w:tr>
        <w:trPr/>
        <w:tc>
          <w:tcPr>
            <w:tcW w:w="7914" w:type="dxa"/>
            <w:tcBorders/>
            <w:vAlign w:val="center"/>
          </w:tcPr>
          <w:p>
            <w:pPr>
              <w:pStyle w:val="Heading2"/>
              <w:bidi w:val="0"/>
              <w:spacing w:before="200" w:after="120"/>
              <w:ind w:hanging="0" w:start="0" w:end="0"/>
              <w:rPr/>
            </w:pPr>
            <w:bookmarkStart w:id="6" w:name="verhandelt"/>
            <w:bookmarkEnd w:id="6"/>
            <w:r>
              <w:rPr/>
              <w:t>Verhandelt</w:t>
            </w:r>
          </w:p>
        </w:tc>
        <w:tc>
          <w:tcPr>
            <w:tcW w:w="7620" w:type="dxa"/>
            <w:tcBorders/>
            <w:vAlign w:val="center"/>
          </w:tcPr>
          <w:p>
            <w:pPr>
              <w:pStyle w:val="Heading2"/>
              <w:bidi w:val="0"/>
              <w:spacing w:before="200" w:after="120"/>
              <w:ind w:hanging="0" w:start="0" w:end="0"/>
              <w:rPr/>
            </w:pPr>
            <w:bookmarkStart w:id="7" w:name="negotiated"/>
            <w:bookmarkEnd w:id="7"/>
            <w:r>
              <w:rPr/>
              <w:t>Negotiated</w:t>
            </w:r>
          </w:p>
        </w:tc>
      </w:tr>
      <w:tr>
        <w:trPr/>
        <w:tc>
          <w:tcPr>
            <w:tcW w:w="7914" w:type="dxa"/>
            <w:tcBorders/>
            <w:vAlign w:val="center"/>
          </w:tcPr>
          <w:p>
            <w:pPr>
              <w:pStyle w:val="TableContents"/>
              <w:bidi w:val="0"/>
              <w:spacing w:before="0" w:after="283"/>
              <w:rPr/>
            </w:pPr>
            <w:r>
              <w:rPr/>
              <w:t>zu Hamburg, am 12. Juni 2026</w:t>
            </w:r>
          </w:p>
        </w:tc>
        <w:tc>
          <w:tcPr>
            <w:tcW w:w="7620" w:type="dxa"/>
            <w:tcBorders/>
            <w:vAlign w:val="center"/>
          </w:tcPr>
          <w:p>
            <w:pPr>
              <w:pStyle w:val="TableContents"/>
              <w:bidi w:val="0"/>
              <w:spacing w:before="0" w:after="283"/>
              <w:rPr/>
            </w:pPr>
            <w:r>
              <w:rPr/>
              <w:t>in Hamburg, on 12 June 2026</w:t>
            </w:r>
          </w:p>
        </w:tc>
      </w:tr>
      <w:tr>
        <w:trPr/>
        <w:tc>
          <w:tcPr>
            <w:tcW w:w="7914" w:type="dxa"/>
            <w:tcBorders/>
            <w:vAlign w:val="center"/>
          </w:tcPr>
          <w:p>
            <w:pPr>
              <w:pStyle w:val="TableContents"/>
              <w:bidi w:val="0"/>
              <w:spacing w:before="0" w:after="283"/>
              <w:rPr/>
            </w:pPr>
            <w:r>
              <w:rPr/>
              <w:t>Vor mir, der unterzeichnenden Notarin im Bezirk des Hanseatischen Oberlandesgerichts</w:t>
            </w:r>
          </w:p>
        </w:tc>
        <w:tc>
          <w:tcPr>
            <w:tcW w:w="7620" w:type="dxa"/>
            <w:tcBorders/>
            <w:vAlign w:val="center"/>
          </w:tcPr>
          <w:p>
            <w:pPr>
              <w:pStyle w:val="TableContents"/>
              <w:bidi w:val="0"/>
              <w:spacing w:before="0" w:after="283"/>
              <w:rPr/>
            </w:pPr>
            <w:r>
              <w:rPr/>
              <w:t>Before me, the undersigned Notary in the district of the Hanseatic Higher Regional Court</w:t>
            </w:r>
          </w:p>
        </w:tc>
      </w:tr>
      <w:tr>
        <w:trPr/>
        <w:tc>
          <w:tcPr>
            <w:tcW w:w="7914" w:type="dxa"/>
            <w:tcBorders/>
            <w:vAlign w:val="center"/>
          </w:tcPr>
          <w:p>
            <w:pPr>
              <w:pStyle w:val="TableContents"/>
              <w:bidi w:val="0"/>
              <w:spacing w:before="0" w:after="283"/>
              <w:rPr/>
            </w:pPr>
            <w:r>
              <w:rPr>
                <w:rStyle w:val="Strong"/>
              </w:rPr>
              <w:t>Dr. Cornelia Brakelmann-Stüve</w:t>
            </w:r>
          </w:p>
        </w:tc>
        <w:tc>
          <w:tcPr>
            <w:tcW w:w="7620" w:type="dxa"/>
            <w:tcBorders/>
            <w:vAlign w:val="center"/>
          </w:tcPr>
          <w:p>
            <w:pPr>
              <w:pStyle w:val="TableContents"/>
              <w:bidi w:val="0"/>
              <w:spacing w:before="0" w:after="283"/>
              <w:rPr/>
            </w:pPr>
            <w:r>
              <w:rPr>
                <w:rStyle w:val="Strong"/>
              </w:rPr>
              <w:t>Dr. Cornelia Brakelmann-Stüve</w:t>
            </w:r>
          </w:p>
        </w:tc>
      </w:tr>
      <w:tr>
        <w:trPr/>
        <w:tc>
          <w:tcPr>
            <w:tcW w:w="7914" w:type="dxa"/>
            <w:tcBorders/>
            <w:vAlign w:val="center"/>
          </w:tcPr>
          <w:p>
            <w:pPr>
              <w:pStyle w:val="TableContents"/>
              <w:bidi w:val="0"/>
              <w:spacing w:before="0" w:after="283"/>
              <w:rPr/>
            </w:pPr>
            <w:r>
              <w:rPr/>
              <w:t>Ballindamm 17, 20095 Hamburg</w:t>
            </w:r>
          </w:p>
        </w:tc>
        <w:tc>
          <w:tcPr>
            <w:tcW w:w="7620" w:type="dxa"/>
            <w:tcBorders/>
            <w:vAlign w:val="center"/>
          </w:tcPr>
          <w:p>
            <w:pPr>
              <w:pStyle w:val="TableContents"/>
              <w:bidi w:val="0"/>
              <w:spacing w:before="0" w:after="283"/>
              <w:rPr/>
            </w:pPr>
            <w:r>
              <w:rPr/>
              <w:t>Ballindamm 17, 20095 Hamburg</w:t>
            </w:r>
          </w:p>
        </w:tc>
      </w:tr>
      <w:tr>
        <w:trPr/>
        <w:tc>
          <w:tcPr>
            <w:tcW w:w="7914" w:type="dxa"/>
            <w:tcBorders/>
            <w:vAlign w:val="center"/>
          </w:tcPr>
          <w:p>
            <w:pPr>
              <w:pStyle w:val="TableContents"/>
              <w:bidi w:val="0"/>
              <w:spacing w:before="0" w:after="283"/>
              <w:rPr/>
            </w:pPr>
            <w:r>
              <w:rPr/>
              <w:t>erschienen heute:</w:t>
            </w:r>
          </w:p>
        </w:tc>
        <w:tc>
          <w:tcPr>
            <w:tcW w:w="7620" w:type="dxa"/>
            <w:tcBorders/>
            <w:vAlign w:val="center"/>
          </w:tcPr>
          <w:p>
            <w:pPr>
              <w:pStyle w:val="TableContents"/>
              <w:bidi w:val="0"/>
              <w:spacing w:before="0" w:after="283"/>
              <w:rPr/>
            </w:pPr>
            <w:r>
              <w:rPr/>
              <w:t>appeared today:</w:t>
            </w:r>
          </w:p>
        </w:tc>
      </w:tr>
      <w:tr>
        <w:trPr/>
        <w:tc>
          <w:tcPr>
            <w:tcW w:w="7914" w:type="dxa"/>
            <w:tcBorders/>
            <w:vAlign w:val="center"/>
          </w:tcPr>
          <w:p>
            <w:pPr>
              <w:pStyle w:val="TableContents"/>
              <w:bidi w:val="0"/>
              <w:spacing w:before="0" w:after="283"/>
              <w:rPr/>
            </w:pPr>
            <w:r>
              <w:rPr/>
              <w:t xml:space="preserve">Herr </w:t>
            </w:r>
            <w:r>
              <w:rPr>
                <w:rStyle w:val="Strong"/>
              </w:rPr>
              <w:t>Gisbert Tönnemann-Loose</w:t>
            </w:r>
            <w:r>
              <w:rPr/>
              <w:t>, geboren am 24.09.1972,</w:t>
            </w:r>
          </w:p>
        </w:tc>
        <w:tc>
          <w:tcPr>
            <w:tcW w:w="7620" w:type="dxa"/>
            <w:tcBorders/>
            <w:vAlign w:val="center"/>
          </w:tcPr>
          <w:p>
            <w:pPr>
              <w:pStyle w:val="TableContents"/>
              <w:bidi w:val="0"/>
              <w:spacing w:before="0" w:after="283"/>
              <w:rPr/>
            </w:pPr>
            <w:r>
              <w:rPr/>
              <w:t>Mr Gisbert Tönnemann-Loose, born 24.09.1972,</w:t>
            </w:r>
          </w:p>
        </w:tc>
      </w:tr>
      <w:tr>
        <w:trPr/>
        <w:tc>
          <w:tcPr>
            <w:tcW w:w="7914" w:type="dxa"/>
            <w:tcBorders/>
            <w:vAlign w:val="center"/>
          </w:tcPr>
          <w:p>
            <w:pPr>
              <w:pStyle w:val="TableContents"/>
              <w:bidi w:val="0"/>
              <w:spacing w:before="0" w:after="283"/>
              <w:rPr/>
            </w:pPr>
            <w:r>
              <w:rPr/>
              <w:t>geschäftsansässig: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der Notarin von Person bekannt,</w:t>
            </w:r>
          </w:p>
        </w:tc>
        <w:tc>
          <w:tcPr>
            <w:tcW w:w="7620" w:type="dxa"/>
            <w:tcBorders/>
            <w:vAlign w:val="center"/>
          </w:tcPr>
          <w:p>
            <w:pPr>
              <w:pStyle w:val="TableContents"/>
              <w:bidi w:val="0"/>
              <w:spacing w:before="0" w:after="283"/>
              <w:rPr/>
            </w:pPr>
            <w:r>
              <w:rPr/>
              <w:t>personally known to the Notary,</w:t>
            </w:r>
          </w:p>
        </w:tc>
      </w:tr>
      <w:tr>
        <w:trPr/>
        <w:tc>
          <w:tcPr>
            <w:tcW w:w="7914" w:type="dxa"/>
            <w:tcBorders/>
            <w:vAlign w:val="center"/>
          </w:tcPr>
          <w:p>
            <w:pPr>
              <w:pStyle w:val="TableContents"/>
              <w:bidi w:val="0"/>
              <w:spacing w:before="0" w:after="283"/>
              <w:rPr/>
            </w:pPr>
            <w:r>
              <w:rPr/>
              <w:t>handelnd nicht im eigenen Namen, sondern als alleinvertretungsberechtigter, von den Beschränkungen des § 181 BGB befreiter Prokurist für die</w:t>
            </w:r>
          </w:p>
        </w:tc>
        <w:tc>
          <w:tcPr>
            <w:tcW w:w="7620" w:type="dxa"/>
            <w:tcBorders/>
            <w:vAlign w:val="center"/>
          </w:tcPr>
          <w:p>
            <w:pPr>
              <w:pStyle w:val="TableContents"/>
              <w:bidi w:val="0"/>
              <w:spacing w:before="0" w:after="283"/>
              <w:rPr/>
            </w:pPr>
            <w:r>
              <w:rPr/>
              <w:t>acting not in his own name, but as an authorized representative, exempted from the restrictions of § 181 BGB for the</w:t>
            </w:r>
          </w:p>
        </w:tc>
      </w:tr>
      <w:tr>
        <w:trPr/>
        <w:tc>
          <w:tcPr>
            <w:tcW w:w="7914" w:type="dxa"/>
            <w:tcBorders/>
            <w:vAlign w:val="center"/>
          </w:tcPr>
          <w:p>
            <w:pPr>
              <w:pStyle w:val="TableContents"/>
              <w:bidi w:val="0"/>
              <w:spacing w:before="0" w:after="283"/>
              <w:rPr/>
            </w:pPr>
            <w:r>
              <w:rPr>
                <w:rStyle w:val="Strong"/>
              </w:rPr>
              <w:t>Marewald Wohnbau GmbH &amp; Co. KG</w:t>
            </w:r>
          </w:p>
        </w:tc>
        <w:tc>
          <w:tcPr>
            <w:tcW w:w="7620" w:type="dxa"/>
            <w:tcBorders/>
            <w:vAlign w:val="center"/>
          </w:tcPr>
          <w:p>
            <w:pPr>
              <w:pStyle w:val="TableContents"/>
              <w:bidi w:val="0"/>
              <w:spacing w:before="0" w:after="283"/>
              <w:rPr/>
            </w:pPr>
            <w:r>
              <w:rPr>
                <w:rStyle w:val="Strong"/>
              </w:rPr>
              <w:t>Marewald Wohnbau GmbH &amp; Co. KG</w:t>
            </w:r>
          </w:p>
        </w:tc>
      </w:tr>
      <w:tr>
        <w:trPr/>
        <w:tc>
          <w:tcPr>
            <w:tcW w:w="7914" w:type="dxa"/>
            <w:tcBorders/>
            <w:vAlign w:val="center"/>
          </w:tcPr>
          <w:p>
            <w:pPr>
              <w:pStyle w:val="TableContents"/>
              <w:bidi w:val="0"/>
              <w:spacing w:before="0" w:after="283"/>
              <w:rPr/>
            </w:pPr>
            <w:r>
              <w:rPr/>
              <w:t>(Amtsgericht Hamburg, HRA 121 540; Komplementärin: Marewald Verwaltungs GmbH, Amtsgericht Hamburg, HRB 158 994),</w:t>
            </w:r>
          </w:p>
        </w:tc>
        <w:tc>
          <w:tcPr>
            <w:tcW w:w="7620" w:type="dxa"/>
            <w:tcBorders/>
            <w:vAlign w:val="center"/>
          </w:tcPr>
          <w:p>
            <w:pPr>
              <w:pStyle w:val="TableContents"/>
              <w:bidi w:val="0"/>
              <w:spacing w:before="0" w:after="283"/>
              <w:rPr/>
            </w:pPr>
            <w:r>
              <w:rPr/>
              <w:t>(Amtsgericht Hamburg, HRA 121 540); Complementary: Marewald Verwaltungs GmbH, District Court of Hamburg, HRB 158 994,</w:t>
            </w:r>
          </w:p>
        </w:tc>
      </w:tr>
      <w:tr>
        <w:trPr/>
        <w:tc>
          <w:tcPr>
            <w:tcW w:w="7914" w:type="dxa"/>
            <w:tcBorders/>
            <w:vAlign w:val="center"/>
          </w:tcPr>
          <w:p>
            <w:pPr>
              <w:pStyle w:val="TableContents"/>
              <w:bidi w:val="0"/>
              <w:spacing w:before="0" w:after="283"/>
              <w:rPr/>
            </w:pPr>
            <w:r>
              <w:rPr/>
              <w:t>Geschäftsanschrift: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 xml:space="preserve">— </w:t>
            </w:r>
            <w:r>
              <w:rPr/>
              <w:t>nachstehend auch „Verkäufer” genannt —.</w:t>
            </w:r>
          </w:p>
        </w:tc>
        <w:tc>
          <w:tcPr>
            <w:tcW w:w="7620" w:type="dxa"/>
            <w:tcBorders/>
            <w:vAlign w:val="center"/>
          </w:tcPr>
          <w:p>
            <w:pPr>
              <w:pStyle w:val="TableContents"/>
              <w:bidi w:val="0"/>
              <w:spacing w:before="0" w:after="283"/>
              <w:rPr/>
            </w:pPr>
            <w:r>
              <w:rPr/>
              <w:t>hereinafter referred to as ‘the Seller’.</w:t>
            </w:r>
          </w:p>
        </w:tc>
      </w:tr>
      <w:tr>
        <w:trPr/>
        <w:tc>
          <w:tcPr>
            <w:tcW w:w="7914" w:type="dxa"/>
            <w:tcBorders/>
            <w:vAlign w:val="center"/>
          </w:tcPr>
          <w:p>
            <w:pPr>
              <w:pStyle w:val="TableContents"/>
              <w:bidi w:val="0"/>
              <w:spacing w:before="0" w:after="283"/>
              <w:rPr/>
            </w:pPr>
            <w:r>
              <w:rPr/>
              <w:t>Die Vertretungsberechtigung wurde der Notarin durch Einsicht in das Handelsregister am heutigen Tage nachgewiesen.</w:t>
            </w:r>
          </w:p>
        </w:tc>
        <w:tc>
          <w:tcPr>
            <w:tcW w:w="7620" w:type="dxa"/>
            <w:tcBorders/>
            <w:vAlign w:val="center"/>
          </w:tcPr>
          <w:p>
            <w:pPr>
              <w:pStyle w:val="TableContents"/>
              <w:bidi w:val="0"/>
              <w:spacing w:before="0" w:after="283"/>
              <w:rPr/>
            </w:pPr>
            <w:r>
              <w:rPr/>
              <w:t>The authorization of representation was proven to the Notary by inspection of the commercial register today.</w:t>
            </w:r>
          </w:p>
        </w:tc>
      </w:tr>
      <w:tr>
        <w:trPr/>
        <w:tc>
          <w:tcPr>
            <w:tcW w:w="7914" w:type="dxa"/>
            <w:tcBorders/>
            <w:vAlign w:val="center"/>
          </w:tcPr>
          <w:p>
            <w:pPr>
              <w:pStyle w:val="TableContents"/>
              <w:bidi w:val="0"/>
              <w:spacing w:before="0" w:after="283"/>
              <w:rPr/>
            </w:pPr>
            <w:r>
              <w:rPr/>
              <w:t xml:space="preserve">Frau </w:t>
            </w:r>
            <w:r>
              <w:rPr>
                <w:rStyle w:val="Strong"/>
              </w:rPr>
              <w:t>Dr. Henrike Salentin-Voßkamp</w:t>
            </w:r>
            <w:r>
              <w:rPr/>
              <w:t>, geboren am 07.05.1979,</w:t>
            </w:r>
          </w:p>
        </w:tc>
        <w:tc>
          <w:tcPr>
            <w:tcW w:w="7620" w:type="dxa"/>
            <w:tcBorders/>
            <w:vAlign w:val="center"/>
          </w:tcPr>
          <w:p>
            <w:pPr>
              <w:pStyle w:val="TableContents"/>
              <w:bidi w:val="0"/>
              <w:spacing w:before="0" w:after="283"/>
              <w:rPr/>
            </w:pPr>
            <w:r>
              <w:rPr/>
              <w:t>Ms Dr Henrike Salentin-Voßkamp, born on 07.05.1979,</w:t>
            </w:r>
          </w:p>
        </w:tc>
      </w:tr>
      <w:tr>
        <w:trPr/>
        <w:tc>
          <w:tcPr>
            <w:tcW w:w="7914" w:type="dxa"/>
            <w:tcBorders/>
            <w:vAlign w:val="center"/>
          </w:tcPr>
          <w:p>
            <w:pPr>
              <w:pStyle w:val="TableContents"/>
              <w:bidi w:val="0"/>
              <w:spacing w:before="0" w:after="283"/>
              <w:rPr/>
            </w:pPr>
            <w:r>
              <w:rPr/>
              <w:t>wohnhaft: Wandsbeker Chaussee 162, 22089 Hamburg,</w:t>
            </w:r>
          </w:p>
        </w:tc>
        <w:tc>
          <w:tcPr>
            <w:tcW w:w="7620" w:type="dxa"/>
            <w:tcBorders/>
            <w:vAlign w:val="center"/>
          </w:tcPr>
          <w:p>
            <w:pPr>
              <w:pStyle w:val="TableContents"/>
              <w:bidi w:val="0"/>
              <w:spacing w:before="0" w:after="283"/>
              <w:rPr/>
            </w:pPr>
            <w:r>
              <w:rPr/>
              <w:t>resident at: Wandsbeker Chaussee 162, 22089 Hamburg,</w:t>
            </w:r>
          </w:p>
        </w:tc>
      </w:tr>
      <w:tr>
        <w:trPr/>
        <w:tc>
          <w:tcPr>
            <w:tcW w:w="7914" w:type="dxa"/>
            <w:tcBorders/>
            <w:vAlign w:val="center"/>
          </w:tcPr>
          <w:p>
            <w:pPr>
              <w:pStyle w:val="TableContents"/>
              <w:bidi w:val="0"/>
              <w:spacing w:before="0" w:after="283"/>
              <w:rPr/>
            </w:pPr>
            <w:r>
              <w:rPr/>
              <w:t>ausgewiesen durch gültigen Personalausweis,</w:t>
            </w:r>
          </w:p>
        </w:tc>
        <w:tc>
          <w:tcPr>
            <w:tcW w:w="7620" w:type="dxa"/>
            <w:tcBorders/>
            <w:vAlign w:val="center"/>
          </w:tcPr>
          <w:p>
            <w:pPr>
              <w:pStyle w:val="TableContents"/>
              <w:bidi w:val="0"/>
              <w:spacing w:before="0" w:after="283"/>
              <w:rPr/>
            </w:pPr>
            <w:r>
              <w:rPr/>
              <w:t>identified by a valid identity card,</w:t>
            </w:r>
          </w:p>
        </w:tc>
      </w:tr>
      <w:tr>
        <w:trPr/>
        <w:tc>
          <w:tcPr>
            <w:tcW w:w="7914" w:type="dxa"/>
            <w:tcBorders/>
            <w:vAlign w:val="center"/>
          </w:tcPr>
          <w:p>
            <w:pPr>
              <w:pStyle w:val="TableContents"/>
              <w:bidi w:val="0"/>
              <w:spacing w:before="0" w:after="283"/>
              <w:rPr/>
            </w:pPr>
            <w:r>
              <w:rPr/>
              <w:t xml:space="preserve">— </w:t>
            </w:r>
            <w:r>
              <w:rPr/>
              <w:t>nachstehend auch „Käufer” genannt —.</w:t>
            </w:r>
          </w:p>
        </w:tc>
        <w:tc>
          <w:tcPr>
            <w:tcW w:w="7620" w:type="dxa"/>
            <w:tcBorders/>
            <w:vAlign w:val="center"/>
          </w:tcPr>
          <w:p>
            <w:pPr>
              <w:pStyle w:val="TableContents"/>
              <w:bidi w:val="0"/>
              <w:spacing w:before="0" w:after="283"/>
              <w:rPr/>
            </w:pPr>
            <w:r>
              <w:rPr/>
              <w:t>hereinafter also referred to as ‘Buyer’.</w:t>
            </w:r>
          </w:p>
        </w:tc>
      </w:tr>
      <w:tr>
        <w:trPr/>
        <w:tc>
          <w:tcPr>
            <w:tcW w:w="7914" w:type="dxa"/>
            <w:tcBorders/>
            <w:vAlign w:val="center"/>
          </w:tcPr>
          <w:p>
            <w:pPr>
              <w:pStyle w:val="TableContents"/>
              <w:bidi w:val="0"/>
              <w:spacing w:before="0" w:after="283"/>
              <w:rPr/>
            </w:pPr>
            <w:r>
              <w:rPr/>
              <w:t>Auf Befragen der Notarin erklärten der Erschienene zu 1. auf Rechnung des von ihm Vertretenen und die Erschienene zu 2. auf eigene Rechnung zu handeln.</w:t>
            </w:r>
          </w:p>
        </w:tc>
        <w:tc>
          <w:tcPr>
            <w:tcW w:w="7620" w:type="dxa"/>
            <w:tcBorders/>
            <w:vAlign w:val="center"/>
          </w:tcPr>
          <w:p>
            <w:pPr>
              <w:pStyle w:val="TableContents"/>
              <w:bidi w:val="0"/>
              <w:spacing w:before="0" w:after="283"/>
              <w:rPr/>
            </w:pPr>
            <w:r>
              <w:rPr/>
              <w:t>At the inquiry of the Notary, the publication declared 1. to act on behalf of the person represented by him and 2. to act on his own account.</w:t>
            </w:r>
          </w:p>
        </w:tc>
      </w:tr>
      <w:tr>
        <w:trPr/>
        <w:tc>
          <w:tcPr>
            <w:tcW w:w="7914" w:type="dxa"/>
            <w:tcBorders/>
            <w:vAlign w:val="center"/>
          </w:tcPr>
          <w:p>
            <w:pPr>
              <w:pStyle w:val="TableContents"/>
              <w:bidi w:val="0"/>
              <w:spacing w:before="0" w:after="283"/>
              <w:rPr/>
            </w:pPr>
            <w:r>
              <w:rPr/>
              <w:t>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tc>
        <w:tc>
          <w:tcPr>
            <w:tcW w:w="7620" w:type="dxa"/>
            <w:tcBorders/>
            <w:vAlign w:val="center"/>
          </w:tcPr>
          <w:p>
            <w:pPr>
              <w:pStyle w:val="TableContents"/>
              <w:bidi w:val="0"/>
              <w:spacing w:before="0" w:after="283"/>
              <w:rPr/>
            </w:pPr>
            <w:r>
              <w:rPr/>
              <w:t>The Notary has asked the parties whether, in the case to be recorded below, one of the persons associated with him or her for the joint pursuit of the profession or himself or herself has already worked or is working outside the scope of his or her duties. The interested parties explained that this was not the case.</w:t>
            </w:r>
          </w:p>
        </w:tc>
      </w:tr>
      <w:tr>
        <w:trPr/>
        <w:tc>
          <w:tcPr>
            <w:tcW w:w="7914" w:type="dxa"/>
            <w:tcBorders/>
            <w:vAlign w:val="center"/>
          </w:tcPr>
          <w:p>
            <w:pPr>
              <w:pStyle w:val="TableContents"/>
              <w:bidi w:val="0"/>
              <w:spacing w:before="0" w:after="283"/>
              <w:rPr/>
            </w:pPr>
            <w:r>
              <w:rPr/>
              <w:t>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tc>
        <w:tc>
          <w:tcPr>
            <w:tcW w:w="7620" w:type="dxa"/>
            <w:tcBorders/>
            <w:vAlign w:val="center"/>
          </w:tcPr>
          <w:p>
            <w:pPr>
              <w:pStyle w:val="TableContents"/>
              <w:bidi w:val="0"/>
              <w:spacing w:before="0" w:after="283"/>
              <w:rPr/>
            </w:pPr>
            <w:r>
              <w:rPr/>
              <w:t>The Buyer stated with regard to § 17 Abs. 2a sentence 2 no. 2 BeurkG, that the intended text of this contract including the referenced Building Specification and the declaration of division on 26. was provided by the Notary more than two weeks before today’s notarisation day and that he had sufficient opportunity to be examined.</w:t>
            </w:r>
          </w:p>
        </w:tc>
      </w:tr>
      <w:tr>
        <w:trPr/>
        <w:tc>
          <w:tcPr>
            <w:tcW w:w="7914" w:type="dxa"/>
            <w:tcBorders/>
            <w:vAlign w:val="center"/>
          </w:tcPr>
          <w:p>
            <w:pPr>
              <w:pStyle w:val="TableContents"/>
              <w:bidi w:val="0"/>
              <w:spacing w:before="0" w:after="283"/>
              <w:rPr/>
            </w:pPr>
            <w:r>
              <w:rPr/>
              <w:t>Die Erschienenen baten sodann um die Beurkundung des nachstehenden</w:t>
            </w:r>
          </w:p>
        </w:tc>
        <w:tc>
          <w:tcPr>
            <w:tcW w:w="7620" w:type="dxa"/>
            <w:tcBorders/>
            <w:vAlign w:val="center"/>
          </w:tcPr>
          <w:p>
            <w:pPr>
              <w:pStyle w:val="TableContents"/>
              <w:bidi w:val="0"/>
              <w:spacing w:before="0" w:after="283"/>
              <w:rPr/>
            </w:pPr>
            <w:r>
              <w:rPr/>
              <w:t>The persons appearing then requested the notarisation of the following</w:t>
            </w:r>
          </w:p>
        </w:tc>
      </w:tr>
      <w:tr>
        <w:trPr/>
        <w:tc>
          <w:tcPr>
            <w:tcW w:w="7914"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620"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914" w:type="dxa"/>
            <w:tcBorders/>
            <w:vAlign w:val="center"/>
          </w:tcPr>
          <w:p>
            <w:pPr>
              <w:pStyle w:val="Heading2"/>
              <w:bidi w:val="0"/>
              <w:spacing w:before="200" w:after="120"/>
              <w:ind w:hanging="0" w:start="0" w:end="0"/>
              <w:rPr/>
            </w:pPr>
            <w:bookmarkStart w:id="10" w:name="vorbemerkungen"/>
            <w:bookmarkEnd w:id="10"/>
            <w:r>
              <w:rPr/>
              <w:t>Vorbemerkungen</w:t>
            </w:r>
          </w:p>
        </w:tc>
        <w:tc>
          <w:tcPr>
            <w:tcW w:w="7620"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914" w:type="dxa"/>
            <w:tcBorders/>
            <w:vAlign w:val="center"/>
          </w:tcPr>
          <w:p>
            <w:pPr>
              <w:pStyle w:val="TableContents"/>
              <w:bidi w:val="0"/>
              <w:spacing w:before="0" w:after="283"/>
              <w:rPr/>
            </w:pPr>
            <w:r>
              <w:rPr>
                <w:rStyle w:val="Strong"/>
              </w:rPr>
              <w:t>0.1</w:t>
            </w:r>
            <w:r>
              <w:rPr/>
              <w:t xml:space="preserve"> Der Verkäufer errichtet nach Maßgabe der erteilten Baugenehmigung auf dem Grundstück</w:t>
            </w:r>
          </w:p>
        </w:tc>
        <w:tc>
          <w:tcPr>
            <w:tcW w:w="7620" w:type="dxa"/>
            <w:tcBorders/>
            <w:vAlign w:val="center"/>
          </w:tcPr>
          <w:p>
            <w:pPr>
              <w:pStyle w:val="TableContents"/>
              <w:bidi w:val="0"/>
              <w:spacing w:before="0" w:after="283"/>
              <w:rPr/>
            </w:pPr>
            <w:r>
              <w:rPr>
                <w:rStyle w:val="Strong"/>
              </w:rPr>
              <w:t>0.1</w:t>
            </w:r>
            <w:r>
              <w:rPr/>
              <w:t xml:space="preserve"> The Seller builds on the property in accordance with the granted building permit</w:t>
            </w:r>
          </w:p>
        </w:tc>
      </w:tr>
      <w:tr>
        <w:trPr/>
        <w:tc>
          <w:tcPr>
            <w:tcW w:w="7914" w:type="dxa"/>
            <w:tcBorders/>
            <w:vAlign w:val="center"/>
          </w:tcPr>
          <w:p>
            <w:pPr>
              <w:pStyle w:val="BlockQuotation"/>
              <w:pBdr>
                <w:left w:val="single" w:sz="6" w:space="1" w:color="AAAAAA"/>
              </w:pBdr>
              <w:bidi w:val="0"/>
              <w:spacing w:before="0" w:after="283"/>
              <w:ind w:hanging="0" w:start="567" w:end="567"/>
              <w:rPr/>
            </w:pPr>
            <w:r>
              <w:rPr/>
              <w:t>Gemarkung Eilbek, Flur 12, Flurstück 344/9, Gebäude- und Freifläche, „Marewald Höfe”, mit einer grundbuchlichen Größe von insgesamt 6.420 m², nachstehend auch das „Grundstück” genannt,</w:t>
            </w:r>
          </w:p>
        </w:tc>
        <w:tc>
          <w:tcPr>
            <w:tcW w:w="7620" w:type="dxa"/>
            <w:tcBorders/>
            <w:vAlign w:val="center"/>
          </w:tcPr>
          <w:p>
            <w:pPr>
              <w:pStyle w:val="BlockQuotation"/>
              <w:pBdr>
                <w:left w:val="single" w:sz="6" w:space="1" w:color="AAAAAA"/>
              </w:pBdr>
              <w:bidi w:val="0"/>
              <w:spacing w:before="0" w:after="283"/>
              <w:ind w:hanging="0" w:start="567" w:end="567"/>
              <w:rPr/>
            </w:pPr>
            <w:r>
              <w:rPr/>
              <w:t>Eilbek, corridor 12, cadastral parcel 344/9, building and open space, ‘Marewald Höfe’, with a total Land Register size of 6.420 m2, hereinafter also referred to as the ‘land plot’,</w:t>
            </w:r>
          </w:p>
        </w:tc>
      </w:tr>
      <w:tr>
        <w:trPr/>
        <w:tc>
          <w:tcPr>
            <w:tcW w:w="7914" w:type="dxa"/>
            <w:tcBorders/>
            <w:vAlign w:val="center"/>
          </w:tcPr>
          <w:p>
            <w:pPr>
              <w:pStyle w:val="TableContents"/>
              <w:bidi w:val="0"/>
              <w:spacing w:before="0" w:after="283"/>
              <w:rPr/>
            </w:pPr>
            <w:r>
              <w:rPr/>
              <w:t>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tc>
        <w:tc>
          <w:tcPr>
            <w:tcW w:w="7620" w:type="dxa"/>
            <w:tcBorders/>
            <w:vAlign w:val="center"/>
          </w:tcPr>
          <w:p>
            <w:pPr>
              <w:pStyle w:val="TableContents"/>
              <w:bidi w:val="0"/>
              <w:spacing w:before="0" w:after="283"/>
              <w:rPr/>
            </w:pPr>
            <w:r>
              <w:rPr/>
              <w:t>a residential quarter consisting of four multi-family houses (houses A to D) with a total of 61 residential units, 3 partial ownership units and an underground parking garage with 58 car parking spaces together with common areas (circle, play area, paths, planting areas, bicycle rooms) and has divided the property according to § 8 WEG.</w:t>
            </w:r>
          </w:p>
        </w:tc>
      </w:tr>
      <w:tr>
        <w:trPr/>
        <w:tc>
          <w:tcPr>
            <w:tcW w:w="7914" w:type="dxa"/>
            <w:tcBorders/>
            <w:vAlign w:val="center"/>
          </w:tcPr>
          <w:p>
            <w:pPr>
              <w:pStyle w:val="TableContents"/>
              <w:bidi w:val="0"/>
              <w:spacing w:before="0" w:after="283"/>
              <w:rPr/>
            </w:pPr>
            <w:r>
              <w:rPr/>
              <w:t>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tc>
        <w:tc>
          <w:tcPr>
            <w:tcW w:w="7620" w:type="dxa"/>
            <w:tcBorders/>
            <w:vAlign w:val="center"/>
          </w:tcPr>
          <w:p>
            <w:pPr>
              <w:pStyle w:val="TableContents"/>
              <w:bidi w:val="0"/>
              <w:spacing w:before="0" w:after="283"/>
              <w:rPr/>
            </w:pPr>
            <w:r>
              <w:rPr/>
              <w:t>Minor changes to the planning remain reserved, insofar as they are caused by official requirements, static requirements or the continuation of the execution planning, do not adversely affect the subject of the contract of the Buyer in the position, size, shape, value and usability and are communicated to the Buyer in text form. A Purchase Price adjustment is not associated with such changes.</w:t>
            </w:r>
          </w:p>
        </w:tc>
      </w:tr>
      <w:tr>
        <w:trPr/>
        <w:tc>
          <w:tcPr>
            <w:tcW w:w="7914"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tc>
        <w:tc>
          <w:tcPr>
            <w:tcW w:w="7620" w:type="dxa"/>
            <w:tcBorders/>
            <w:vAlign w:val="center"/>
          </w:tcPr>
          <w:p>
            <w:pPr>
              <w:pStyle w:val="TableContents"/>
              <w:bidi w:val="0"/>
              <w:spacing w:before="0" w:after="283"/>
              <w:rPr/>
            </w:pPr>
            <w:r>
              <w:rPr>
                <w:rStyle w:val="Strong"/>
              </w:rPr>
              <w:t>0.2</w:t>
            </w:r>
            <w:r>
              <w:rPr/>
              <w:t xml:space="preserve"> The scope and limitations of dwelling and part-ownership, the legal relations of the owners to each other and the management of joint ownership are regulated in the declaration of division, including the Community Regulation of 21 October 2025 on the UR No 1502/2025 of the acting Notary, in the version of the 1st addendum of 9 February 2026 on the UR No 188/2026 — hereinafter also referred to as ‘declaration of division’ and/or ‘declaration of reference 1’.</w:t>
            </w:r>
          </w:p>
        </w:tc>
      </w:tr>
      <w:tr>
        <w:trPr/>
        <w:tc>
          <w:tcPr>
            <w:tcW w:w="7914" w:type="dxa"/>
            <w:tcBorders/>
            <w:vAlign w:val="center"/>
          </w:tcPr>
          <w:p>
            <w:pPr>
              <w:pStyle w:val="TableContents"/>
              <w:bidi w:val="0"/>
              <w:spacing w:before="0" w:after="283"/>
              <w:rPr/>
            </w:pPr>
            <w:r>
              <w:rPr>
                <w:rStyle w:val="Strong"/>
              </w:rPr>
              <w:t>0.3</w:t>
            </w:r>
            <w:r>
              <w:rPr/>
              <w:t xml:space="preserve"> Die Baubeschreibung in der Fassung Mai 2026, Version 3.0 (Anlage Baubeschreibung zu dieser Urkunde) ist Gegenstand der Beurkundung und Bestandteil der vom Verkäufer geschuldeten Leistung. Auf das Verlesen wird nach § 13a BeurkG bzw. durch beigefügte Anlage nicht verzichtet; die Baubeschreibung wurde mitverlesen bzw. als Anlage mitbeurkundet. Visualisierungen, Exposés und die Musterwohnung sind nicht Vertragsbestandteil.</w:t>
            </w:r>
          </w:p>
        </w:tc>
        <w:tc>
          <w:tcPr>
            <w:tcW w:w="7620" w:type="dxa"/>
            <w:tcBorders/>
            <w:vAlign w:val="center"/>
          </w:tcPr>
          <w:p>
            <w:pPr>
              <w:pStyle w:val="TableContents"/>
              <w:bidi w:val="0"/>
              <w:spacing w:before="0" w:after="283"/>
              <w:rPr/>
            </w:pPr>
            <w:r>
              <w:rPr>
                <w:rStyle w:val="Strong"/>
              </w:rPr>
              <w:t>0.3</w:t>
            </w:r>
            <w:r>
              <w:rPr/>
              <w:t xml:space="preserve"> The Building Specification in the version May 2026, version 3.0 (Appendix Building description to this certificate) is the subject of the certification and part of the service owed by the Seller. Reading is not waived in accordance with § 13a BeurkG or by attached annex; the Building Specification was also read or co-certified as a plant. Visualizations, exposés and the model apartment are not part of the contract.</w:t>
            </w:r>
          </w:p>
        </w:tc>
      </w:tr>
      <w:tr>
        <w:trPr/>
        <w:tc>
          <w:tcPr>
            <w:tcW w:w="7914" w:type="dxa"/>
            <w:tcBorders/>
            <w:vAlign w:val="center"/>
          </w:tcPr>
          <w:p>
            <w:pPr>
              <w:pStyle w:val="TableContents"/>
              <w:bidi w:val="0"/>
              <w:spacing w:before="0" w:after="283"/>
              <w:rPr/>
            </w:pPr>
            <w:r>
              <w:rPr>
                <w:rStyle w:val="Strong"/>
              </w:rPr>
              <w:t>0.4</w:t>
            </w:r>
            <w:r>
              <w:rPr/>
              <w:t xml:space="preserve"> Die Abgeschlossenheitsbescheinigung liegt vor. Die Baugenehmigung für die Häuser A bis D vom 14. April 2026 (Az. HH-Wb-2026/0471) liegt vor und wurde der Notarin nachgewiesen.</w:t>
            </w:r>
          </w:p>
        </w:tc>
        <w:tc>
          <w:tcPr>
            <w:tcW w:w="7620" w:type="dxa"/>
            <w:tcBorders/>
            <w:vAlign w:val="center"/>
          </w:tcPr>
          <w:p>
            <w:pPr>
              <w:pStyle w:val="TableContents"/>
              <w:bidi w:val="0"/>
              <w:spacing w:before="0" w:after="283"/>
              <w:rPr/>
            </w:pPr>
            <w:r>
              <w:rPr>
                <w:rStyle w:val="Strong"/>
              </w:rPr>
              <w:t>0.4</w:t>
            </w:r>
            <w:r>
              <w:rPr/>
              <w:t xml:space="preserve"> The certificate of completion is available. The building permit for houses A to D from 14 April 2026 (Az. HH-Wb-2026/0471) is available and has been proven to the Notary.</w:t>
            </w:r>
          </w:p>
        </w:tc>
      </w:tr>
      <w:tr>
        <w:trPr/>
        <w:tc>
          <w:tcPr>
            <w:tcW w:w="7914" w:type="dxa"/>
            <w:tcBorders/>
            <w:vAlign w:val="center"/>
          </w:tcPr>
          <w:p>
            <w:pPr>
              <w:pStyle w:val="TableContents"/>
              <w:bidi w:val="0"/>
              <w:spacing w:before="0" w:after="283"/>
              <w:rPr/>
            </w:pPr>
            <w:r>
              <w:rPr>
                <w:rStyle w:val="Strong"/>
              </w:rPr>
              <w:t>0.5</w:t>
            </w:r>
            <w:r>
              <w:rPr/>
              <w:t xml:space="preserve"> Gegenstand dieses Vertrages sind der in § 1 beschriebene Kaufgegenstand sowie die in § 5 und der Anlage Baubeschreibung beschriebene Herstellungsverpflichtung.</w:t>
            </w:r>
          </w:p>
        </w:tc>
        <w:tc>
          <w:tcPr>
            <w:tcW w:w="7620" w:type="dxa"/>
            <w:tcBorders/>
            <w:vAlign w:val="center"/>
          </w:tcPr>
          <w:p>
            <w:pPr>
              <w:pStyle w:val="TableContents"/>
              <w:bidi w:val="0"/>
              <w:spacing w:before="0" w:after="283"/>
              <w:rPr/>
            </w:pPr>
            <w:r>
              <w:rPr>
                <w:rStyle w:val="Strong"/>
              </w:rPr>
              <w:t>0.5</w:t>
            </w:r>
            <w:r>
              <w:rPr/>
              <w:t xml:space="preserve"> The subject matter of this contract is the Purchased Property described in § 1 as well as the production obligation described in § 5 and the annex Building Specification.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2" w:name="kaufgegenstand"/>
            <w:bookmarkEnd w:id="12"/>
            <w:r>
              <w:rPr/>
              <w:t>§ 1 Kaufgegenstand</w:t>
            </w:r>
          </w:p>
        </w:tc>
        <w:tc>
          <w:tcPr>
            <w:tcW w:w="7620"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914"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Hamburg von Eilbek, Blatt 9 318, eingetragenen Wohnungseigentums:</w:t>
            </w:r>
          </w:p>
        </w:tc>
        <w:tc>
          <w:tcPr>
            <w:tcW w:w="7620"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Hamburg District Court of Eilbek, sheet 9 318:</w:t>
            </w:r>
          </w:p>
        </w:tc>
      </w:tr>
      <w:tr>
        <w:trPr/>
        <w:tc>
          <w:tcPr>
            <w:tcW w:w="7914" w:type="dxa"/>
            <w:tcBorders/>
            <w:vAlign w:val="center"/>
          </w:tcPr>
          <w:p>
            <w:pPr>
              <w:pStyle w:val="BlockQuotation"/>
              <w:pBdr>
                <w:left w:val="single" w:sz="6" w:space="1" w:color="AAAAAA"/>
              </w:pBdr>
              <w:bidi w:val="0"/>
              <w:spacing w:before="0" w:after="283"/>
              <w:ind w:hanging="0" w:start="567" w:end="567"/>
              <w:rPr/>
            </w:pPr>
            <w:r>
              <w:rPr/>
              <w:t>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tc>
        <w:tc>
          <w:tcPr>
            <w:tcW w:w="7620" w:type="dxa"/>
            <w:tcBorders/>
            <w:vAlign w:val="center"/>
          </w:tcPr>
          <w:p>
            <w:pPr>
              <w:pStyle w:val="BlockQuotation"/>
              <w:pBdr>
                <w:left w:val="single" w:sz="6" w:space="1" w:color="AAAAAA"/>
              </w:pBdr>
              <w:bidi w:val="0"/>
              <w:spacing w:before="0" w:after="283"/>
              <w:ind w:hanging="0" w:start="567" w:end="567"/>
              <w:rPr/>
            </w:pPr>
            <w:r>
              <w:rPr/>
              <w:t>Co-ownership share of 312/100 000 in the land marking Eilbek, corridor 12, parcel 344/9, linked to the special ownership of the apartment in the 2nd floor designated in the partition plan with the number C-2.14. Upper floor of House C together with cellar compartment No. K-C14 and special use right on the balcony B-C14 and the underground parking space No. TG-58.</w:t>
            </w:r>
          </w:p>
        </w:tc>
      </w:tr>
      <w:tr>
        <w:trPr/>
        <w:tc>
          <w:tcPr>
            <w:tcW w:w="7914" w:type="dxa"/>
            <w:tcBorders/>
            <w:vAlign w:val="center"/>
          </w:tcPr>
          <w:p>
            <w:pPr>
              <w:pStyle w:val="TableContents"/>
              <w:bidi w:val="0"/>
              <w:spacing w:before="0" w:after="283"/>
              <w:rPr/>
            </w:pPr>
            <w:r>
              <w:rPr>
                <w:rStyle w:val="Strong"/>
              </w:rPr>
              <w:t>1.2</w:t>
            </w:r>
            <w:r>
              <w:rPr/>
              <w:t xml:space="preserve"> Die Sondereigentumseinheit nebst Sondernutzungsrecht am Stellplatz TG-58 und den unter § 5 beschriebenen Bauleistungen wird nachfolgend „Kaufgegenstand” genannt.</w:t>
            </w:r>
          </w:p>
        </w:tc>
        <w:tc>
          <w:tcPr>
            <w:tcW w:w="7620" w:type="dxa"/>
            <w:tcBorders/>
            <w:vAlign w:val="center"/>
          </w:tcPr>
          <w:p>
            <w:pPr>
              <w:pStyle w:val="TableContents"/>
              <w:bidi w:val="0"/>
              <w:spacing w:before="0" w:after="283"/>
              <w:rPr/>
            </w:pPr>
            <w:r>
              <w:rPr>
                <w:rStyle w:val="Strong"/>
              </w:rPr>
              <w:t>1.2</w:t>
            </w:r>
            <w:r>
              <w:rPr/>
              <w:t xml:space="preserve"> The special ownership unit together with the special usage right at the parking space TG-58 and the construction services described under § 5 are referred to below as the “purchase object”.</w:t>
            </w:r>
          </w:p>
        </w:tc>
      </w:tr>
      <w:tr>
        <w:trPr/>
        <w:tc>
          <w:tcPr>
            <w:tcW w:w="7914" w:type="dxa"/>
            <w:tcBorders/>
            <w:vAlign w:val="center"/>
          </w:tcPr>
          <w:p>
            <w:pPr>
              <w:pStyle w:val="TableContents"/>
              <w:bidi w:val="0"/>
              <w:spacing w:before="0" w:after="283"/>
              <w:rPr/>
            </w:pPr>
            <w:r>
              <w:rPr>
                <w:rStyle w:val="Strong"/>
              </w:rPr>
              <w:t>1.3</w:t>
            </w:r>
            <w:r>
              <w:rPr/>
              <w:t xml:space="preserve"> Die Notarin hat das Grundbuch gemäß § 1.1 am heutigen Tage elektronisch eingesehen.</w:t>
            </w:r>
          </w:p>
        </w:tc>
        <w:tc>
          <w:tcPr>
            <w:tcW w:w="7620" w:type="dxa"/>
            <w:tcBorders/>
            <w:vAlign w:val="center"/>
          </w:tcPr>
          <w:p>
            <w:pPr>
              <w:pStyle w:val="TableContents"/>
              <w:bidi w:val="0"/>
              <w:spacing w:before="0" w:after="283"/>
              <w:rPr/>
            </w:pPr>
            <w:r>
              <w:rPr>
                <w:rStyle w:val="Strong"/>
              </w:rPr>
              <w:t>1.3</w:t>
            </w:r>
            <w:r>
              <w:rPr/>
              <w:t xml:space="preserve"> The Notary has viewed the Land Register according to § 1.1 electronically today.</w:t>
            </w:r>
          </w:p>
        </w:tc>
      </w:tr>
      <w:tr>
        <w:trPr/>
        <w:tc>
          <w:tcPr>
            <w:tcW w:w="7914" w:type="dxa"/>
            <w:tcBorders/>
            <w:vAlign w:val="center"/>
          </w:tcPr>
          <w:p>
            <w:pPr>
              <w:pStyle w:val="TableContents"/>
              <w:bidi w:val="0"/>
              <w:spacing w:before="0" w:after="283"/>
              <w:rPr/>
            </w:pPr>
            <w:r>
              <w:rPr/>
              <w:t>In Abteilung II sind beschränkte persönliche Dienstbarkeiten zugunsten der Versorgungs- und Netzbetreiber sowie der Freien und Hansestadt Hamburg eingetragen; diese werden vom Käufer übernommen.</w:t>
            </w:r>
          </w:p>
        </w:tc>
        <w:tc>
          <w:tcPr>
            <w:tcW w:w="7620" w:type="dxa"/>
            <w:tcBorders/>
            <w:vAlign w:val="center"/>
          </w:tcPr>
          <w:p>
            <w:pPr>
              <w:pStyle w:val="TableContents"/>
              <w:bidi w:val="0"/>
              <w:spacing w:before="0" w:after="283"/>
              <w:rPr/>
            </w:pPr>
            <w:r>
              <w:rPr/>
              <w:t>Section II lists limited personal easements for the benefit of supply and network operators and the Free and Hanseatic City of Hamburg; These are taken over by the Buyer.</w:t>
            </w:r>
          </w:p>
        </w:tc>
      </w:tr>
      <w:tr>
        <w:trPr/>
        <w:tc>
          <w:tcPr>
            <w:tcW w:w="7914" w:type="dxa"/>
            <w:tcBorders/>
            <w:vAlign w:val="center"/>
          </w:tcPr>
          <w:p>
            <w:pPr>
              <w:pStyle w:val="TableContents"/>
              <w:bidi w:val="0"/>
              <w:spacing w:before="0" w:after="283"/>
              <w:rPr/>
            </w:pPr>
            <w:r>
              <w:rPr/>
              <w:t>In Abteilung III ist eine Gesamtgrundschuld zugunsten der Norddeutsche Grundkreditbank AG eingetragen. Der Verkäufer wird die lastenfreie Übertragung des Kaufgegenstandes nach Maßgabe von § 3 und § 10 sicherstellen.</w:t>
            </w:r>
          </w:p>
        </w:tc>
        <w:tc>
          <w:tcPr>
            <w:tcW w:w="7620" w:type="dxa"/>
            <w:tcBorders/>
            <w:vAlign w:val="center"/>
          </w:tcPr>
          <w:p>
            <w:pPr>
              <w:pStyle w:val="TableContents"/>
              <w:bidi w:val="0"/>
              <w:spacing w:before="0" w:after="283"/>
              <w:rPr/>
            </w:pPr>
            <w:r>
              <w:rPr/>
              <w:t>Division III lists a total mortgage in favour of Norddeutsche Grundkreditbank AG. The Seller shall ensure the load-free transfer of the Purchased Property in accordance with § 3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4" w:name="kaufpreis"/>
            <w:bookmarkEnd w:id="14"/>
            <w:r>
              <w:rPr/>
              <w:t>§ 2 Kaufpreis</w:t>
            </w:r>
          </w:p>
        </w:tc>
        <w:tc>
          <w:tcPr>
            <w:tcW w:w="7620"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914"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620"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914" w:type="dxa"/>
            <w:tcBorders/>
            <w:vAlign w:val="center"/>
          </w:tcPr>
          <w:p>
            <w:pPr>
              <w:pStyle w:val="BlockQuotation"/>
              <w:pBdr>
                <w:left w:val="single" w:sz="6" w:space="1" w:color="AAAAAA"/>
              </w:pBdr>
              <w:bidi w:val="0"/>
              <w:spacing w:before="0" w:after="283"/>
              <w:ind w:hanging="0" w:start="567" w:end="567"/>
              <w:rPr/>
            </w:pPr>
            <w:r>
              <w:rPr>
                <w:rStyle w:val="Strong"/>
              </w:rPr>
              <w:t>642.000,00 EUR</w:t>
            </w:r>
          </w:p>
        </w:tc>
        <w:tc>
          <w:tcPr>
            <w:tcW w:w="7620" w:type="dxa"/>
            <w:tcBorders/>
            <w:vAlign w:val="center"/>
          </w:tcPr>
          <w:p>
            <w:pPr>
              <w:pStyle w:val="BlockQuotation"/>
              <w:pBdr>
                <w:left w:val="single" w:sz="6" w:space="1" w:color="AAAAAA"/>
              </w:pBdr>
              <w:bidi w:val="0"/>
              <w:spacing w:before="0" w:after="283"/>
              <w:ind w:hanging="0" w:start="567" w:end="567"/>
              <w:rPr/>
            </w:pPr>
            <w:r>
              <w:rPr/>
              <w:t>642.000,00 EUR</w:t>
            </w:r>
          </w:p>
        </w:tc>
      </w:tr>
      <w:tr>
        <w:trPr/>
        <w:tc>
          <w:tcPr>
            <w:tcW w:w="7914" w:type="dxa"/>
            <w:tcBorders/>
            <w:vAlign w:val="center"/>
          </w:tcPr>
          <w:p>
            <w:pPr>
              <w:pStyle w:val="TableContents"/>
              <w:bidi w:val="0"/>
              <w:spacing w:before="0" w:after="283"/>
              <w:rPr/>
            </w:pPr>
            <w:r>
              <w:rPr/>
              <w:t xml:space="preserve">zzgl. eines Aufpreises für den Tiefgaragenstellplatz TG-58 von 32.000,00 EUR. Der Gesamtkaufpreis beträgt damit </w:t>
            </w:r>
            <w:r>
              <w:rPr>
                <w:rStyle w:val="Strong"/>
              </w:rPr>
              <w:t>674.000,00 EUR</w:t>
            </w:r>
            <w:r>
              <w:rPr/>
              <w:t>.</w:t>
            </w:r>
          </w:p>
        </w:tc>
        <w:tc>
          <w:tcPr>
            <w:tcW w:w="7620" w:type="dxa"/>
            <w:tcBorders/>
            <w:vAlign w:val="center"/>
          </w:tcPr>
          <w:p>
            <w:pPr>
              <w:pStyle w:val="TableContents"/>
              <w:bidi w:val="0"/>
              <w:spacing w:before="0" w:after="283"/>
              <w:rPr/>
            </w:pPr>
            <w:r>
              <w:rPr/>
              <w:t>plus a surcharge for the underground parking space TG-58 of 32,000.00 EUR. The total Purchase Price is thus 674,000.00 EUR.</w:t>
            </w:r>
          </w:p>
        </w:tc>
      </w:tr>
      <w:tr>
        <w:trPr/>
        <w:tc>
          <w:tcPr>
            <w:tcW w:w="7914" w:type="dxa"/>
            <w:tcBorders/>
            <w:vAlign w:val="center"/>
          </w:tcPr>
          <w:p>
            <w:pPr>
              <w:pStyle w:val="TableContents"/>
              <w:bidi w:val="0"/>
              <w:spacing w:before="0" w:after="283"/>
              <w:rPr/>
            </w:pPr>
            <w:r>
              <w:rPr>
                <w:rStyle w:val="Strong"/>
              </w:rPr>
              <w:t>2.2</w:t>
            </w:r>
            <w:r>
              <w:rPr/>
              <w:t xml:space="preserve"> 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tc>
        <w:tc>
          <w:tcPr>
            <w:tcW w:w="7620" w:type="dxa"/>
            <w:tcBorders/>
            <w:vAlign w:val="center"/>
          </w:tcPr>
          <w:p>
            <w:pPr>
              <w:pStyle w:val="TableContents"/>
              <w:bidi w:val="0"/>
              <w:spacing w:before="0" w:after="283"/>
              <w:rPr/>
            </w:pPr>
            <w:r>
              <w:rPr>
                <w:rStyle w:val="Strong"/>
              </w:rPr>
              <w:t>2.2</w:t>
            </w:r>
            <w:r>
              <w:rPr/>
              <w:t xml:space="preserve"> The Purchase Price is a fixed price and includes the complete production of the purchased object in the equipment line “Marewald Comfort C” according to § 5 and the construction description. it is not linked to construction cost indices or material prices; a price adjustment takes place only in accordance with § 5.7.</w:t>
            </w:r>
          </w:p>
        </w:tc>
      </w:tr>
      <w:tr>
        <w:trPr/>
        <w:tc>
          <w:tcPr>
            <w:tcW w:w="7914"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die Kosten der Finanzierung des Käufers sowie Kosten gesondert beauftragter Sonderwünsche (§ 3.5).</w:t>
            </w:r>
          </w:p>
        </w:tc>
        <w:tc>
          <w:tcPr>
            <w:tcW w:w="7620"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the costs of financing the Buyer as well as costs of special requests commissioned separately (§ 3.5).</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6" w:name="kaufpreiszahlung-fälligkeit-sicherheiten"/>
            <w:bookmarkEnd w:id="16"/>
            <w:r>
              <w:rPr/>
              <w:t>§ 3 Kaufpreiszahlung, Fälligkeit, Sicherheiten</w:t>
            </w:r>
          </w:p>
        </w:tc>
        <w:tc>
          <w:tcPr>
            <w:tcW w:w="7620" w:type="dxa"/>
            <w:tcBorders/>
            <w:vAlign w:val="center"/>
          </w:tcPr>
          <w:p>
            <w:pPr>
              <w:pStyle w:val="Heading1"/>
              <w:bidi w:val="0"/>
              <w:spacing w:before="240" w:after="283"/>
              <w:ind w:hanging="0" w:start="0" w:end="0"/>
              <w:rPr/>
            </w:pPr>
            <w:bookmarkStart w:id="17" w:name="purchase-price-payment-maturity-collater"/>
            <w:bookmarkEnd w:id="17"/>
            <w:r>
              <w:rPr/>
              <w:t>§ 3 Purchase price payment, maturity, collateral</w:t>
            </w:r>
          </w:p>
        </w:tc>
      </w:tr>
      <w:tr>
        <w:trPr/>
        <w:tc>
          <w:tcPr>
            <w:tcW w:w="7914" w:type="dxa"/>
            <w:tcBorders/>
            <w:vAlign w:val="center"/>
          </w:tcPr>
          <w:p>
            <w:pPr>
              <w:pStyle w:val="TableContents"/>
              <w:bidi w:val="0"/>
              <w:spacing w:before="0" w:after="283"/>
              <w:rPr/>
            </w:pPr>
            <w:r>
              <w:rPr>
                <w:rStyle w:val="Strong"/>
              </w:rPr>
              <w:t>3.1</w:t>
            </w:r>
            <w:r>
              <w:rPr/>
              <w:t xml:space="preserve"> Die Kaufpreiszahlungen sind frühestens fällig, wenn die Notarin den Parteien schriftlich mitgeteilt hat, dass</w:t>
            </w:r>
          </w:p>
        </w:tc>
        <w:tc>
          <w:tcPr>
            <w:tcW w:w="7620" w:type="dxa"/>
            <w:tcBorders/>
            <w:vAlign w:val="center"/>
          </w:tcPr>
          <w:p>
            <w:pPr>
              <w:pStyle w:val="TableContents"/>
              <w:bidi w:val="0"/>
              <w:spacing w:before="0" w:after="283"/>
              <w:rPr/>
            </w:pPr>
            <w:r>
              <w:rPr>
                <w:rStyle w:val="Strong"/>
              </w:rPr>
              <w:t>3.1</w:t>
            </w:r>
            <w:r>
              <w:rPr/>
              <w:t xml:space="preserve"> The Purchase Price payments are due at the earliest if the Notary has informed the parties in writing that</w:t>
            </w:r>
          </w:p>
        </w:tc>
      </w:tr>
      <w:tr>
        <w:trPr/>
        <w:tc>
          <w:tcPr>
            <w:tcW w:w="7914"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und keine vertraglichen Rücktrittsrechte des Verkäufers mehr bestehen, </w:t>
            </w:r>
          </w:p>
        </w:tc>
        <w:tc>
          <w:tcPr>
            <w:tcW w:w="7620"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has been legally validly concluded and there are no longer any contractual rights of withdrawal of the Seller, </w:t>
            </w:r>
          </w:p>
        </w:tc>
      </w:tr>
      <w:tr>
        <w:trPr/>
        <w:tc>
          <w:tcPr>
            <w:tcW w:w="7914"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Auflassungsvormerkung zugunsten des Käufers an vereinbarter Rangstelle im Grundbuch eingetragen ist, </w:t>
            </w:r>
          </w:p>
        </w:tc>
        <w:tc>
          <w:tcPr>
            <w:tcW w:w="7620"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priority notice of conveyance is entered in the Land Register in favour of the Buyer at an agreed ranking point, </w:t>
            </w:r>
          </w:p>
        </w:tc>
      </w:tr>
      <w:tr>
        <w:trPr/>
        <w:tc>
          <w:tcPr>
            <w:tcW w:w="7914"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Freistellungserklärung der Norddeutsche Grundkreditbank AG nach § 3 MaBV — auch für den Fall der nicht vollendeten Bauausführung — vorliegt, und </w:t>
            </w:r>
          </w:p>
        </w:tc>
        <w:tc>
          <w:tcPr>
            <w:tcW w:w="7620"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Norddeutsche Grundkreditbank AG pursuant to § 3 MaBV — also in the case of unfinished construction — is present, and </w:t>
            </w:r>
          </w:p>
        </w:tc>
      </w:tr>
      <w:tr>
        <w:trPr/>
        <w:tc>
          <w:tcPr>
            <w:tcW w:w="7914" w:type="dxa"/>
            <w:tcBorders/>
            <w:vAlign w:val="center"/>
          </w:tcPr>
          <w:p>
            <w:pPr>
              <w:pStyle w:val="TableContents"/>
              <w:numPr>
                <w:ilvl w:val="0"/>
                <w:numId w:val="8"/>
              </w:numPr>
              <w:tabs>
                <w:tab w:val="clear" w:pos="1134"/>
                <w:tab w:val="left" w:pos="709" w:leader="none"/>
              </w:tabs>
              <w:bidi w:val="0"/>
              <w:spacing w:before="0" w:after="283"/>
              <w:ind w:hanging="283" w:start="709"/>
              <w:rPr/>
            </w:pPr>
            <w:r>
              <w:rPr/>
              <w:t xml:space="preserve">die Baugenehmigung für Haus C vorliegt. </w:t>
            </w:r>
          </w:p>
        </w:tc>
        <w:tc>
          <w:tcPr>
            <w:tcW w:w="7620" w:type="dxa"/>
            <w:tcBorders/>
            <w:vAlign w:val="center"/>
          </w:tcPr>
          <w:p>
            <w:pPr>
              <w:pStyle w:val="TableContents"/>
              <w:numPr>
                <w:ilvl w:val="0"/>
                <w:numId w:val="9"/>
              </w:numPr>
              <w:tabs>
                <w:tab w:val="clear" w:pos="1134"/>
                <w:tab w:val="left" w:pos="709" w:leader="none"/>
              </w:tabs>
              <w:bidi w:val="0"/>
              <w:spacing w:before="0" w:after="283"/>
              <w:ind w:hanging="283" w:start="709"/>
              <w:rPr/>
            </w:pPr>
            <w:r>
              <w:rPr/>
              <w:t xml:space="preserve">the building permit for house C is available. </w:t>
            </w:r>
          </w:p>
        </w:tc>
      </w:tr>
      <w:tr>
        <w:trPr/>
        <w:tc>
          <w:tcPr>
            <w:tcW w:w="7914" w:type="dxa"/>
            <w:tcBorders/>
            <w:vAlign w:val="center"/>
          </w:tcPr>
          <w:p>
            <w:pPr>
              <w:pStyle w:val="TableContents"/>
              <w:bidi w:val="0"/>
              <w:spacing w:before="0" w:after="283"/>
              <w:rPr/>
            </w:pPr>
            <w:r>
              <w:rPr/>
              <w:t>Diese Voraussetzungen entsprechen § 3 Abs. 1 der Makler- und Bauträgerverordnung (MaBV); von ihnen wird nicht zulasten des Käufers abgewichen.</w:t>
            </w:r>
          </w:p>
        </w:tc>
        <w:tc>
          <w:tcPr>
            <w:tcW w:w="7620" w:type="dxa"/>
            <w:tcBorders/>
            <w:vAlign w:val="center"/>
          </w:tcPr>
          <w:p>
            <w:pPr>
              <w:pStyle w:val="TableContents"/>
              <w:bidi w:val="0"/>
              <w:spacing w:before="0" w:after="283"/>
              <w:rPr/>
            </w:pPr>
            <w:r>
              <w:rPr/>
              <w:t>These requirements correspond to § 3 Abs. 1 of the Broker and Builders Ordinance (MaBV); they will not deviate at the expense of the Buyer.</w:t>
            </w:r>
          </w:p>
        </w:tc>
      </w:tr>
      <w:tr>
        <w:trPr/>
        <w:tc>
          <w:tcPr>
            <w:tcW w:w="7914" w:type="dxa"/>
            <w:tcBorders/>
            <w:vAlign w:val="center"/>
          </w:tcPr>
          <w:p>
            <w:pPr>
              <w:pStyle w:val="TableContents"/>
              <w:bidi w:val="0"/>
              <w:spacing w:before="0" w:after="283"/>
              <w:rPr/>
            </w:pPr>
            <w:r>
              <w:rPr>
                <w:rStyle w:val="Strong"/>
              </w:rPr>
              <w:t>3.2</w:t>
            </w:r>
            <w:r>
              <w:rPr/>
              <w:t xml:space="preserve"> Der Käufer zahlt den Kaufpreis nach Baufortschritt in sieben Teilbeträgen entsprechend § 3 Abs. 2 MaBV:</w:t>
            </w:r>
          </w:p>
          <w:p>
            <w:pPr>
              <w:pStyle w:val="TableHeading"/>
              <w:spacing w:before="0" w:after="80"/>
            </w:pPr>
            <w:r>
              <w:rPr>
                <w:b/>
              </w:rPr>
              <w:t>Rate · Bautenstand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Dachflächen/Dachrinnen, Rohinstallation Heizung/Sanitär/Elektro und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einschließlich der Außenanlagen · 3,5 %</w:t>
            </w:r>
          </w:p>
        </w:tc>
        <w:tc>
          <w:tcPr>
            <w:tcW w:w="7620" w:type="dxa"/>
            <w:tcBorders/>
            <w:vAlign w:val="center"/>
          </w:tcPr>
          <w:p>
            <w:pPr>
              <w:pStyle w:val="TableContents"/>
              <w:bidi w:val="0"/>
              <w:spacing w:before="0" w:after="0"/>
              <w:rPr/>
            </w:pPr>
            <w:r>
              <w:rPr>
                <w:rStyle w:val="Strong"/>
              </w:rPr>
              <w:t>3.2</w:t>
            </w:r>
            <w:r>
              <w:rPr/>
              <w:t xml:space="preserve"> The Buyer pays the Purchase Price after construction progress in seven instalments according to § 3 Abs. 2 MABV:</w:t>
            </w:r>
          </w:p>
          <w:p>
            <w:pPr>
              <w:pStyle w:val="TableContents"/>
              <w:bidi w:val="0"/>
              <w:spacing w:before="0" w:after="283"/>
              <w:rPr/>
            </w:pPr>
            <w:r>
              <w:rPr/>
            </w:r>
          </w:p>
          <w:p>
            <w:pPr>
              <w:pStyle w:val="TableHeading"/>
              <w:spacing w:before="0" w:after="80"/>
            </w:pPr>
            <w:r>
              <w:rPr>
                <w:b/>
              </w:rPr>
              <w:t>Rate · Construction status · Percentage</w:t>
            </w:r>
          </w:p>
          <w:p>
            <w:pPr>
              <w:pStyle w:val="TableContents"/>
              <w:spacing w:before="0" w:after="80"/>
            </w:pPr>
            <w:r>
              <w:t>1. Rate · after commencement of earthworks · 30,0 %</w:t>
            </w:r>
          </w:p>
          <w:p>
            <w:pPr>
              <w:pStyle w:val="TableContents"/>
              <w:spacing w:before="0" w:after="80"/>
            </w:pPr>
            <w:r>
              <w:t>2. Rate · After shell construction, including carpentry · 28,0 %</w:t>
            </w:r>
          </w:p>
          <w:p>
            <w:pPr>
              <w:pStyle w:val="TableContents"/>
              <w:spacing w:before="0" w:after="80"/>
            </w:pPr>
            <w:r>
              <w:t>3. Rate · by roof/roof gutters, rough installation heating/sanitary/electric and window installation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completion of facade works · 2,1 %</w:t>
            </w:r>
          </w:p>
          <w:p>
            <w:pPr>
              <w:pStyle w:val="TableContents"/>
              <w:spacing w:before="0" w:after="80"/>
            </w:pPr>
            <w:r>
              <w:t>7. Rate · After complete completion, including outdoor facilities · 3,5 %</w:t>
            </w:r>
          </w:p>
        </w:tc>
      </w:tr>
      <w:tr>
        <w:trPr/>
        <w:tc>
          <w:tcPr>
            <w:tcW w:w="7914" w:type="dxa"/>
            <w:tcBorders/>
            <w:vAlign w:val="center"/>
          </w:tcPr>
          <w:p>
            <w:pPr>
              <w:pStyle w:val="TableContents"/>
              <w:bidi w:val="0"/>
              <w:spacing w:before="0" w:after="283"/>
              <w:rPr/>
            </w:pPr>
            <w:r>
              <w:rPr/>
              <w:t>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tc>
        <w:tc>
          <w:tcPr>
            <w:tcW w:w="7620" w:type="dxa"/>
            <w:tcBorders/>
            <w:vAlign w:val="center"/>
          </w:tcPr>
          <w:p>
            <w:pPr>
              <w:pStyle w:val="TableContents"/>
              <w:bidi w:val="0"/>
              <w:spacing w:before="0" w:after="283"/>
              <w:rPr/>
            </w:pPr>
            <w:r>
              <w:rPr/>
              <w:t>An installment becomes due when the associated building status is actually reached and the Seller asks the Buyer in writing to pay under the name of the milestone reached. The Buyer is entitled to check the building status himself or by a person of his trust before payment (§ 8); if the named building status is not reached, the installment is not due. The final installment (7th installment) is due only after complete completion including the outdoor facilities assigned to the purchased item and after elimination of the defects and remaining work recorded in the acceptance record.</w:t>
            </w:r>
          </w:p>
        </w:tc>
      </w:tr>
      <w:tr>
        <w:trPr/>
        <w:tc>
          <w:tcPr>
            <w:tcW w:w="7914" w:type="dxa"/>
            <w:tcBorders/>
            <w:vAlign w:val="center"/>
          </w:tcPr>
          <w:p>
            <w:pPr>
              <w:pStyle w:val="TableContents"/>
              <w:bidi w:val="0"/>
              <w:spacing w:before="0" w:after="283"/>
              <w:rPr/>
            </w:pPr>
            <w:r>
              <w:rPr>
                <w:rStyle w:val="Strong"/>
              </w:rPr>
              <w:t>3.3</w:t>
            </w:r>
            <w:r>
              <w:rPr/>
              <w:t xml:space="preserve"> 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nach Wahl des Verkäufers durch Einbehalt des Käufers von der ersten Rate oder durch unbefristete, selbstschuldnerische Bürgschaft eines im Inland zum Geschäftsbetrieb befugten Kreditinstituts geleistet werden. Die Sicherheit ist zurückzugeben, wenn die Sondereigentumseinheit abgenommen ist, das für den Kaufgegenstand maßgebliche Gemeinschaftseigentum zur Abnahme angeboten wurde und keine wesentlichen, rechtzeitige oder mangelfreie Herstellung betreffenden Mängel mehr offen sind. In Höhe noch nicht beseitigter wesentlicher Mängel bleibt die Sicherheit bestehen.</w:t>
            </w:r>
          </w:p>
        </w:tc>
        <w:tc>
          <w:tcPr>
            <w:tcW w:w="7620" w:type="dxa"/>
            <w:tcBorders/>
            <w:vAlign w:val="center"/>
          </w:tcPr>
          <w:p>
            <w:pPr>
              <w:pStyle w:val="TableContents"/>
              <w:bidi w:val="0"/>
              <w:spacing w:before="0" w:after="283"/>
              <w:rPr/>
            </w:pPr>
            <w:r>
              <w:rPr>
                <w:rStyle w:val="Strong"/>
              </w:rPr>
              <w:t>3.3</w:t>
            </w:r>
            <w:r>
              <w:rPr/>
              <w:t xml:space="preserve"> Safety for timely and defect-free production. The Seller provides the Buyer with a security in the amount of 5% of the total Purchase Price (§ 650m para 2 BGB) for the timely production of the Purchased Property without significant defects. The security may be provided, at the choice of the Seller, by withholding the Buyer from the first instalment or by an indefinite, self-guarantee from a credit institution authorised to operate in the country. The security shall be returned when the special ownership unit has been accepted, the joint ownership of the Purchased Property has been offered for acceptance and no significant defects relating to timely or defect-free production are left open. Safety shall be maintained in the case of non-remedial material deficiencies.</w:t>
            </w:r>
          </w:p>
        </w:tc>
      </w:tr>
      <w:tr>
        <w:trPr/>
        <w:tc>
          <w:tcPr>
            <w:tcW w:w="7914" w:type="dxa"/>
            <w:tcBorders/>
            <w:vAlign w:val="center"/>
          </w:tcPr>
          <w:p>
            <w:pPr>
              <w:pStyle w:val="TableContents"/>
              <w:bidi w:val="0"/>
              <w:spacing w:before="0" w:after="283"/>
              <w:rPr/>
            </w:pPr>
            <w:r>
              <w:rPr>
                <w:rStyle w:val="Strong"/>
              </w:rPr>
              <w:t>3.4</w:t>
            </w:r>
            <w:r>
              <w:rPr/>
              <w:t xml:space="preserve"> Reservierungsentgelt. Ein vor Beurkundung gezahltes Reservierungsentgelt von 5.000,00 EUR wird mit der ersten Kaufpreisrate verrechnet. Kommt der Vertrag aus vom Käufer nicht zu vertretenden Gründen nicht zustande, wird das Entgelt erstattet.</w:t>
            </w:r>
          </w:p>
        </w:tc>
        <w:tc>
          <w:tcPr>
            <w:tcW w:w="7620" w:type="dxa"/>
            <w:tcBorders/>
            <w:vAlign w:val="center"/>
          </w:tcPr>
          <w:p>
            <w:pPr>
              <w:pStyle w:val="TableContents"/>
              <w:bidi w:val="0"/>
              <w:spacing w:before="0" w:after="283"/>
              <w:rPr/>
            </w:pPr>
            <w:r>
              <w:rPr>
                <w:rStyle w:val="Strong"/>
              </w:rPr>
              <w:t>3.4</w:t>
            </w:r>
            <w:r>
              <w:rPr/>
              <w:t xml:space="preserve"> Reservation fee. A reservation fee of 5,000.00 EUR paid before registration will be charged with the first Purchase Price installment. If the contract is not concluded for reasons beyond the control of the Buyer, the fee will be refunded.</w:t>
            </w:r>
          </w:p>
        </w:tc>
      </w:tr>
      <w:tr>
        <w:trPr/>
        <w:tc>
          <w:tcPr>
            <w:tcW w:w="7914" w:type="dxa"/>
            <w:tcBorders/>
            <w:vAlign w:val="center"/>
          </w:tcPr>
          <w:p>
            <w:pPr>
              <w:pStyle w:val="TableContents"/>
              <w:bidi w:val="0"/>
              <w:spacing w:before="0" w:after="283"/>
              <w:rPr/>
            </w:pPr>
            <w:r>
              <w:rPr>
                <w:rStyle w:val="Strong"/>
              </w:rPr>
              <w:t>3.5</w:t>
            </w:r>
            <w:r>
              <w:rPr/>
              <w:t xml:space="preserve"> 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tc>
        <w:tc>
          <w:tcPr>
            <w:tcW w:w="7620" w:type="dxa"/>
            <w:tcBorders/>
            <w:vAlign w:val="center"/>
          </w:tcPr>
          <w:p>
            <w:pPr>
              <w:pStyle w:val="TableContents"/>
              <w:bidi w:val="0"/>
              <w:spacing w:before="0" w:after="283"/>
              <w:rPr/>
            </w:pPr>
            <w:r>
              <w:rPr>
                <w:rStyle w:val="Strong"/>
              </w:rPr>
              <w:t>3.5</w:t>
            </w:r>
            <w:r>
              <w:rPr/>
              <w:t xml:space="preserve"> Special requests. Special requests outside the equipment line “Marewald Comfort C” are commissioned separately on the basis of a supplementary offer. Special requests relating to a building shall be due at the rate corresponding to the state of construction of the trade concerned; an advance payment before performance is only required against security according to § 7 MaBV. The first three consultation hours in the sample are included in the Purchase Price; further consulting expenses are paid with 150.00 EUR net per hour.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620"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914" w:type="dxa"/>
            <w:tcBorders/>
            <w:vAlign w:val="center"/>
          </w:tcPr>
          <w:p>
            <w:pPr>
              <w:pStyle w:val="TableContents"/>
              <w:bidi w:val="0"/>
              <w:spacing w:before="0" w:after="283"/>
              <w:rPr/>
            </w:pPr>
            <w:r>
              <w:rPr>
                <w:rStyle w:val="Strong"/>
              </w:rPr>
              <w:t>4.1</w:t>
            </w:r>
            <w:r>
              <w:rPr/>
              <w:t xml:space="preserve"> Der Verkäufer bevollmächtigt den Käufer, an dem Kaufgegenstand bereits vor Eigentumsumschreibung Grundpfandrechte zugunsten finanzierender Kreditinstitute zu bestellen und eintragen zu lassen.</w:t>
            </w:r>
          </w:p>
        </w:tc>
        <w:tc>
          <w:tcPr>
            <w:tcW w:w="7620" w:type="dxa"/>
            <w:tcBorders/>
            <w:vAlign w:val="center"/>
          </w:tcPr>
          <w:p>
            <w:pPr>
              <w:pStyle w:val="TableContents"/>
              <w:bidi w:val="0"/>
              <w:spacing w:before="0" w:after="283"/>
              <w:rPr/>
            </w:pPr>
            <w:r>
              <w:rPr>
                <w:rStyle w:val="Strong"/>
              </w:rPr>
              <w:t>4.1</w:t>
            </w:r>
            <w:r>
              <w:rPr/>
              <w:t xml:space="preserve"> The Seller authorizes the Buyer to order and register mortgages on the Purchased Property in favour of financing credit institutions before the transfer of title.</w:t>
            </w:r>
          </w:p>
        </w:tc>
      </w:tr>
      <w:tr>
        <w:trPr/>
        <w:tc>
          <w:tcPr>
            <w:tcW w:w="7914" w:type="dxa"/>
            <w:tcBorders/>
            <w:vAlign w:val="center"/>
          </w:tcPr>
          <w:p>
            <w:pPr>
              <w:pStyle w:val="TableContents"/>
              <w:bidi w:val="0"/>
              <w:spacing w:before="0" w:after="283"/>
              <w:rPr/>
            </w:pPr>
            <w:r>
              <w:rPr>
                <w:rStyle w:val="Strong"/>
              </w:rPr>
              <w:t>4.2</w:t>
            </w:r>
            <w:r>
              <w:rPr/>
              <w:t xml:space="preserve"> 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tc>
        <w:tc>
          <w:tcPr>
            <w:tcW w:w="7620" w:type="dxa"/>
            <w:tcBorders/>
            <w:vAlign w:val="center"/>
          </w:tcPr>
          <w:p>
            <w:pPr>
              <w:pStyle w:val="TableContents"/>
              <w:bidi w:val="0"/>
              <w:spacing w:before="0" w:after="283"/>
              <w:rPr/>
            </w:pPr>
            <w:r>
              <w:rPr>
                <w:rStyle w:val="Strong"/>
              </w:rPr>
              <w:t>4.2</w:t>
            </w:r>
            <w:r>
              <w:rPr/>
              <w:t xml:space="preserve"> A personal liability of the Buyer with immediate foreclosure may be justified up to the amount of the total Purchase Price of 674,000.00 EUR together with market-standard real interest of up to 15% annually and one-time ancillary service, if the financing bank so requires. The security agreement with the bank must ensure that payments are made only on the Purchase Price of this contract as long as the property is not rewritten.</w:t>
            </w:r>
          </w:p>
        </w:tc>
      </w:tr>
      <w:tr>
        <w:trPr/>
        <w:tc>
          <w:tcPr>
            <w:tcW w:w="7914" w:type="dxa"/>
            <w:tcBorders/>
            <w:vAlign w:val="center"/>
          </w:tcPr>
          <w:p>
            <w:pPr>
              <w:pStyle w:val="TableContents"/>
              <w:bidi w:val="0"/>
              <w:spacing w:before="0" w:after="283"/>
              <w:rPr/>
            </w:pPr>
            <w:r>
              <w:rPr>
                <w:rStyle w:val="Strong"/>
              </w:rPr>
              <w:t>4.3</w:t>
            </w:r>
            <w:r>
              <w:rPr/>
              <w:t xml:space="preserve"> Der Käufer trägt die Kosten der Bestellung, Rangbeschaffung und Löschung der Finanzierungsgrundpfandrechte. Der Verkäufer bleibt verpflichtet, die Lastenfreistellung nach § 3.1 c) und § 10 sicherzustellen.</w:t>
            </w:r>
          </w:p>
        </w:tc>
        <w:tc>
          <w:tcPr>
            <w:tcW w:w="7620" w:type="dxa"/>
            <w:tcBorders/>
            <w:vAlign w:val="center"/>
          </w:tcPr>
          <w:p>
            <w:pPr>
              <w:pStyle w:val="TableContents"/>
              <w:bidi w:val="0"/>
              <w:spacing w:before="0" w:after="283"/>
              <w:rPr/>
            </w:pPr>
            <w:r>
              <w:rPr>
                <w:rStyle w:val="Strong"/>
              </w:rPr>
              <w:t>4.3</w:t>
            </w:r>
            <w:r>
              <w:rPr/>
              <w:t xml:space="preserve"> The Buyer shall bear the costs of ordering, ranking and deletion of the financing land charges. The Seller remains obliged to ensure the load exemption according to § 3.1 c)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0" w:name="baupflicht-baubeschreibung-termine"/>
            <w:bookmarkEnd w:id="20"/>
            <w:r>
              <w:rPr/>
              <w:t>§ 5 Baupflicht, Baubeschreibung, Termine</w:t>
            </w:r>
          </w:p>
        </w:tc>
        <w:tc>
          <w:tcPr>
            <w:tcW w:w="7620"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 dates</w:t>
            </w:r>
          </w:p>
        </w:tc>
      </w:tr>
      <w:tr>
        <w:trPr/>
        <w:tc>
          <w:tcPr>
            <w:tcW w:w="7914" w:type="dxa"/>
            <w:tcBorders/>
            <w:vAlign w:val="center"/>
          </w:tcPr>
          <w:p>
            <w:pPr>
              <w:pStyle w:val="TableContents"/>
              <w:bidi w:val="0"/>
              <w:spacing w:before="0" w:after="283"/>
              <w:rPr/>
            </w:pPr>
            <w:r>
              <w:rPr>
                <w:rStyle w:val="Strong"/>
              </w:rPr>
              <w:t>5.1</w:t>
            </w:r>
            <w:r>
              <w:rPr/>
              <w:t xml:space="preserve"> Der Verkäufer verpflichtet sich, den Kaufgegenstand entsprechend der mitbeurkundeten Anlage Baubeschreibung (Fassung Mai 2026, Version 3.0), den genehmigten Plänen und den anerkannten Regeln der Technik herzustellen.</w:t>
            </w:r>
          </w:p>
        </w:tc>
        <w:tc>
          <w:tcPr>
            <w:tcW w:w="7620" w:type="dxa"/>
            <w:tcBorders/>
            <w:vAlign w:val="center"/>
          </w:tcPr>
          <w:p>
            <w:pPr>
              <w:pStyle w:val="TableContents"/>
              <w:bidi w:val="0"/>
              <w:spacing w:before="0" w:after="283"/>
              <w:rPr/>
            </w:pPr>
            <w:r>
              <w:rPr>
                <w:rStyle w:val="Strong"/>
              </w:rPr>
              <w:t>5.1</w:t>
            </w:r>
            <w:r>
              <w:rPr/>
              <w:t xml:space="preserve"> The Seller undertakes to produce the Purchased Property in accordance with the co-certified Plant Description (May 2026, Version 3.0), the approved plans and the recognised rules of technology.</w:t>
            </w:r>
          </w:p>
        </w:tc>
      </w:tr>
      <w:tr>
        <w:trPr/>
        <w:tc>
          <w:tcPr>
            <w:tcW w:w="7914" w:type="dxa"/>
            <w:tcBorders/>
            <w:vAlign w:val="center"/>
          </w:tcPr>
          <w:p>
            <w:pPr>
              <w:pStyle w:val="TableContents"/>
              <w:bidi w:val="0"/>
              <w:spacing w:before="0" w:after="283"/>
              <w:rPr/>
            </w:pPr>
            <w:r>
              <w:rPr>
                <w:rStyle w:val="Strong"/>
              </w:rPr>
              <w:t>5.2</w:t>
            </w:r>
            <w:r>
              <w:rPr/>
              <w:t xml:space="preserve"> 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tc>
        <w:tc>
          <w:tcPr>
            <w:tcW w:w="7620" w:type="dxa"/>
            <w:tcBorders/>
            <w:vAlign w:val="center"/>
          </w:tcPr>
          <w:p>
            <w:pPr>
              <w:pStyle w:val="TableContents"/>
              <w:bidi w:val="0"/>
              <w:spacing w:before="0" w:after="283"/>
              <w:rPr/>
            </w:pPr>
            <w:r>
              <w:rPr>
                <w:rStyle w:val="Strong"/>
              </w:rPr>
              <w:t>5.2</w:t>
            </w:r>
            <w:r>
              <w:rPr/>
              <w:t xml:space="preserve"> Planning and construction supervision is organised by the Seller under his own responsibility. The Buyer receives the documents required for financing, public proof, acceptance and later administration according to § 650n BGB; in particular, the planning and evidence documents shall be handed over to him or the Community at the latest upon completion. In addition, internal control documents are reserved for the Seller.</w:t>
            </w:r>
          </w:p>
        </w:tc>
      </w:tr>
      <w:tr>
        <w:trPr/>
        <w:tc>
          <w:tcPr>
            <w:tcW w:w="7914" w:type="dxa"/>
            <w:tcBorders/>
            <w:vAlign w:val="center"/>
          </w:tcPr>
          <w:p>
            <w:pPr>
              <w:pStyle w:val="TableContents"/>
              <w:bidi w:val="0"/>
              <w:spacing w:before="0" w:after="283"/>
              <w:rPr/>
            </w:pPr>
            <w:r>
              <w:rPr>
                <w:rStyle w:val="Strong"/>
              </w:rPr>
              <w:t>5.3</w:t>
            </w:r>
            <w:r>
              <w:rPr/>
              <w:t xml:space="preserve"> 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tc>
        <w:tc>
          <w:tcPr>
            <w:tcW w:w="7620" w:type="dxa"/>
            <w:tcBorders/>
            <w:vAlign w:val="center"/>
          </w:tcPr>
          <w:p>
            <w:pPr>
              <w:pStyle w:val="TableContents"/>
              <w:bidi w:val="0"/>
              <w:spacing w:before="0" w:after="283"/>
              <w:rPr/>
            </w:pPr>
            <w:r>
              <w:rPr>
                <w:rStyle w:val="Strong"/>
              </w:rPr>
              <w:t>5.3</w:t>
            </w:r>
            <w:r>
              <w:rPr/>
              <w:t xml:space="preserve"> As far as the description of the building provides for choices, the Buyer will be given the opportunity to choose at the sampling center “Marewald Selection”, Mundsburger Damm 5, Hamburg, if the construction progress permits. If the Buyer does not make a selection despite request and a reasonable period of at least four weeks, the Seller determines the design from the equipment line “Marewald Comfort C” at reasonable discretion, taking into account the uniform appearance.</w:t>
            </w:r>
          </w:p>
        </w:tc>
      </w:tr>
      <w:tr>
        <w:trPr/>
        <w:tc>
          <w:tcPr>
            <w:tcW w:w="7914" w:type="dxa"/>
            <w:tcBorders/>
            <w:vAlign w:val="center"/>
          </w:tcPr>
          <w:p>
            <w:pPr>
              <w:pStyle w:val="TableContents"/>
              <w:bidi w:val="0"/>
              <w:spacing w:before="0" w:after="283"/>
              <w:rPr/>
            </w:pPr>
            <w:r>
              <w:rPr>
                <w:rStyle w:val="Strong"/>
              </w:rPr>
              <w:t>5.4</w:t>
            </w:r>
            <w:r>
              <w:rPr/>
              <w:t xml:space="preserve"> Auf eine von Baubeschreibung, Plänen und Vertrag abweichende Ausführung besteht kein Anspruch. Verkaufsunterlagen und Musterwohnung begründen keine Beschaffenheitsvereinbarung.</w:t>
            </w:r>
          </w:p>
        </w:tc>
        <w:tc>
          <w:tcPr>
            <w:tcW w:w="7620" w:type="dxa"/>
            <w:tcBorders/>
            <w:vAlign w:val="center"/>
          </w:tcPr>
          <w:p>
            <w:pPr>
              <w:pStyle w:val="TableContents"/>
              <w:bidi w:val="0"/>
              <w:spacing w:before="0" w:after="283"/>
              <w:rPr/>
            </w:pPr>
            <w:r>
              <w:rPr>
                <w:rStyle w:val="Strong"/>
              </w:rPr>
              <w:t>5.4</w:t>
            </w:r>
            <w:r>
              <w:rPr/>
              <w:t xml:space="preserve"> Execution deviating from the construction description, plans and contract is not entitled. Sales documents and model dwellings do not constitute a quality agreement.</w:t>
            </w:r>
          </w:p>
        </w:tc>
      </w:tr>
      <w:tr>
        <w:trPr/>
        <w:tc>
          <w:tcPr>
            <w:tcW w:w="7914" w:type="dxa"/>
            <w:tcBorders/>
            <w:vAlign w:val="center"/>
          </w:tcPr>
          <w:p>
            <w:pPr>
              <w:pStyle w:val="TableContents"/>
              <w:bidi w:val="0"/>
              <w:spacing w:before="0" w:after="283"/>
              <w:rPr/>
            </w:pPr>
            <w:r>
              <w:rPr>
                <w:rStyle w:val="Strong"/>
              </w:rPr>
              <w:t>5.5</w:t>
            </w:r>
            <w:r>
              <w:rPr/>
              <w:t xml:space="preserve"> Enthält die Baubeschreibung zu notwendigen Leistungen keine oder unbestimmte Angaben, schuldet der Verkäufer eine Ausführung mittlerer Art und Güte, die der Ausstattungslinie „Marewald Komfort C” entspricht und die anerkannten Regeln der Technik einhält.</w:t>
            </w:r>
          </w:p>
        </w:tc>
        <w:tc>
          <w:tcPr>
            <w:tcW w:w="7620" w:type="dxa"/>
            <w:tcBorders/>
            <w:vAlign w:val="center"/>
          </w:tcPr>
          <w:p>
            <w:pPr>
              <w:pStyle w:val="TableContents"/>
              <w:bidi w:val="0"/>
              <w:spacing w:before="0" w:after="283"/>
              <w:rPr/>
            </w:pPr>
            <w:r>
              <w:rPr>
                <w:rStyle w:val="Strong"/>
              </w:rPr>
              <w:t>5.5</w:t>
            </w:r>
            <w:r>
              <w:rPr/>
              <w:t xml:space="preserve"> If the construction description does not contain any or indefinite information on necessary services, the Seller owes an execution of medium type and quality, which corresponds to the equipment line “Marewald Comfort C” and complies with the recognised rules of technology.</w:t>
            </w:r>
          </w:p>
        </w:tc>
      </w:tr>
      <w:tr>
        <w:trPr/>
        <w:tc>
          <w:tcPr>
            <w:tcW w:w="7914" w:type="dxa"/>
            <w:tcBorders/>
            <w:vAlign w:val="center"/>
          </w:tcPr>
          <w:p>
            <w:pPr>
              <w:pStyle w:val="TableContents"/>
              <w:bidi w:val="0"/>
              <w:spacing w:before="0" w:after="283"/>
              <w:rPr/>
            </w:pPr>
            <w:r>
              <w:rPr>
                <w:rStyle w:val="Strong"/>
              </w:rPr>
              <w:t>5.6</w:t>
            </w:r>
            <w:r>
              <w:rPr/>
              <w:t xml:space="preserve"> Der Verkäufer schuldet die Einhaltung der anerkannten Regeln der Technik </w:t>
            </w:r>
            <w:r>
              <w:rPr>
                <w:rStyle w:val="Strong"/>
              </w:rPr>
              <w:t>im Zeitpunkt der Abnahme</w:t>
            </w:r>
            <w:r>
              <w:rPr/>
              <w:t>.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tc>
        <w:tc>
          <w:tcPr>
            <w:tcW w:w="7620" w:type="dxa"/>
            <w:tcBorders/>
            <w:vAlign w:val="center"/>
          </w:tcPr>
          <w:p>
            <w:pPr>
              <w:pStyle w:val="TableContents"/>
              <w:bidi w:val="0"/>
              <w:spacing w:before="0" w:after="283"/>
              <w:rPr/>
            </w:pPr>
            <w:r>
              <w:rPr>
                <w:rStyle w:val="Strong"/>
              </w:rPr>
              <w:t>5.6</w:t>
            </w:r>
            <w:r>
              <w:rPr/>
              <w:t xml:space="preserve"> The Seller owes compliance with the recognised rules of technology at the time of acceptance. If the accepted rules of technology change between conclusion of the contract and acceptance, the Seller informs the Buyer about the change and its consequences; Any additional costs of execution going beyond the contractual status shall be borne by the Buyer only by separate agreement.</w:t>
            </w:r>
          </w:p>
        </w:tc>
      </w:tr>
      <w:tr>
        <w:trPr/>
        <w:tc>
          <w:tcPr>
            <w:tcW w:w="7914" w:type="dxa"/>
            <w:tcBorders/>
            <w:vAlign w:val="center"/>
          </w:tcPr>
          <w:p>
            <w:pPr>
              <w:pStyle w:val="TableContents"/>
              <w:bidi w:val="0"/>
              <w:spacing w:before="0" w:after="283"/>
              <w:rPr/>
            </w:pPr>
            <w:r>
              <w:rPr>
                <w:rStyle w:val="Strong"/>
              </w:rPr>
              <w:t>5.7</w:t>
            </w:r>
            <w:r>
              <w:rPr/>
              <w:t xml:space="preserve"> 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tc>
        <w:tc>
          <w:tcPr>
            <w:tcW w:w="7620" w:type="dxa"/>
            <w:tcBorders/>
            <w:vAlign w:val="center"/>
          </w:tcPr>
          <w:p>
            <w:pPr>
              <w:pStyle w:val="TableContents"/>
              <w:bidi w:val="0"/>
              <w:spacing w:before="0" w:after="283"/>
              <w:rPr/>
            </w:pPr>
            <w:r>
              <w:rPr>
                <w:rStyle w:val="Strong"/>
              </w:rPr>
              <w:t>5.7</w:t>
            </w:r>
            <w:r>
              <w:rPr/>
              <w:t xml:space="preserve"> Changes to the design and execution are only permitted if there is a specific valid reason – official requirements, changes to the law, static or building physics necessity or proven inability to deliver a intended product – and the modified execution is equivalent and does not adversely affect the value, usability, cutting and design impression of the Purchased Property. The Seller shall notify changes in text form with justification. If production becomes more expensive solely as a result of a mandatory requirement under public law that has come into force after certification and at least four months after the conclusion of the contract, the Seller may pass on only the actual, proven and offset additional costs of this trade without a risk, profit or group contribution; Cost reductions of the same trade must be offset. The Seller discloses reason, calculation and proof in text form. If the total additional costs exceed 3 % of the total Purchase Price, the Buyer may bear the additional costs or demand the cancellation of the contract against a refund of payments already made; Until such time as the return warranty or security is lodged, the advance notice shall remain unaffected. There is no price adjustment right going beyond that.</w:t>
            </w:r>
          </w:p>
        </w:tc>
      </w:tr>
      <w:tr>
        <w:trPr/>
        <w:tc>
          <w:tcPr>
            <w:tcW w:w="7914" w:type="dxa"/>
            <w:tcBorders/>
            <w:vAlign w:val="center"/>
          </w:tcPr>
          <w:p>
            <w:pPr>
              <w:pStyle w:val="TableContents"/>
              <w:bidi w:val="0"/>
              <w:spacing w:before="0" w:after="283"/>
              <w:rPr/>
            </w:pPr>
            <w:r>
              <w:rPr>
                <w:rStyle w:val="Strong"/>
              </w:rPr>
              <w:t>5.8</w:t>
            </w:r>
            <w:r>
              <w:rPr/>
              <w:t xml:space="preserve"> Termine</w:t>
            </w:r>
          </w:p>
        </w:tc>
        <w:tc>
          <w:tcPr>
            <w:tcW w:w="7620" w:type="dxa"/>
            <w:tcBorders/>
            <w:vAlign w:val="center"/>
          </w:tcPr>
          <w:p>
            <w:pPr>
              <w:pStyle w:val="TableContents"/>
              <w:bidi w:val="0"/>
              <w:spacing w:before="0" w:after="283"/>
              <w:rPr/>
            </w:pPr>
            <w:r>
              <w:rPr>
                <w:rStyle w:val="Strong"/>
              </w:rPr>
              <w:t>5.8</w:t>
            </w:r>
            <w:r>
              <w:rPr/>
              <w:t xml:space="preserve"> Dates</w:t>
            </w:r>
          </w:p>
        </w:tc>
      </w:tr>
      <w:tr>
        <w:trPr/>
        <w:tc>
          <w:tcPr>
            <w:tcW w:w="7914" w:type="dxa"/>
            <w:tcBorders/>
            <w:vAlign w:val="center"/>
          </w:tcPr>
          <w:p>
            <w:pPr>
              <w:pStyle w:val="TableContents"/>
              <w:bidi w:val="0"/>
              <w:spacing w:before="0" w:after="283"/>
              <w:rPr/>
            </w:pPr>
            <w:r>
              <w:rPr/>
              <w:t xml:space="preserve">5.8.1 Der Verkäufer stellt den Kaufgegenstand </w:t>
            </w:r>
            <w:r>
              <w:rPr>
                <w:rStyle w:val="Strong"/>
              </w:rPr>
              <w:t>verbindlich bis zum 31. März 2028</w:t>
            </w:r>
            <w:r>
              <w:rPr/>
              <w:t xml:space="preserve"> bezugsfertig her. Gerät der Verkäufer mit diesem Termin in Verzug, gelten die §§ 286 ff. BGB; einer gesonderten Mahnung bedarf es nicht (§ 286 Abs. 2 Nr. 1 BGB).</w:t>
            </w:r>
          </w:p>
        </w:tc>
        <w:tc>
          <w:tcPr>
            <w:tcW w:w="7620" w:type="dxa"/>
            <w:tcBorders/>
            <w:vAlign w:val="center"/>
          </w:tcPr>
          <w:p>
            <w:pPr>
              <w:pStyle w:val="TableContents"/>
              <w:bidi w:val="0"/>
              <w:spacing w:before="0" w:after="283"/>
              <w:rPr/>
            </w:pPr>
            <w:r>
              <w:rPr/>
              <w:t>5.8.1 The Seller makes the Purchased Property binding until 31. March 2028 ready for occupancy. If the Seller is in default with this date, §§ 286 ff apply. BGB; a separate reminder is not required (§ 286 para 2 no. 1 BGB).</w:t>
            </w:r>
          </w:p>
        </w:tc>
      </w:tr>
      <w:tr>
        <w:trPr/>
        <w:tc>
          <w:tcPr>
            <w:tcW w:w="7914" w:type="dxa"/>
            <w:tcBorders/>
            <w:vAlign w:val="center"/>
          </w:tcPr>
          <w:p>
            <w:pPr>
              <w:pStyle w:val="TableContents"/>
              <w:bidi w:val="0"/>
              <w:spacing w:before="0" w:after="283"/>
              <w:rPr/>
            </w:pPr>
            <w:r>
              <w:rPr/>
              <w:t>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tc>
        <w:tc>
          <w:tcPr>
            <w:tcW w:w="7620" w:type="dxa"/>
            <w:tcBorders/>
            <w:vAlign w:val="center"/>
          </w:tcPr>
          <w:p>
            <w:pPr>
              <w:pStyle w:val="TableContents"/>
              <w:bidi w:val="0"/>
              <w:spacing w:before="0" w:after="283"/>
              <w:rPr/>
            </w:pPr>
            <w:r>
              <w:rPr/>
              <w:t>5.8.2 The period is only extended by the duration of an actual construction impediment not attributable to the Seller (in particular force majeure, strike, governmental orders) if the Seller informs the Buyer of the obstacle, its beginning and end as well as the concrete effect on the construction process in text form. A blanket appeal to weather, supply chains or personnel situation is not enough.</w:t>
            </w:r>
          </w:p>
        </w:tc>
      </w:tr>
      <w:tr>
        <w:trPr/>
        <w:tc>
          <w:tcPr>
            <w:tcW w:w="7914" w:type="dxa"/>
            <w:tcBorders/>
            <w:vAlign w:val="center"/>
          </w:tcPr>
          <w:p>
            <w:pPr>
              <w:pStyle w:val="TableContents"/>
              <w:bidi w:val="0"/>
              <w:spacing w:before="0" w:after="283"/>
              <w:rPr/>
            </w:pPr>
            <w:r>
              <w:rPr/>
              <w:t>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tc>
        <w:tc>
          <w:tcPr>
            <w:tcW w:w="7620" w:type="dxa"/>
            <w:tcBorders/>
            <w:vAlign w:val="center"/>
          </w:tcPr>
          <w:p>
            <w:pPr>
              <w:pStyle w:val="TableContents"/>
              <w:bidi w:val="0"/>
              <w:spacing w:before="0" w:after="283"/>
              <w:rPr/>
            </w:pPr>
            <w:r>
              <w:rPr/>
              <w:t>5.8.3 If the Seller is responsible for exceeding the date, he owes a penalty of 0.2% of the total Purchase Price per completed week, up to a maximum of 5% of the total Purchase Price. The contractual penalty shall be charged to a further default damage. Legal liability for damages arising from injury to life, body or health as well as for intent and gross negligence remains unaffected.</w:t>
            </w:r>
          </w:p>
        </w:tc>
      </w:tr>
      <w:tr>
        <w:trPr/>
        <w:tc>
          <w:tcPr>
            <w:tcW w:w="7914" w:type="dxa"/>
            <w:tcBorders/>
            <w:vAlign w:val="center"/>
          </w:tcPr>
          <w:p>
            <w:pPr>
              <w:pStyle w:val="TableContents"/>
              <w:bidi w:val="0"/>
              <w:spacing w:before="0" w:after="283"/>
              <w:rPr/>
            </w:pPr>
            <w:r>
              <w:rPr>
                <w:rStyle w:val="Strong"/>
              </w:rPr>
              <w:t>5.9</w:t>
            </w:r>
            <w:r>
              <w:rPr/>
              <w:t xml:space="preserve"> Wohnfläche. Die Wohnfläche beträgt ca. 84,6 m² (Berechnung nach Wohnflächenverordnung). Weicht die tatsächliche Wohnfläche um mehr als 3 % nach unten ab, wird der Kaufpreis im Verhältnis der Mehrabweichung angepasst; weitergehende gesetzliche Rechte bleiben unberührt.</w:t>
            </w:r>
          </w:p>
        </w:tc>
        <w:tc>
          <w:tcPr>
            <w:tcW w:w="7620" w:type="dxa"/>
            <w:tcBorders/>
            <w:vAlign w:val="center"/>
          </w:tcPr>
          <w:p>
            <w:pPr>
              <w:pStyle w:val="TableContents"/>
              <w:bidi w:val="0"/>
              <w:spacing w:before="0" w:after="283"/>
              <w:rPr/>
            </w:pPr>
            <w:r>
              <w:rPr>
                <w:rStyle w:val="Strong"/>
              </w:rPr>
              <w:t>5.9</w:t>
            </w:r>
            <w:r>
              <w:rPr/>
              <w:t xml:space="preserve"> Living space. The living space is about 84.6 m2 (calculation according to the living space ordinance). If the actual living space deviates by more than 3 %, the Purchase Price shall be adjusted in proportion to the additional deviation; Further legal rights remain unaffected.</w:t>
            </w:r>
          </w:p>
        </w:tc>
      </w:tr>
      <w:tr>
        <w:trPr/>
        <w:tc>
          <w:tcPr>
            <w:tcW w:w="7914" w:type="dxa"/>
            <w:tcBorders/>
            <w:vAlign w:val="center"/>
          </w:tcPr>
          <w:p>
            <w:pPr>
              <w:pStyle w:val="TableContents"/>
              <w:bidi w:val="0"/>
              <w:spacing w:before="0" w:after="283"/>
              <w:rPr/>
            </w:pPr>
            <w:r>
              <w:rPr>
                <w:rStyle w:val="Strong"/>
              </w:rPr>
              <w:t>5.10</w:t>
            </w:r>
            <w:r>
              <w:rPr/>
              <w:t xml:space="preserve"> 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tc>
        <w:tc>
          <w:tcPr>
            <w:tcW w:w="7620" w:type="dxa"/>
            <w:tcBorders/>
            <w:vAlign w:val="center"/>
          </w:tcPr>
          <w:p>
            <w:pPr>
              <w:pStyle w:val="TableContents"/>
              <w:bidi w:val="0"/>
              <w:spacing w:before="0" w:after="283"/>
              <w:rPr/>
            </w:pPr>
            <w:r>
              <w:rPr>
                <w:rStyle w:val="Strong"/>
              </w:rPr>
              <w:t>5.10</w:t>
            </w:r>
            <w:r>
              <w:rPr/>
              <w:t xml:space="preserve"> energy standard. House C is built in accordance with the requirements of the Building Energy Act (GEG) in the version applicable to the building application and connected to the district heat supply (heat pump with peak load boiler). A specific KfW efficiency house class or eligibility is not owed, unless agreed in the Building Specification with characteristic value.</w:t>
            </w:r>
          </w:p>
        </w:tc>
      </w:tr>
      <w:tr>
        <w:trPr/>
        <w:tc>
          <w:tcPr>
            <w:tcW w:w="7914" w:type="dxa"/>
            <w:tcBorders/>
            <w:vAlign w:val="center"/>
          </w:tcPr>
          <w:p>
            <w:pPr>
              <w:pStyle w:val="TableContents"/>
              <w:bidi w:val="0"/>
              <w:spacing w:before="0" w:after="283"/>
              <w:rPr/>
            </w:pPr>
            <w:r>
              <w:rPr>
                <w:rStyle w:val="Strong"/>
              </w:rPr>
              <w:t>5.11</w:t>
            </w:r>
            <w:r>
              <w:rPr/>
              <w:t xml:space="preserve"> 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tc>
        <w:tc>
          <w:tcPr>
            <w:tcW w:w="7620" w:type="dxa"/>
            <w:tcBorders/>
            <w:vAlign w:val="center"/>
          </w:tcPr>
          <w:p>
            <w:pPr>
              <w:pStyle w:val="TableContents"/>
              <w:bidi w:val="0"/>
              <w:spacing w:before="0" w:after="283"/>
              <w:rPr/>
            </w:pPr>
            <w:r>
              <w:rPr>
                <w:rStyle w:val="Strong"/>
              </w:rPr>
              <w:t>5.11</w:t>
            </w:r>
            <w:r>
              <w:rPr/>
              <w:t xml:space="preserve"> Construction ground and excavation pit are the responsibility of the Seller as builder. The geotechnical report “ME-2026/07” of NordGrund GmbH from 03.03.2026 is accessible to the Buyer in the data room. Typical effects on the neighbourhood resulting from further construction activities (noise, dust, temporary routing) shall be accepted if they do not permanently eliminate the usability; they are otherwise without prejudice to the production obligation and the defect rights.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2" w:name="besitzübergang-abnahme"/>
            <w:bookmarkEnd w:id="22"/>
            <w:r>
              <w:rPr/>
              <w:t>§ 6 Besitzübergang, Abnahme</w:t>
            </w:r>
          </w:p>
        </w:tc>
        <w:tc>
          <w:tcPr>
            <w:tcW w:w="7620" w:type="dxa"/>
            <w:tcBorders/>
            <w:vAlign w:val="center"/>
          </w:tcPr>
          <w:p>
            <w:pPr>
              <w:pStyle w:val="Heading1"/>
              <w:bidi w:val="0"/>
              <w:spacing w:before="240" w:after="283"/>
              <w:ind w:hanging="0" w:start="0" w:end="0"/>
              <w:rPr/>
            </w:pPr>
            <w:bookmarkStart w:id="23" w:name="transfer-of-ownership-acceptance"/>
            <w:bookmarkEnd w:id="23"/>
            <w:r>
              <w:rPr/>
              <w:t>§ 6 Transfer of ownership, acceptance</w:t>
            </w:r>
          </w:p>
        </w:tc>
      </w:tr>
      <w:tr>
        <w:trPr/>
        <w:tc>
          <w:tcPr>
            <w:tcW w:w="7914" w:type="dxa"/>
            <w:tcBorders/>
            <w:vAlign w:val="center"/>
          </w:tcPr>
          <w:p>
            <w:pPr>
              <w:pStyle w:val="TableContents"/>
              <w:bidi w:val="0"/>
              <w:spacing w:before="0" w:after="283"/>
              <w:rPr/>
            </w:pPr>
            <w:r>
              <w:rPr>
                <w:rStyle w:val="Strong"/>
              </w:rPr>
              <w:t>6.1</w:t>
            </w:r>
            <w:r>
              <w:rPr/>
              <w:t xml:space="preserve"> Besitz, Nutzen, Lasten und Gefahr gehen mit Übergabe der Sondereigentumseinheit über. Die Übergabe erfolgt Zug um Zug gegen Zahlung der bis dahin fälligen Raten; das gesetzliche Zurückbehaltungsrecht des Käufers wegen festgestellter Mängel bleibt unberührt.</w:t>
            </w:r>
          </w:p>
        </w:tc>
        <w:tc>
          <w:tcPr>
            <w:tcW w:w="7620" w:type="dxa"/>
            <w:tcBorders/>
            <w:vAlign w:val="center"/>
          </w:tcPr>
          <w:p>
            <w:pPr>
              <w:pStyle w:val="TableContents"/>
              <w:bidi w:val="0"/>
              <w:spacing w:before="0" w:after="283"/>
              <w:rPr/>
            </w:pPr>
            <w:r>
              <w:rPr>
                <w:rStyle w:val="Strong"/>
              </w:rPr>
              <w:t>6.1</w:t>
            </w:r>
            <w:r>
              <w:rPr/>
              <w:t xml:space="preserve"> Possession, utility, burdens and danger pass with the transfer of the special ownership unit. The transfer shall be made in turn against payment of the instalments due until then; the legal right of retention of the Buyer due to detected defects remains unaffected.</w:t>
            </w:r>
          </w:p>
        </w:tc>
      </w:tr>
      <w:tr>
        <w:trPr/>
        <w:tc>
          <w:tcPr>
            <w:tcW w:w="7914" w:type="dxa"/>
            <w:tcBorders/>
            <w:vAlign w:val="center"/>
          </w:tcPr>
          <w:p>
            <w:pPr>
              <w:pStyle w:val="TableContents"/>
              <w:bidi w:val="0"/>
              <w:spacing w:before="0" w:after="283"/>
              <w:rPr/>
            </w:pPr>
            <w:r>
              <w:rPr>
                <w:rStyle w:val="Strong"/>
              </w:rPr>
              <w:t>6.2</w:t>
            </w:r>
            <w:r>
              <w:rPr/>
              <w:t xml:space="preserve"> 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tc>
        <w:tc>
          <w:tcPr>
            <w:tcW w:w="7620" w:type="dxa"/>
            <w:tcBorders/>
            <w:vAlign w:val="center"/>
          </w:tcPr>
          <w:p>
            <w:pPr>
              <w:pStyle w:val="TableContents"/>
              <w:bidi w:val="0"/>
              <w:spacing w:before="0" w:after="283"/>
              <w:rPr/>
            </w:pPr>
            <w:r>
              <w:rPr>
                <w:rStyle w:val="Strong"/>
              </w:rPr>
              <w:t>6.2</w:t>
            </w:r>
            <w:r>
              <w:rPr/>
              <w:t xml:space="preserve"> Acceptance of the special ownership unit. The Seller shows the readiness for occupancy and invites to a joint walk. a record of the acceptance is drawn up with defects and remaining work; the Buyer may involve a person of his trust. If the Buyer does not appear after requesting and expiry of a reasonable period without specifying essential defects, the acceptance according to § 640 Abs. 2 BGB shall be deemed to have taken place; This and the consequences must be indicated to the Buyer as consumer in the invitation in text form.</w:t>
            </w:r>
          </w:p>
        </w:tc>
      </w:tr>
      <w:tr>
        <w:trPr/>
        <w:tc>
          <w:tcPr>
            <w:tcW w:w="7914" w:type="dxa"/>
            <w:tcBorders/>
            <w:vAlign w:val="center"/>
          </w:tcPr>
          <w:p>
            <w:pPr>
              <w:pStyle w:val="TableContents"/>
              <w:bidi w:val="0"/>
              <w:spacing w:before="0" w:after="283"/>
              <w:rPr/>
            </w:pPr>
            <w:r>
              <w:rPr>
                <w:rStyle w:val="Strong"/>
              </w:rPr>
              <w:t>6.3</w:t>
            </w:r>
            <w:r>
              <w:rPr/>
              <w:t xml:space="preserve"> 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tc>
        <w:tc>
          <w:tcPr>
            <w:tcW w:w="7620" w:type="dxa"/>
            <w:tcBorders/>
            <w:vAlign w:val="center"/>
          </w:tcPr>
          <w:p>
            <w:pPr>
              <w:pStyle w:val="TableContents"/>
              <w:bidi w:val="0"/>
              <w:spacing w:before="0" w:after="283"/>
              <w:rPr/>
            </w:pPr>
            <w:r>
              <w:rPr>
                <w:rStyle w:val="Strong"/>
              </w:rPr>
              <w:t>6.3</w:t>
            </w:r>
            <w:r>
              <w:rPr/>
              <w:t xml:space="preserve"> Acquisition of community property. Each acquirer remains entitled to examine the joint property for its acceptance maturity itself or by a person of his trust and to declare or refuse the acceptance personally. The Seller shall offer a joint acceptance date for coordination, involving a publicly appointed and sworn expert; its findings are a proposal and do not bind the individual acquirer. No transfer of acceptance to the Seller, a related party, the first manager or a third party appointed by the Seller with binding effect on the acquirer shall take place; an acceptance fiction by mere passage of time or by declaration of a third party is excluded.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4" w:name="erschließungs--und-anschlusskosten"/>
            <w:bookmarkEnd w:id="24"/>
            <w:r>
              <w:rPr/>
              <w:t>§ 7 Erschließungs- und Anschlusskosten</w:t>
            </w:r>
          </w:p>
        </w:tc>
        <w:tc>
          <w:tcPr>
            <w:tcW w:w="7620" w:type="dxa"/>
            <w:tcBorders/>
            <w:vAlign w:val="center"/>
          </w:tcPr>
          <w:p>
            <w:pPr>
              <w:pStyle w:val="Heading1"/>
              <w:bidi w:val="0"/>
              <w:spacing w:before="240" w:after="283"/>
              <w:ind w:hanging="0" w:start="0" w:end="0"/>
              <w:rPr/>
            </w:pPr>
            <w:bookmarkStart w:id="25" w:name="ground-exploitation-and-connection-costs"/>
            <w:bookmarkEnd w:id="25"/>
            <w:r>
              <w:rPr/>
              <w:t>§ 7 Ground exploitation and connection costs</w:t>
            </w:r>
          </w:p>
        </w:tc>
      </w:tr>
      <w:tr>
        <w:trPr/>
        <w:tc>
          <w:tcPr>
            <w:tcW w:w="7914" w:type="dxa"/>
            <w:tcBorders/>
            <w:vAlign w:val="center"/>
          </w:tcPr>
          <w:p>
            <w:pPr>
              <w:pStyle w:val="TableContents"/>
              <w:bidi w:val="0"/>
              <w:spacing w:before="0" w:after="283"/>
              <w:rPr/>
            </w:pPr>
            <w:r>
              <w:rPr>
                <w:rStyle w:val="Strong"/>
              </w:rPr>
              <w:t>7.1</w:t>
            </w:r>
            <w:r>
              <w:rPr/>
              <w:t xml:space="preserve"> Die Kosten der erstmaligen Erschließung und der Anschlüsse an Ver- und Entsorgungsanlagen trägt der Käufer anteilig nach seinem Miteigentumsanteil, soweit sie nicht bereits im Kaufpreis enthalten sind.</w:t>
            </w:r>
          </w:p>
        </w:tc>
        <w:tc>
          <w:tcPr>
            <w:tcW w:w="7620" w:type="dxa"/>
            <w:tcBorders/>
            <w:vAlign w:val="center"/>
          </w:tcPr>
          <w:p>
            <w:pPr>
              <w:pStyle w:val="TableContents"/>
              <w:bidi w:val="0"/>
              <w:spacing w:before="0" w:after="283"/>
              <w:rPr/>
            </w:pPr>
            <w:r>
              <w:rPr>
                <w:rStyle w:val="Strong"/>
              </w:rPr>
              <w:t>7.1</w:t>
            </w:r>
            <w:r>
              <w:rPr/>
              <w:t xml:space="preserve"> The costs of the initial development and connections to supply and disposal plants shall be borne by the Buyer in proportion to his co-ownership, unless they are already included in the Purchase Price.</w:t>
            </w:r>
          </w:p>
        </w:tc>
      </w:tr>
      <w:tr>
        <w:trPr/>
        <w:tc>
          <w:tcPr>
            <w:tcW w:w="7914" w:type="dxa"/>
            <w:tcBorders/>
            <w:vAlign w:val="center"/>
          </w:tcPr>
          <w:p>
            <w:pPr>
              <w:pStyle w:val="TableContents"/>
              <w:bidi w:val="0"/>
              <w:spacing w:before="0" w:after="283"/>
              <w:rPr/>
            </w:pPr>
            <w:r>
              <w:rPr>
                <w:rStyle w:val="Strong"/>
              </w:rPr>
              <w:t>7.2</w:t>
            </w:r>
            <w:r>
              <w:rPr/>
              <w:t xml:space="preserve"> Der Verkäufer schätzt die auf den Käufer entfallenden Erschließungs- und Anschlusskosten auf voraussichtlich 9.000,00 EUR bis 14.000,00 EUR. Die Schätzung beruht auf den derzeit bekannten Bescheiden und Satzungen; maßgeblich ist die spätere behördliche Abrechnung.</w:t>
            </w:r>
          </w:p>
        </w:tc>
        <w:tc>
          <w:tcPr>
            <w:tcW w:w="7620" w:type="dxa"/>
            <w:tcBorders/>
            <w:vAlign w:val="center"/>
          </w:tcPr>
          <w:p>
            <w:pPr>
              <w:pStyle w:val="TableContents"/>
              <w:bidi w:val="0"/>
              <w:spacing w:before="0" w:after="283"/>
              <w:rPr/>
            </w:pPr>
            <w:r>
              <w:rPr>
                <w:rStyle w:val="Strong"/>
              </w:rPr>
              <w:t>7.2</w:t>
            </w:r>
            <w:r>
              <w:rPr/>
              <w:t xml:space="preserve"> The Seller estimates the development and connection costs attributable to the Buyer at an estimated EUR 9,000 to EUR 14,000.00. The estimate is based on the currently known decisions and statutes; The decisive factor is the later administrative accounting.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6" w:name="zutritt-zur-baustelle-eigene-sachverstän"/>
            <w:bookmarkEnd w:id="26"/>
            <w:r>
              <w:rPr/>
              <w:t>§ 8 Zutritt zur Baustelle, eigene Sachverständige</w:t>
            </w:r>
          </w:p>
        </w:tc>
        <w:tc>
          <w:tcPr>
            <w:tcW w:w="7620" w:type="dxa"/>
            <w:tcBorders/>
            <w:vAlign w:val="center"/>
          </w:tcPr>
          <w:p>
            <w:pPr>
              <w:pStyle w:val="Heading1"/>
              <w:bidi w:val="0"/>
              <w:spacing w:before="240" w:after="283"/>
              <w:ind w:hanging="0" w:start="0" w:end="0"/>
              <w:rPr/>
            </w:pPr>
            <w:bookmarkStart w:id="27" w:name="access-to-the-construction-site-own-expe"/>
            <w:bookmarkEnd w:id="27"/>
            <w:r>
              <w:rPr/>
              <w:t>§ 8 Access to the construction site, own experts</w:t>
            </w:r>
          </w:p>
        </w:tc>
      </w:tr>
      <w:tr>
        <w:trPr/>
        <w:tc>
          <w:tcPr>
            <w:tcW w:w="7914" w:type="dxa"/>
            <w:tcBorders/>
            <w:vAlign w:val="center"/>
          </w:tcPr>
          <w:p>
            <w:pPr>
              <w:pStyle w:val="TableContents"/>
              <w:bidi w:val="0"/>
              <w:spacing w:before="0" w:after="283"/>
              <w:rPr/>
            </w:pPr>
            <w:r>
              <w:rPr>
                <w:rStyle w:val="Strong"/>
              </w:rPr>
              <w:t>8.1</w:t>
            </w:r>
            <w:r>
              <w:rPr/>
              <w:t xml:space="preserve"> 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tc>
        <w:tc>
          <w:tcPr>
            <w:tcW w:w="7620" w:type="dxa"/>
            <w:tcBorders/>
            <w:vAlign w:val="center"/>
          </w:tcPr>
          <w:p>
            <w:pPr>
              <w:pStyle w:val="TableContents"/>
              <w:bidi w:val="0"/>
              <w:spacing w:before="0" w:after="283"/>
              <w:rPr/>
            </w:pPr>
            <w:r>
              <w:rPr>
                <w:rStyle w:val="Strong"/>
              </w:rPr>
              <w:t>8.1</w:t>
            </w:r>
            <w:r>
              <w:rPr/>
              <w:t xml:space="preserve"> The Buyer may enter the construction site for reasons of traffic safety only after registration and accompanied. The Seller allows the Buyer in any case visits to the building stands relevant for the installment (crude construction, window installation, screed, reference skill) as well as acceptance.</w:t>
            </w:r>
          </w:p>
        </w:tc>
      </w:tr>
      <w:tr>
        <w:trPr/>
        <w:tc>
          <w:tcPr>
            <w:tcW w:w="7914" w:type="dxa"/>
            <w:tcBorders/>
            <w:vAlign w:val="center"/>
          </w:tcPr>
          <w:p>
            <w:pPr>
              <w:pStyle w:val="TableContents"/>
              <w:bidi w:val="0"/>
              <w:spacing w:before="0" w:after="283"/>
              <w:rPr/>
            </w:pPr>
            <w:r>
              <w:rPr>
                <w:rStyle w:val="Strong"/>
              </w:rPr>
              <w:t>8.2</w:t>
            </w:r>
            <w:r>
              <w:rPr/>
              <w:t xml:space="preserve"> 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tc>
        <w:tc>
          <w:tcPr>
            <w:tcW w:w="7620" w:type="dxa"/>
            <w:tcBorders/>
            <w:vAlign w:val="center"/>
          </w:tcPr>
          <w:p>
            <w:pPr>
              <w:pStyle w:val="TableContents"/>
              <w:bidi w:val="0"/>
              <w:spacing w:before="0" w:after="283"/>
              <w:rPr/>
            </w:pPr>
            <w:r>
              <w:rPr>
                <w:rStyle w:val="Strong"/>
              </w:rPr>
              <w:t>8.2</w:t>
            </w:r>
            <w:r>
              <w:rPr/>
              <w:t xml:space="preserve"> The Buyer may bring in his own expert or civil engineer to check the status of the building, document his own unit and the relevant common areas and participate in the acceptance. The expert does not issue instructions to construction parties. An auditable building status report of the expert must be considered for the question of installment (§ 3.2).</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8" w:name="mängelrechte-verjährung"/>
            <w:bookmarkEnd w:id="28"/>
            <w:r>
              <w:rPr/>
              <w:t>§ 9 Mängelrechte, Verjährung</w:t>
            </w:r>
          </w:p>
        </w:tc>
        <w:tc>
          <w:tcPr>
            <w:tcW w:w="7620" w:type="dxa"/>
            <w:tcBorders/>
            <w:vAlign w:val="center"/>
          </w:tcPr>
          <w:p>
            <w:pPr>
              <w:pStyle w:val="Heading1"/>
              <w:bidi w:val="0"/>
              <w:spacing w:before="240" w:after="283"/>
              <w:ind w:hanging="0" w:start="0" w:end="0"/>
              <w:rPr/>
            </w:pPr>
            <w:bookmarkStart w:id="29" w:name="rights-of-defects-limitation-period"/>
            <w:bookmarkEnd w:id="29"/>
            <w:r>
              <w:rPr/>
              <w:t>§ 9 Rights of Defects, Limitation Period</w:t>
            </w:r>
          </w:p>
        </w:tc>
      </w:tr>
      <w:tr>
        <w:trPr/>
        <w:tc>
          <w:tcPr>
            <w:tcW w:w="7914" w:type="dxa"/>
            <w:tcBorders/>
            <w:vAlign w:val="center"/>
          </w:tcPr>
          <w:p>
            <w:pPr>
              <w:pStyle w:val="TableContents"/>
              <w:bidi w:val="0"/>
              <w:spacing w:before="0" w:after="283"/>
              <w:rPr/>
            </w:pPr>
            <w:r>
              <w:rPr>
                <w:rStyle w:val="Strong"/>
              </w:rPr>
              <w:t>9.1</w:t>
            </w:r>
            <w:r>
              <w:rPr/>
              <w:t xml:space="preserve"> Für das herzustellende Bauwerk gelten die Mängelrechte des Werkvertragsrechts (§§ 633 ff. BGB) ohne Einschränkung. Für den Grund und Boden im Übrigen sind Sachmängelansprüche ausgeschlossen, ausgenommen Vorsatz und arglistig verschwiegene Mängel.</w:t>
            </w:r>
          </w:p>
        </w:tc>
        <w:tc>
          <w:tcPr>
            <w:tcW w:w="7620" w:type="dxa"/>
            <w:tcBorders/>
            <w:vAlign w:val="center"/>
          </w:tcPr>
          <w:p>
            <w:pPr>
              <w:pStyle w:val="TableContents"/>
              <w:bidi w:val="0"/>
              <w:spacing w:before="0" w:after="283"/>
              <w:rPr/>
            </w:pPr>
            <w:r>
              <w:rPr>
                <w:rStyle w:val="Strong"/>
              </w:rPr>
              <w:t>9.1</w:t>
            </w:r>
            <w:r>
              <w:rPr/>
              <w:t xml:space="preserve"> For the building to be produced, the defect rights of the Work Contract Law (§§ 633 ff. BGB) apply without restriction. For the rest, claims for material defects are excluded, except intent and fraudulently concealed defects.</w:t>
            </w:r>
          </w:p>
        </w:tc>
      </w:tr>
      <w:tr>
        <w:trPr/>
        <w:tc>
          <w:tcPr>
            <w:tcW w:w="7914" w:type="dxa"/>
            <w:tcBorders/>
            <w:vAlign w:val="center"/>
          </w:tcPr>
          <w:p>
            <w:pPr>
              <w:pStyle w:val="TableContents"/>
              <w:bidi w:val="0"/>
              <w:spacing w:before="0" w:after="283"/>
              <w:rPr/>
            </w:pPr>
            <w:r>
              <w:rPr>
                <w:rStyle w:val="Strong"/>
              </w:rPr>
              <w:t>9.2</w:t>
            </w:r>
            <w:r>
              <w:rPr/>
              <w:t xml:space="preserve"> Die Verjährungsfrist für Mängelansprüche am Bauwerk beträgt fünf Jahre ab Abnahme (§ 634a Abs. 1 Nr. 2 BGB).</w:t>
            </w:r>
          </w:p>
        </w:tc>
        <w:tc>
          <w:tcPr>
            <w:tcW w:w="7620" w:type="dxa"/>
            <w:tcBorders/>
            <w:vAlign w:val="center"/>
          </w:tcPr>
          <w:p>
            <w:pPr>
              <w:pStyle w:val="TableContents"/>
              <w:bidi w:val="0"/>
              <w:spacing w:before="0" w:after="283"/>
              <w:rPr/>
            </w:pPr>
            <w:r>
              <w:rPr>
                <w:rStyle w:val="Strong"/>
              </w:rPr>
              <w:t>9.2</w:t>
            </w:r>
            <w:r>
              <w:rPr/>
              <w:t xml:space="preserve"> The limitation period for claims for defects in the building is five years from acceptance (§ 634a para 1 no. 2 BGB).</w:t>
            </w:r>
          </w:p>
        </w:tc>
      </w:tr>
      <w:tr>
        <w:trPr/>
        <w:tc>
          <w:tcPr>
            <w:tcW w:w="7914" w:type="dxa"/>
            <w:tcBorders/>
            <w:vAlign w:val="center"/>
          </w:tcPr>
          <w:p>
            <w:pPr>
              <w:pStyle w:val="TableContents"/>
              <w:bidi w:val="0"/>
              <w:spacing w:before="0" w:after="283"/>
              <w:rPr/>
            </w:pPr>
            <w:r>
              <w:rPr>
                <w:rStyle w:val="Strong"/>
              </w:rPr>
              <w:t>9.3</w:t>
            </w:r>
            <w:r>
              <w:rPr/>
              <w:t xml:space="preserve"> 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tc>
        <w:tc>
          <w:tcPr>
            <w:tcW w:w="7620" w:type="dxa"/>
            <w:tcBorders/>
            <w:vAlign w:val="center"/>
          </w:tcPr>
          <w:p>
            <w:pPr>
              <w:pStyle w:val="TableContents"/>
              <w:bidi w:val="0"/>
              <w:spacing w:before="0" w:after="283"/>
              <w:rPr/>
            </w:pPr>
            <w:r>
              <w:rPr>
                <w:rStyle w:val="Strong"/>
              </w:rPr>
              <w:t>9.3</w:t>
            </w:r>
            <w:r>
              <w:rPr/>
              <w:t xml:space="preserve"> defects should be reported to the Seller in text form to the Seller’s warranty office; the notification is an obligation and not a prerequisite for the existence of the defect rights. The Buyer sets the Seller a reasonable period for subsequent performance. After an unsuccessful expiration of the deadline, the statutory rights including self-delivery and advance of costs (§ 637 BGB), reduction, withdrawal and damages remain unaffected.</w:t>
            </w:r>
          </w:p>
        </w:tc>
      </w:tr>
      <w:tr>
        <w:trPr/>
        <w:tc>
          <w:tcPr>
            <w:tcW w:w="7914" w:type="dxa"/>
            <w:tcBorders/>
            <w:vAlign w:val="center"/>
          </w:tcPr>
          <w:p>
            <w:pPr>
              <w:pStyle w:val="TableContents"/>
              <w:bidi w:val="0"/>
              <w:spacing w:before="0" w:after="283"/>
              <w:rPr/>
            </w:pPr>
            <w:r>
              <w:rPr>
                <w:rStyle w:val="Strong"/>
              </w:rPr>
              <w:t>9.4</w:t>
            </w:r>
            <w:r>
              <w:rPr/>
              <w:t xml:space="preserve"> 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tc>
        <w:tc>
          <w:tcPr>
            <w:tcW w:w="7620" w:type="dxa"/>
            <w:tcBorders/>
            <w:vAlign w:val="center"/>
          </w:tcPr>
          <w:p>
            <w:pPr>
              <w:pStyle w:val="TableContents"/>
              <w:bidi w:val="0"/>
              <w:spacing w:before="0" w:after="283"/>
              <w:rPr/>
            </w:pPr>
            <w:r>
              <w:rPr>
                <w:rStyle w:val="Strong"/>
              </w:rPr>
              <w:t>9.4</w:t>
            </w:r>
            <w:r>
              <w:rPr/>
              <w:t xml:space="preserve"> In the case of maintenance-dependent components, the given maintenance and operating instructions apply. Wear during intended use is not a defect. A shortening of the statutory limitation of defects or a shift of the burden of proof at the expense of the Buyer is not associated with this regulation.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0" w:name="vormerkung"/>
            <w:bookmarkEnd w:id="30"/>
            <w:r>
              <w:rPr/>
              <w:t>§ 10 Vormerkung</w:t>
            </w:r>
          </w:p>
        </w:tc>
        <w:tc>
          <w:tcPr>
            <w:tcW w:w="7620"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914" w:type="dxa"/>
            <w:tcBorders/>
            <w:vAlign w:val="center"/>
          </w:tcPr>
          <w:p>
            <w:pPr>
              <w:pStyle w:val="TableContents"/>
              <w:bidi w:val="0"/>
              <w:spacing w:before="0" w:after="283"/>
              <w:rPr/>
            </w:pPr>
            <w:r>
              <w:rPr>
                <w:rStyle w:val="Strong"/>
              </w:rPr>
              <w:t>10.1</w:t>
            </w:r>
            <w:r>
              <w:rPr/>
              <w:t xml:space="preserve"> Zur Sicherung des Anspruchs des Käufers auf Eigentumsverschaffung wird eine Auflassungsvormerkung nach § 883 BGB zugunsten des Käufers im Wohnungsgrundbuch eingetragen.</w:t>
            </w:r>
          </w:p>
        </w:tc>
        <w:tc>
          <w:tcPr>
            <w:tcW w:w="7620" w:type="dxa"/>
            <w:tcBorders/>
            <w:vAlign w:val="center"/>
          </w:tcPr>
          <w:p>
            <w:pPr>
              <w:pStyle w:val="TableContents"/>
              <w:bidi w:val="0"/>
              <w:spacing w:before="0" w:after="283"/>
              <w:rPr/>
            </w:pPr>
            <w:r>
              <w:rPr>
                <w:rStyle w:val="Strong"/>
              </w:rPr>
              <w:t>10.1</w:t>
            </w:r>
            <w:r>
              <w:rPr/>
              <w:t xml:space="preserve"> In order to secure the Buyer’s right to property provision, a priority notice of conveyance pursuant to § 883 BGB in favour of the Buyer is entered in the housing Land Register.</w:t>
            </w:r>
          </w:p>
        </w:tc>
      </w:tr>
      <w:tr>
        <w:trPr/>
        <w:tc>
          <w:tcPr>
            <w:tcW w:w="7914" w:type="dxa"/>
            <w:tcBorders/>
            <w:vAlign w:val="center"/>
          </w:tcPr>
          <w:p>
            <w:pPr>
              <w:pStyle w:val="TableContents"/>
              <w:bidi w:val="0"/>
              <w:spacing w:before="0" w:after="283"/>
              <w:rPr/>
            </w:pPr>
            <w:r>
              <w:rPr>
                <w:rStyle w:val="Strong"/>
              </w:rPr>
              <w:t>10.2</w:t>
            </w:r>
            <w:r>
              <w:rPr/>
              <w:t xml:space="preserve"> 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 </w:t>
            </w:r>
            <w:r>
              <w:rPr>
                <w:rStyle w:val="Strong"/>
              </w:rPr>
              <w:t>und</w:t>
            </w:r>
            <w:r>
              <w:rPr/>
              <w:t xml:space="preserve"> dem Käufer geleistete Zahlungen Zug um Zug zurückgewährt sind oder hierfür Sicherheit geleistet ist. Eine Löschung allein aufgrund einer einseitigen Verzugsbehauptung des Verkäufers ist ausgeschlossen.</w:t>
            </w:r>
          </w:p>
        </w:tc>
        <w:tc>
          <w:tcPr>
            <w:tcW w:w="7620" w:type="dxa"/>
            <w:tcBorders/>
            <w:vAlign w:val="center"/>
          </w:tcPr>
          <w:p>
            <w:pPr>
              <w:pStyle w:val="TableContents"/>
              <w:bidi w:val="0"/>
              <w:spacing w:before="0" w:after="283"/>
              <w:rPr/>
            </w:pPr>
            <w:r>
              <w:rPr>
                <w:rStyle w:val="Strong"/>
              </w:rPr>
              <w:t>10.2</w:t>
            </w:r>
            <w:r>
              <w:rPr/>
              <w:t xml:space="preserve"> The Buyer grants the authorization to delete the reservation and delivers it to the Notary in trust. The Notary may only make use of the authorization if it is established that the secured claim finally no longer exists (in particular after effective withdrawal or mutually agreed cancellation) and payments made to the Buyer are returned move by move or security is provided for this purpose. Deletion solely on the basis of a unilateral claim of default by the Seller is excluded.</w:t>
            </w:r>
          </w:p>
        </w:tc>
      </w:tr>
      <w:tr>
        <w:trPr/>
        <w:tc>
          <w:tcPr>
            <w:tcW w:w="7914" w:type="dxa"/>
            <w:tcBorders/>
            <w:vAlign w:val="center"/>
          </w:tcPr>
          <w:p>
            <w:pPr>
              <w:pStyle w:val="TableContents"/>
              <w:bidi w:val="0"/>
              <w:spacing w:before="0" w:after="283"/>
              <w:rPr/>
            </w:pPr>
            <w:r>
              <w:rPr>
                <w:rStyle w:val="Strong"/>
              </w:rPr>
              <w:t>10.3</w:t>
            </w:r>
            <w:r>
              <w:rPr/>
              <w:t xml:space="preserve"> Der Käufer beantragt die Löschung der Vormerkung Zug um Zug mit Vollzug der Auflassung.</w:t>
            </w:r>
          </w:p>
        </w:tc>
        <w:tc>
          <w:tcPr>
            <w:tcW w:w="7620" w:type="dxa"/>
            <w:tcBorders/>
            <w:vAlign w:val="center"/>
          </w:tcPr>
          <w:p>
            <w:pPr>
              <w:pStyle w:val="TableContents"/>
              <w:bidi w:val="0"/>
              <w:spacing w:before="0" w:after="283"/>
              <w:rPr/>
            </w:pPr>
            <w:r>
              <w:rPr>
                <w:rStyle w:val="Strong"/>
              </w:rPr>
              <w:t>10.3</w:t>
            </w:r>
            <w:r>
              <w:rPr/>
              <w:t xml:space="preserve"> The Buyer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2" w:name="auflassung"/>
            <w:bookmarkEnd w:id="32"/>
            <w:r>
              <w:rPr/>
              <w:t>§ 11 Auflassung</w:t>
            </w:r>
          </w:p>
        </w:tc>
        <w:tc>
          <w:tcPr>
            <w:tcW w:w="7620"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914" w:type="dxa"/>
            <w:tcBorders/>
            <w:vAlign w:val="center"/>
          </w:tcPr>
          <w:p>
            <w:pPr>
              <w:pStyle w:val="TableContents"/>
              <w:bidi w:val="0"/>
              <w:spacing w:before="0" w:after="283"/>
              <w:rPr/>
            </w:pPr>
            <w:r>
              <w:rPr/>
              <w:t>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tc>
        <w:tc>
          <w:tcPr>
            <w:tcW w:w="7620" w:type="dxa"/>
            <w:tcBorders/>
            <w:vAlign w:val="center"/>
          </w:tcPr>
          <w:p>
            <w:pPr>
              <w:pStyle w:val="TableContents"/>
              <w:bidi w:val="0"/>
              <w:spacing w:before="0" w:after="283"/>
              <w:rPr/>
            </w:pPr>
            <w:r>
              <w:rPr/>
              <w:t>The Seller and Buyer agree on the transfer of ownership and approve and apply for registration. The Notary is instructed to register the disposition only after full payment of the Purchase Price and after the release of the goods purchased.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4" w:name="vollmachten"/>
            <w:bookmarkEnd w:id="34"/>
            <w:r>
              <w:rPr/>
              <w:t>§ 12 Vollmachten</w:t>
            </w:r>
          </w:p>
        </w:tc>
        <w:tc>
          <w:tcPr>
            <w:tcW w:w="7620"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914"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tc>
        <w:tc>
          <w:tcPr>
            <w:tcW w:w="7620" w:type="dxa"/>
            <w:tcBorders/>
            <w:vAlign w:val="center"/>
          </w:tcPr>
          <w:p>
            <w:pPr>
              <w:pStyle w:val="TableContents"/>
              <w:bidi w:val="0"/>
              <w:spacing w:before="0" w:after="283"/>
              <w:rPr/>
            </w:pPr>
            <w:r>
              <w:rPr>
                <w:rStyle w:val="Strong"/>
              </w:rPr>
              <w:t>12.1</w:t>
            </w:r>
            <w:r>
              <w:rPr/>
              <w:t xml:space="preserve"> The Buyer authorises the Seller to amend or supplement the declaration of division, including Community rules, and the plans of division, insofar as this is necessary for the execution of the division, for the correction of obvious errors, for adjustment to administrative requirements or for the drawing adjustment according to the execution plan. The power of attorney shall not entitle any changes which adversely affect the Buyer’s co-ownership interest, location, shape, value, usability, cost burden, voting rights or special use rights; such amendments shall require his separate consent.</w:t>
            </w:r>
          </w:p>
        </w:tc>
      </w:tr>
      <w:tr>
        <w:trPr/>
        <w:tc>
          <w:tcPr>
            <w:tcW w:w="7914" w:type="dxa"/>
            <w:tcBorders/>
            <w:vAlign w:val="center"/>
          </w:tcPr>
          <w:p>
            <w:pPr>
              <w:pStyle w:val="TableContents"/>
              <w:bidi w:val="0"/>
              <w:spacing w:before="0" w:after="283"/>
              <w:rPr/>
            </w:pPr>
            <w:r>
              <w:rPr>
                <w:rStyle w:val="Strong"/>
              </w:rPr>
              <w:t>12.2</w:t>
            </w:r>
            <w:r>
              <w:rPr/>
              <w:t xml:space="preserve"> Die Vollmacht ist von den Beschränkungen des § 181 BGB befreit und im Innenverhältnis nur im vorstehenden Rahmen und unter Wahrung der berechtigten Interessen des Käufers auszuüben. Der Verkäufer teilt dem Käufer Gebrauch und Inhalt der Änderung in Textform mit.</w:t>
            </w:r>
          </w:p>
        </w:tc>
        <w:tc>
          <w:tcPr>
            <w:tcW w:w="7620" w:type="dxa"/>
            <w:tcBorders/>
            <w:vAlign w:val="center"/>
          </w:tcPr>
          <w:p>
            <w:pPr>
              <w:pStyle w:val="TableContents"/>
              <w:bidi w:val="0"/>
              <w:spacing w:before="0" w:after="283"/>
              <w:rPr/>
            </w:pPr>
            <w:r>
              <w:rPr>
                <w:rStyle w:val="Strong"/>
              </w:rPr>
              <w:t>12.2</w:t>
            </w:r>
            <w:r>
              <w:rPr/>
              <w:t xml:space="preserve"> The power of attorney is exempt from the restrictions of § 181 BGB and to exercise it internally only within the above framework and while safeguarding the legitimate interests of the Buyer. The Seller shall notify the Buyer of the use and content of the change in text form.</w:t>
            </w:r>
          </w:p>
        </w:tc>
      </w:tr>
      <w:tr>
        <w:trPr/>
        <w:tc>
          <w:tcPr>
            <w:tcW w:w="7914" w:type="dxa"/>
            <w:tcBorders/>
            <w:vAlign w:val="center"/>
          </w:tcPr>
          <w:p>
            <w:pPr>
              <w:pStyle w:val="TableContents"/>
              <w:bidi w:val="0"/>
              <w:spacing w:before="0" w:after="283"/>
              <w:rPr/>
            </w:pPr>
            <w:r>
              <w:rPr>
                <w:rStyle w:val="Strong"/>
              </w:rPr>
              <w:t>12.3</w:t>
            </w:r>
            <w:r>
              <w:rPr/>
              <w:t xml:space="preserve"> Der Käufer bevollmächtigt den Verkäufer ferner, die zum Vollzug dieses Vertrages erforderlichen verfahrensrechtlichen Erklärungen gegenüber Grundbuchamt und Behörden abzugeben.</w:t>
            </w:r>
          </w:p>
        </w:tc>
        <w:tc>
          <w:tcPr>
            <w:tcW w:w="7620" w:type="dxa"/>
            <w:tcBorders/>
            <w:vAlign w:val="center"/>
          </w:tcPr>
          <w:p>
            <w:pPr>
              <w:pStyle w:val="TableContents"/>
              <w:bidi w:val="0"/>
              <w:spacing w:before="0" w:after="283"/>
              <w:rPr/>
            </w:pPr>
            <w:r>
              <w:rPr>
                <w:rStyle w:val="Strong"/>
              </w:rPr>
              <w:t>12.3</w:t>
            </w:r>
            <w:r>
              <w:rPr/>
              <w:t xml:space="preserve"> The Buyer also authorizes the Seller to make the procedural declarations to the Land Registry and authorities necessary for the execution of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620"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914" w:type="dxa"/>
            <w:tcBorders/>
            <w:vAlign w:val="center"/>
          </w:tcPr>
          <w:p>
            <w:pPr>
              <w:pStyle w:val="TableContents"/>
              <w:bidi w:val="0"/>
              <w:spacing w:before="0" w:after="283"/>
              <w:rPr/>
            </w:pPr>
            <w:r>
              <w:rPr>
                <w:rStyle w:val="Strong"/>
              </w:rPr>
              <w:t>13.1</w:t>
            </w:r>
            <w:r>
              <w:rPr/>
              <w:t xml:space="preserve"> Mündliche Nebenabreden bestehen nicht. Änderungen bedürfen der notariellen Beurkundung, soweit gesetzlich vorgeschrieben.</w:t>
            </w:r>
          </w:p>
        </w:tc>
        <w:tc>
          <w:tcPr>
            <w:tcW w:w="7620" w:type="dxa"/>
            <w:tcBorders/>
            <w:vAlign w:val="center"/>
          </w:tcPr>
          <w:p>
            <w:pPr>
              <w:pStyle w:val="TableContents"/>
              <w:bidi w:val="0"/>
              <w:spacing w:before="0" w:after="283"/>
              <w:rPr/>
            </w:pPr>
            <w:r>
              <w:rPr>
                <w:rStyle w:val="Strong"/>
              </w:rPr>
              <w:t>13.1</w:t>
            </w:r>
            <w:r>
              <w:rPr/>
              <w:t xml:space="preserve"> Oral ancillary arrangements do not exist. Changes require notarization, as required by law.</w:t>
            </w:r>
          </w:p>
        </w:tc>
      </w:tr>
      <w:tr>
        <w:trPr/>
        <w:tc>
          <w:tcPr>
            <w:tcW w:w="7914" w:type="dxa"/>
            <w:tcBorders/>
            <w:vAlign w:val="center"/>
          </w:tcPr>
          <w:p>
            <w:pPr>
              <w:pStyle w:val="TableContents"/>
              <w:bidi w:val="0"/>
              <w:spacing w:before="0" w:after="283"/>
              <w:rPr/>
            </w:pPr>
            <w:r>
              <w:rPr>
                <w:rStyle w:val="Strong"/>
              </w:rPr>
              <w:t>13.2</w:t>
            </w:r>
            <w:r>
              <w:rPr/>
              <w:t xml:space="preserve"> Ist eine Bestimmung unwirksam, bleibt der Vertrag im Übrigen wirksam; an die Stelle der unwirksamen Bestimmung tritt die gesetzliche Regelung (§ 306 BGB).</w:t>
            </w:r>
          </w:p>
        </w:tc>
        <w:tc>
          <w:tcPr>
            <w:tcW w:w="7620" w:type="dxa"/>
            <w:tcBorders/>
            <w:vAlign w:val="center"/>
          </w:tcPr>
          <w:p>
            <w:pPr>
              <w:pStyle w:val="TableContents"/>
              <w:bidi w:val="0"/>
              <w:spacing w:before="0" w:after="283"/>
              <w:rPr/>
            </w:pPr>
            <w:r>
              <w:rPr>
                <w:rStyle w:val="Strong"/>
              </w:rPr>
              <w:t>13.2</w:t>
            </w:r>
            <w:r>
              <w:rPr/>
              <w:t xml:space="preserve"> If a provision is invalid, the contract shall remain in effect; The ineffective provision is replaced by the statutory regulation (§ 306 BGB).</w:t>
            </w:r>
          </w:p>
        </w:tc>
      </w:tr>
      <w:tr>
        <w:trPr/>
        <w:tc>
          <w:tcPr>
            <w:tcW w:w="7914" w:type="dxa"/>
            <w:tcBorders/>
            <w:vAlign w:val="center"/>
          </w:tcPr>
          <w:p>
            <w:pPr>
              <w:pStyle w:val="TableContents"/>
              <w:bidi w:val="0"/>
              <w:spacing w:before="0" w:after="283"/>
              <w:rPr/>
            </w:pPr>
            <w:r>
              <w:rPr>
                <w:rStyle w:val="Strong"/>
              </w:rPr>
              <w:t>13.3</w:t>
            </w:r>
            <w:r>
              <w:rPr/>
              <w:t xml:space="preserve"> Die Kosten dieser Urkunde und ihres Vollzugs trägt der Käufer. Der gesetzliche Verbrauchergerichtsstand bleibt unberührt; eine Abweichung von § 29c ZPO wird nicht vereinbart.</w:t>
            </w:r>
          </w:p>
        </w:tc>
        <w:tc>
          <w:tcPr>
            <w:tcW w:w="7620" w:type="dxa"/>
            <w:tcBorders/>
            <w:vAlign w:val="center"/>
          </w:tcPr>
          <w:p>
            <w:pPr>
              <w:pStyle w:val="TableContents"/>
              <w:bidi w:val="0"/>
              <w:spacing w:before="0" w:after="283"/>
              <w:rPr/>
            </w:pPr>
            <w:r>
              <w:rPr>
                <w:rStyle w:val="Strong"/>
              </w:rPr>
              <w:t>13.3</w:t>
            </w:r>
            <w:r>
              <w:rPr/>
              <w:t xml:space="preserve"> The costs of this document and its execution shall be borne by the Buyer. The legal consumer jurisdiction remains unaffected; a deviation from § 29c ZPO is not agreed.</w:t>
            </w:r>
          </w:p>
        </w:tc>
      </w:tr>
      <w:tr>
        <w:trPr/>
        <w:tc>
          <w:tcPr>
            <w:tcW w:w="7914" w:type="dxa"/>
            <w:tcBorders/>
            <w:vAlign w:val="center"/>
          </w:tcPr>
          <w:p>
            <w:pPr>
              <w:pStyle w:val="TableContents"/>
              <w:bidi w:val="0"/>
              <w:spacing w:before="0" w:after="283"/>
              <w:rPr/>
            </w:pPr>
            <w:r>
              <w:rPr>
                <w:rStyle w:val="Strong"/>
              </w:rPr>
              <w:t>13.4</w:t>
            </w:r>
            <w:r>
              <w:rPr/>
              <w:t xml:space="preserve"> 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tc>
        <w:tc>
          <w:tcPr>
            <w:tcW w:w="7620" w:type="dxa"/>
            <w:tcBorders/>
            <w:vAlign w:val="center"/>
          </w:tcPr>
          <w:p>
            <w:pPr>
              <w:pStyle w:val="TableContents"/>
              <w:bidi w:val="0"/>
              <w:spacing w:before="0" w:after="283"/>
              <w:rPr/>
            </w:pPr>
            <w:r>
              <w:rPr>
                <w:rStyle w:val="Strong"/>
              </w:rPr>
              <w:t>13.4</w:t>
            </w:r>
            <w:r>
              <w:rPr/>
              <w:t xml:space="preserve"> The purchaser shall bear the costs of the initial establishment of the WEG administration attributable to his unit. The first administrator is appointed for a maximum of three years (§ 26 para 2 WEG). maintenance and management contracts for the initial operating phase shall be concluded with ordinary notice at the end of the second year of operation; a longer commitment of the community to companies in the sales environment does not take place.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8" w:name="belehrungen"/>
            <w:bookmarkEnd w:id="38"/>
            <w:r>
              <w:rPr/>
              <w:t>§ 14 Belehrungen</w:t>
            </w:r>
          </w:p>
        </w:tc>
        <w:tc>
          <w:tcPr>
            <w:tcW w:w="7620"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914" w:type="dxa"/>
            <w:tcBorders/>
            <w:vAlign w:val="center"/>
          </w:tcPr>
          <w:p>
            <w:pPr>
              <w:pStyle w:val="TableContents"/>
              <w:bidi w:val="0"/>
              <w:spacing w:before="0" w:after="283"/>
              <w:rPr/>
            </w:pPr>
            <w:r>
              <w:rPr/>
              <w:t>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tc>
        <w:tc>
          <w:tcPr>
            <w:tcW w:w="7620" w:type="dxa"/>
            <w:tcBorders/>
            <w:vAlign w:val="center"/>
          </w:tcPr>
          <w:p>
            <w:pPr>
              <w:pStyle w:val="TableContents"/>
              <w:bidi w:val="0"/>
              <w:spacing w:before="0" w:after="283"/>
              <w:rPr/>
            </w:pPr>
            <w:r>
              <w:rPr/>
              <w:t>The Notary has informed the participants about the content and significance of the contract, the transfer of ownership only with Land Register registration, the significance of the dismissal reservation and the power of attorney, the MaBV due date requirements, the 5% security according to § 650m para. 2 BGB, the five-year limitation period for defects and the possibility of consulting our own technical consultants. It pointed out that, as an impartial public office holder, it did not provide any economic, tax or construction consultancy and did not check the ground, construction supervision and profitability of maintenance contracts.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620"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914" w:type="dxa"/>
            <w:tcBorders/>
            <w:vAlign w:val="center"/>
          </w:tcPr>
          <w:p>
            <w:pPr>
              <w:pStyle w:val="TableContents"/>
              <w:bidi w:val="0"/>
              <w:spacing w:before="0" w:after="283"/>
              <w:rPr/>
            </w:pPr>
            <w:r>
              <w:rPr>
                <w:rStyle w:val="Strong"/>
              </w:rPr>
              <w:t>Bezugsurkunde 1</w:t>
            </w:r>
            <w:r>
              <w:rPr/>
              <w:t xml:space="preserve"> — Teilungserklärung einschließlich Gemeinschaftsordnung vom 21. Oktober 2025, UR-Nr. 1502/2025, nebst 1. Nachtrag vom 09. Februar 2026, UR-Nr. 188/2026.</w:t>
            </w:r>
          </w:p>
        </w:tc>
        <w:tc>
          <w:tcPr>
            <w:tcW w:w="7620" w:type="dxa"/>
            <w:tcBorders/>
            <w:vAlign w:val="center"/>
          </w:tcPr>
          <w:p>
            <w:pPr>
              <w:pStyle w:val="TableContents"/>
              <w:bidi w:val="0"/>
              <w:spacing w:before="0" w:after="283"/>
              <w:rPr/>
            </w:pPr>
            <w:r>
              <w:rPr/>
              <w:t>Declaration of partition including Community order of 21 October 2025, UR No. 1502/2025, with 1st addendum of 9 February 2026, UR No. 188/2026.</w:t>
            </w:r>
          </w:p>
        </w:tc>
      </w:tr>
      <w:tr>
        <w:trPr/>
        <w:tc>
          <w:tcPr>
            <w:tcW w:w="7914" w:type="dxa"/>
            <w:tcBorders/>
            <w:vAlign w:val="center"/>
          </w:tcPr>
          <w:p>
            <w:pPr>
              <w:pStyle w:val="TableContents"/>
              <w:bidi w:val="0"/>
              <w:spacing w:before="0" w:after="283"/>
              <w:rPr/>
            </w:pPr>
            <w:r>
              <w:rPr>
                <w:rStyle w:val="Strong"/>
              </w:rPr>
              <w:t>Anlage Baubeschreibung</w:t>
            </w:r>
            <w:r>
              <w:rPr/>
              <w:t xml:space="preserve"> — Baubeschreibung Fassung Mai 2026, Version 3.0; mitbeurkundeter Bestandteil dieser Urkunde und des geschuldeten Bausolls.</w:t>
            </w:r>
          </w:p>
        </w:tc>
        <w:tc>
          <w:tcPr>
            <w:tcW w:w="7620" w:type="dxa"/>
            <w:tcBorders/>
            <w:vAlign w:val="center"/>
          </w:tcPr>
          <w:p>
            <w:pPr>
              <w:pStyle w:val="TableContents"/>
              <w:bidi w:val="0"/>
              <w:spacing w:before="0" w:after="283"/>
              <w:rPr/>
            </w:pPr>
            <w:r>
              <w:rPr/>
              <w:t>Appendix Building Description — Building Description Version May 2026, Version 3.0; co-certified part of this document and of the due construction.</w:t>
            </w:r>
          </w:p>
        </w:tc>
      </w:tr>
      <w:tr>
        <w:trPr/>
        <w:tc>
          <w:tcPr>
            <w:tcW w:w="7914" w:type="dxa"/>
            <w:tcBorders/>
            <w:vAlign w:val="center"/>
          </w:tcPr>
          <w:p>
            <w:pPr>
              <w:pStyle w:val="TableContents"/>
              <w:bidi w:val="0"/>
              <w:spacing w:before="0" w:after="283"/>
              <w:rPr/>
            </w:pPr>
            <w:r>
              <w:rPr/>
              <w:t>Die Notarin wird mit dem Vollzug beauftragt und stellt Anträge erst, wenn die erforderlichen Erklärungen und Nachweise vorliegen. Mitteilungen über den Eintritt der Fälligkeitsvoraussetzungen nach § 3 erfolgen schriftlich an beide Parteien.</w:t>
            </w:r>
          </w:p>
        </w:tc>
        <w:tc>
          <w:tcPr>
            <w:tcW w:w="7620" w:type="dxa"/>
            <w:tcBorders/>
            <w:vAlign w:val="center"/>
          </w:tcPr>
          <w:p>
            <w:pPr>
              <w:pStyle w:val="TableContents"/>
              <w:bidi w:val="0"/>
              <w:spacing w:before="0" w:after="283"/>
              <w:rPr/>
            </w:pPr>
            <w:r>
              <w:rPr/>
              <w:t>The Notary is commissioned with the execution and makes requests only when the necessary explanations and proofs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620"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914" w:type="dxa"/>
            <w:tcBorders/>
            <w:vAlign w:val="center"/>
          </w:tcPr>
          <w:p>
            <w:pPr>
              <w:pStyle w:val="TableContents"/>
              <w:bidi w:val="0"/>
              <w:spacing w:before="0" w:after="283"/>
              <w:rPr/>
            </w:pPr>
            <w:r>
              <w:rPr/>
              <w:t>Der Geschäftswert dieser Urkunde wird mit dem Gesamtkaufpreis von 674.000,00 EUR angegeben. Die Kosten dieser Urkunde und ihres Vollzugs trägt nach § 13.3 der Käufer.</w:t>
            </w:r>
          </w:p>
        </w:tc>
        <w:tc>
          <w:tcPr>
            <w:tcW w:w="7620" w:type="dxa"/>
            <w:tcBorders/>
            <w:vAlign w:val="center"/>
          </w:tcPr>
          <w:p>
            <w:pPr>
              <w:pStyle w:val="TableContents"/>
              <w:bidi w:val="0"/>
              <w:spacing w:before="0" w:after="283"/>
              <w:rPr/>
            </w:pPr>
            <w:r>
              <w:rPr/>
              <w:t>The business value of this deed is indicated with the total Purchase Price of 674,000.00 EUR. The costs of this document and its execution shall be borne by the Buyer in accordance with § 13.3.</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4" w:name="unterschriften"/>
            <w:bookmarkEnd w:id="44"/>
            <w:r>
              <w:rPr/>
              <w:t>Unterschriften</w:t>
            </w:r>
          </w:p>
        </w:tc>
        <w:tc>
          <w:tcPr>
            <w:tcW w:w="7620" w:type="dxa"/>
            <w:tcBorders/>
            <w:vAlign w:val="center"/>
          </w:tcPr>
          <w:p>
            <w:pPr>
              <w:pStyle w:val="Heading1"/>
              <w:bidi w:val="0"/>
              <w:spacing w:before="240" w:after="283"/>
              <w:ind w:hanging="0" w:start="0" w:end="0"/>
              <w:rPr/>
            </w:pPr>
            <w:bookmarkStart w:id="45" w:name="signatures"/>
            <w:bookmarkEnd w:id="45"/>
            <w:r>
              <w:rPr/>
              <w:t>Signatures</w:t>
            </w:r>
          </w:p>
        </w:tc>
      </w:tr>
      <w:tr>
        <w:trPr/>
        <w:tc>
          <w:tcPr>
            <w:tcW w:w="7914" w:type="dxa"/>
            <w:tcBorders/>
            <w:vAlign w:val="center"/>
          </w:tcPr>
          <w:p>
            <w:pPr>
              <w:pStyle w:val="TableContents"/>
              <w:bidi w:val="0"/>
              <w:spacing w:before="0" w:after="283"/>
              <w:rPr/>
            </w:pPr>
            <w:r>
              <w:rPr/>
              <w:t>Diese Niederschrift nebst Anlage Baubeschreibung wurde den Erschienenen von der Notarin vorgelesen, von ihnen genehmigt und sodann eigenhändig unterschrieben:</w:t>
            </w:r>
          </w:p>
        </w:tc>
        <w:tc>
          <w:tcPr>
            <w:tcW w:w="7620" w:type="dxa"/>
            <w:tcBorders/>
            <w:vAlign w:val="center"/>
          </w:tcPr>
          <w:p>
            <w:pPr>
              <w:pStyle w:val="TableContents"/>
              <w:bidi w:val="0"/>
              <w:spacing w:before="0" w:after="283"/>
              <w:rPr/>
            </w:pPr>
            <w:r>
              <w:rPr/>
              <w:t>This transcript together with the construction description was read to the publications by the Notary, approved by them and then signed by hand:</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Gisbert Tönnemann-Loose (für Verkäufer)</w:t>
            </w:r>
          </w:p>
        </w:tc>
        <w:tc>
          <w:tcPr>
            <w:tcW w:w="7620" w:type="dxa"/>
            <w:tcBorders/>
            <w:vAlign w:val="center"/>
          </w:tcPr>
          <w:p>
            <w:pPr>
              <w:pStyle w:val="TableContents"/>
              <w:bidi w:val="0"/>
              <w:spacing w:before="0" w:after="283"/>
              <w:rPr/>
            </w:pPr>
            <w:r>
              <w:rPr/>
              <w:t>Gisbert Tönnemann-Loose (for sellers)</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Henrike Salentin-Voßkamp (Käufer)</w:t>
            </w:r>
          </w:p>
        </w:tc>
        <w:tc>
          <w:tcPr>
            <w:tcW w:w="7620" w:type="dxa"/>
            <w:tcBorders/>
            <w:vAlign w:val="center"/>
          </w:tcPr>
          <w:p>
            <w:pPr>
              <w:pStyle w:val="TableContents"/>
              <w:bidi w:val="0"/>
              <w:spacing w:before="0" w:after="283"/>
              <w:rPr/>
            </w:pPr>
            <w:r>
              <w:rPr/>
              <w:t>Dr. Henrike Salentin-Voßkamp (Buyer)</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Cornelia Brakelmann-Stüve, Notarin</w:t>
            </w:r>
          </w:p>
        </w:tc>
        <w:tc>
          <w:tcPr>
            <w:tcW w:w="7620" w:type="dxa"/>
            <w:tcBorders/>
            <w:vAlign w:val="center"/>
          </w:tcPr>
          <w:p>
            <w:pPr>
              <w:pStyle w:val="TableContents"/>
              <w:bidi w:val="0"/>
              <w:spacing w:before="0" w:after="283"/>
              <w:rPr/>
            </w:pPr>
            <w:r>
              <w:rPr/>
              <w:t>Dr Cornelia Brakelmann-Stüve,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620"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914" w:type="dxa"/>
            <w:tcBorders/>
            <w:vAlign w:val="center"/>
          </w:tcPr>
          <w:p>
            <w:pPr>
              <w:pStyle w:val="TableContents"/>
              <w:bidi w:val="0"/>
              <w:spacing w:before="0" w:after="283"/>
              <w:rPr/>
            </w:pPr>
            <w:r>
              <w:rPr/>
              <w:t>Bauvorhaben: Wohnquartier „Marewald Höfe”, Gemarkung Eilbek, Flur 12, Flurstück 344/9</w:t>
            </w:r>
          </w:p>
        </w:tc>
        <w:tc>
          <w:tcPr>
            <w:tcW w:w="7620" w:type="dxa"/>
            <w:tcBorders/>
            <w:vAlign w:val="center"/>
          </w:tcPr>
          <w:p>
            <w:pPr>
              <w:pStyle w:val="TableContents"/>
              <w:bidi w:val="0"/>
              <w:spacing w:before="0" w:after="283"/>
              <w:rPr/>
            </w:pPr>
            <w:r>
              <w:rPr/>
              <w:t>Construction project: residential quarter “Marewald Höfe”, Eilbek district, corridor 12, parcel 344/9</w:t>
            </w:r>
          </w:p>
        </w:tc>
      </w:tr>
      <w:tr>
        <w:trPr/>
        <w:tc>
          <w:tcPr>
            <w:tcW w:w="7914" w:type="dxa"/>
            <w:tcBorders/>
            <w:vAlign w:val="center"/>
          </w:tcPr>
          <w:p>
            <w:pPr>
              <w:pStyle w:val="TableContents"/>
              <w:bidi w:val="0"/>
              <w:spacing w:before="0" w:after="283"/>
              <w:rPr/>
            </w:pPr>
            <w:r>
              <w:rPr/>
              <w:t>Bauträgerin: Marewald Wohnbau GmbH &amp; Co. KG, Mundsburger Damm 5, 22087 Hamburg</w:t>
            </w:r>
          </w:p>
        </w:tc>
        <w:tc>
          <w:tcPr>
            <w:tcW w:w="7620" w:type="dxa"/>
            <w:tcBorders/>
            <w:vAlign w:val="center"/>
          </w:tcPr>
          <w:p>
            <w:pPr>
              <w:pStyle w:val="TableContents"/>
              <w:bidi w:val="0"/>
              <w:spacing w:before="0" w:after="283"/>
              <w:rPr/>
            </w:pPr>
            <w:r>
              <w:rPr/>
              <w:t>Developer: Marewald Wohnbau GmbH &amp; Co. KG, Mundsburger Damm 5, 22087 Hamburg</w:t>
            </w:r>
          </w:p>
        </w:tc>
      </w:tr>
      <w:tr>
        <w:trPr/>
        <w:tc>
          <w:tcPr>
            <w:tcW w:w="7914" w:type="dxa"/>
            <w:tcBorders/>
            <w:vAlign w:val="center"/>
          </w:tcPr>
          <w:p>
            <w:pPr>
              <w:pStyle w:val="TableContents"/>
              <w:bidi w:val="0"/>
              <w:spacing w:before="0" w:after="283"/>
              <w:rPr/>
            </w:pPr>
            <w:r>
              <w:rPr/>
              <w:t>Fassung: Mai 2026 — Version 3.0</w:t>
            </w:r>
          </w:p>
        </w:tc>
        <w:tc>
          <w:tcPr>
            <w:tcW w:w="7620" w:type="dxa"/>
            <w:tcBorders/>
            <w:vAlign w:val="center"/>
          </w:tcPr>
          <w:p>
            <w:pPr>
              <w:pStyle w:val="TableContents"/>
              <w:bidi w:val="0"/>
              <w:spacing w:before="0" w:after="283"/>
              <w:rPr/>
            </w:pPr>
            <w:r>
              <w:rPr/>
              <w:t>Version May 2026 — Version 3.0</w:t>
            </w:r>
          </w:p>
        </w:tc>
      </w:tr>
      <w:tr>
        <w:trPr/>
        <w:tc>
          <w:tcPr>
            <w:tcW w:w="7914" w:type="dxa"/>
            <w:tcBorders/>
            <w:vAlign w:val="center"/>
          </w:tcPr>
          <w:p>
            <w:pPr>
              <w:pStyle w:val="TableContents"/>
              <w:bidi w:val="0"/>
              <w:spacing w:before="0" w:after="283"/>
              <w:rPr/>
            </w:pPr>
            <w:r>
              <w:rPr/>
              <w:t>Bezug: Haus C, Wohnung C-2.14 (2. Obergeschoss) nebst Kellerabteil K-C14, Balkon B-C14 und Tiefgaragenstellplatz TG-58</w:t>
            </w:r>
          </w:p>
        </w:tc>
        <w:tc>
          <w:tcPr>
            <w:tcW w:w="7620" w:type="dxa"/>
            <w:tcBorders/>
            <w:vAlign w:val="center"/>
          </w:tcPr>
          <w:p>
            <w:pPr>
              <w:pStyle w:val="TableContents"/>
              <w:bidi w:val="0"/>
              <w:spacing w:before="0" w:after="283"/>
              <w:rPr/>
            </w:pPr>
            <w:r>
              <w:rPr/>
              <w:t>Reference: House C, apartment C-2.14 (2nd floor) with basement compartment K-C14, balcony B-C14 and underground parking space TG-58</w:t>
            </w:r>
          </w:p>
        </w:tc>
      </w:tr>
      <w:tr>
        <w:trPr/>
        <w:tc>
          <w:tcPr>
            <w:tcW w:w="7914"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620"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914" w:type="dxa"/>
            <w:tcBorders/>
            <w:vAlign w:val="center"/>
          </w:tcPr>
          <w:p>
            <w:pPr>
              <w:pStyle w:val="TableContents"/>
              <w:bidi w:val="0"/>
              <w:spacing w:before="0" w:after="283"/>
              <w:rPr/>
            </w:pPr>
            <w:r>
              <w:rPr>
                <w:rStyle w:val="Strong"/>
              </w:rPr>
              <w:t>V.1</w:t>
            </w:r>
            <w:r>
              <w:rPr/>
              <w:t xml:space="preserve"> 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tc>
        <w:tc>
          <w:tcPr>
            <w:tcW w:w="7620" w:type="dxa"/>
            <w:tcBorders/>
            <w:vAlign w:val="center"/>
          </w:tcPr>
          <w:p>
            <w:pPr>
              <w:pStyle w:val="TableContents"/>
              <w:bidi w:val="0"/>
              <w:spacing w:before="0" w:after="283"/>
              <w:rPr/>
            </w:pPr>
            <w:r>
              <w:rPr>
                <w:rStyle w:val="Strong"/>
              </w:rPr>
              <w:t>V.1</w:t>
            </w:r>
            <w:r>
              <w:rPr/>
              <w:t xml:space="preserve"> This construction description describes the construction target in conclusion and is a certified part of the purchase contract. Where it specifies specific values, classes or families of manufacture, these are mandatory; where it allows ‘equivalent’, equivalence shall be measured on the said characteristic.</w:t>
            </w:r>
          </w:p>
        </w:tc>
      </w:tr>
      <w:tr>
        <w:trPr/>
        <w:tc>
          <w:tcPr>
            <w:tcW w:w="7914" w:type="dxa"/>
            <w:tcBorders/>
            <w:vAlign w:val="center"/>
          </w:tcPr>
          <w:p>
            <w:pPr>
              <w:pStyle w:val="TableContents"/>
              <w:bidi w:val="0"/>
              <w:spacing w:before="0" w:after="283"/>
              <w:rPr/>
            </w:pPr>
            <w:r>
              <w:rPr>
                <w:rStyle w:val="Strong"/>
              </w:rPr>
              <w:t>V.2</w:t>
            </w:r>
            <w:r>
              <w:rPr/>
              <w:t xml:space="preserve"> Benannte Fabrikate sind beispielhaft; der Verkäufer darf gleichwertige Produkte einsetzen, wenn der genannte Mindeststandard (Maß, Klasse, Kennwert) eingehalten wird. Ein Anspruch auf ein bestimmtes Fabrikat besteht nur, wenn es ausdrücklich als verbindlich bezeichnet ist.</w:t>
            </w:r>
          </w:p>
        </w:tc>
        <w:tc>
          <w:tcPr>
            <w:tcW w:w="7620" w:type="dxa"/>
            <w:tcBorders/>
            <w:vAlign w:val="center"/>
          </w:tcPr>
          <w:p>
            <w:pPr>
              <w:pStyle w:val="TableContents"/>
              <w:bidi w:val="0"/>
              <w:spacing w:before="0" w:after="283"/>
              <w:rPr/>
            </w:pPr>
            <w:r>
              <w:rPr>
                <w:rStyle w:val="Strong"/>
              </w:rPr>
              <w:t>V.2</w:t>
            </w:r>
            <w:r>
              <w:rPr/>
              <w:t xml:space="preserve"> The named products are exemplary; the Seller may use equivalent products if the minimum standard mentioned (measurement, class, characteristic) is complied with. A claim to a particular make exists only if it is expressly designated as binding.</w:t>
            </w:r>
          </w:p>
        </w:tc>
      </w:tr>
      <w:tr>
        <w:trPr/>
        <w:tc>
          <w:tcPr>
            <w:tcW w:w="7914" w:type="dxa"/>
            <w:tcBorders/>
            <w:vAlign w:val="center"/>
          </w:tcPr>
          <w:p>
            <w:pPr>
              <w:pStyle w:val="TableContents"/>
              <w:bidi w:val="0"/>
              <w:spacing w:before="0" w:after="283"/>
              <w:rPr/>
            </w:pPr>
            <w:r>
              <w:rPr>
                <w:rStyle w:val="Strong"/>
              </w:rPr>
              <w:t>V.3</w:t>
            </w:r>
            <w:r>
              <w:rPr/>
              <w:t xml:space="preserve"> 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tc>
        <w:tc>
          <w:tcPr>
            <w:tcW w:w="7620" w:type="dxa"/>
            <w:tcBorders/>
            <w:vAlign w:val="center"/>
          </w:tcPr>
          <w:p>
            <w:pPr>
              <w:pStyle w:val="TableContents"/>
              <w:bidi w:val="0"/>
              <w:spacing w:before="0" w:after="283"/>
              <w:rPr/>
            </w:pPr>
            <w:r>
              <w:rPr>
                <w:rStyle w:val="Strong"/>
              </w:rPr>
              <w:t>V.3</w:t>
            </w:r>
            <w:r>
              <w:rPr/>
              <w:t xml:space="preserve"> Dimensional specifications in plans are, unless designated as binding, approximate specifications; minor, structural or static displacements of shafts, underlays and suspended ceilings are reserved and are not defects, as long as the stated characteristics and usability are maintained.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50" w:name="allgemeines-konstruktion"/>
            <w:bookmarkEnd w:id="50"/>
            <w:r>
              <w:rPr/>
              <w:t>1 Allgemeines, Konstruktion</w:t>
            </w:r>
          </w:p>
        </w:tc>
        <w:tc>
          <w:tcPr>
            <w:tcW w:w="7620" w:type="dxa"/>
            <w:tcBorders/>
            <w:vAlign w:val="center"/>
          </w:tcPr>
          <w:p>
            <w:pPr>
              <w:pStyle w:val="Heading1"/>
              <w:bidi w:val="0"/>
              <w:spacing w:before="240" w:after="283"/>
              <w:ind w:hanging="0" w:start="0" w:end="0"/>
              <w:rPr/>
            </w:pPr>
            <w:bookmarkStart w:id="51" w:name="general-construction"/>
            <w:bookmarkEnd w:id="51"/>
            <w:r>
              <w:rPr/>
              <w:t>1 General, construction</w:t>
            </w:r>
          </w:p>
        </w:tc>
      </w:tr>
      <w:tr>
        <w:trPr/>
        <w:tc>
          <w:tcPr>
            <w:tcW w:w="7914" w:type="dxa"/>
            <w:tcBorders/>
            <w:vAlign w:val="center"/>
          </w:tcPr>
          <w:p>
            <w:pPr>
              <w:pStyle w:val="TableContents"/>
              <w:bidi w:val="0"/>
              <w:spacing w:before="0" w:after="283"/>
              <w:rPr/>
            </w:pPr>
            <w:r>
              <w:rPr>
                <w:rStyle w:val="Strong"/>
              </w:rPr>
              <w:t>1.1</w:t>
            </w:r>
            <w:r>
              <w:rPr/>
              <w:t xml:space="preserve"> Haus C wird in Massivbauweise (Stahlbeton/Mauerwerk) mit Flachdach errichtet. Die Wohnung C-2.14 liegt im 2. Obergeschoss.</w:t>
            </w:r>
          </w:p>
        </w:tc>
        <w:tc>
          <w:tcPr>
            <w:tcW w:w="7620" w:type="dxa"/>
            <w:tcBorders/>
            <w:vAlign w:val="center"/>
          </w:tcPr>
          <w:p>
            <w:pPr>
              <w:pStyle w:val="TableContents"/>
              <w:bidi w:val="0"/>
              <w:spacing w:before="0" w:after="283"/>
              <w:rPr/>
            </w:pPr>
            <w:r>
              <w:rPr>
                <w:rStyle w:val="Strong"/>
              </w:rPr>
              <w:t>1.1</w:t>
            </w:r>
            <w:r>
              <w:rPr/>
              <w:t xml:space="preserve"> House C is built in solid construction (steel concrete / wall work) with flat roof. Apartment C-2.14 is on the 2nd floor.</w:t>
            </w:r>
          </w:p>
        </w:tc>
      </w:tr>
      <w:tr>
        <w:trPr/>
        <w:tc>
          <w:tcPr>
            <w:tcW w:w="7914" w:type="dxa"/>
            <w:tcBorders/>
            <w:vAlign w:val="center"/>
          </w:tcPr>
          <w:p>
            <w:pPr>
              <w:pStyle w:val="TableContents"/>
              <w:bidi w:val="0"/>
              <w:spacing w:before="0" w:after="283"/>
              <w:rPr/>
            </w:pPr>
            <w:r>
              <w:rPr>
                <w:rStyle w:val="Strong"/>
              </w:rPr>
              <w:t>1.2</w:t>
            </w:r>
            <w:r>
              <w:rPr/>
              <w:t xml:space="preserve"> Die Ausstattung entspricht der Linie „Marewald Komfort C”. Soweit einzelne Festlegungen offenbleiben, gilt mittlere Art und Güte nach Abschnitt V und § 5.5 des Vertrages.</w:t>
            </w:r>
          </w:p>
        </w:tc>
        <w:tc>
          <w:tcPr>
            <w:tcW w:w="7620" w:type="dxa"/>
            <w:tcBorders/>
            <w:vAlign w:val="center"/>
          </w:tcPr>
          <w:p>
            <w:pPr>
              <w:pStyle w:val="TableContents"/>
              <w:bidi w:val="0"/>
              <w:spacing w:before="0" w:after="283"/>
              <w:rPr/>
            </w:pPr>
            <w:r>
              <w:rPr>
                <w:rStyle w:val="Strong"/>
              </w:rPr>
              <w:t>1.2</w:t>
            </w:r>
            <w:r>
              <w:rPr/>
              <w:t xml:space="preserve"> The equipment corresponds to the line “Marewald Comfort C”. As far as individual provisions remain open, medium type and quality shall apply according to Section V and § 5.5 of the contract.</w:t>
            </w:r>
          </w:p>
        </w:tc>
      </w:tr>
      <w:tr>
        <w:trPr/>
        <w:tc>
          <w:tcPr>
            <w:tcW w:w="7914" w:type="dxa"/>
            <w:tcBorders/>
            <w:vAlign w:val="center"/>
          </w:tcPr>
          <w:p>
            <w:pPr>
              <w:pStyle w:val="Heading1"/>
              <w:bidi w:val="0"/>
              <w:spacing w:before="240" w:after="283"/>
              <w:ind w:hanging="0" w:start="0" w:end="0"/>
              <w:rPr/>
            </w:pPr>
            <w:bookmarkStart w:id="52" w:name="baugrund-gründung-abdichtung"/>
            <w:bookmarkEnd w:id="52"/>
            <w:r>
              <w:rPr/>
              <w:t>2 Baugrund, Gründung, Abdichtung</w:t>
            </w:r>
          </w:p>
        </w:tc>
        <w:tc>
          <w:tcPr>
            <w:tcW w:w="7620" w:type="dxa"/>
            <w:tcBorders/>
            <w:vAlign w:val="center"/>
          </w:tcPr>
          <w:p>
            <w:pPr>
              <w:pStyle w:val="Heading1"/>
              <w:bidi w:val="0"/>
              <w:spacing w:before="240" w:after="283"/>
              <w:ind w:hanging="0" w:start="0" w:end="0"/>
              <w:rPr/>
            </w:pPr>
            <w:bookmarkStart w:id="53" w:name="building-ground-foundation-sealing"/>
            <w:bookmarkEnd w:id="53"/>
            <w:r>
              <w:rPr/>
              <w:t>2 Building ground, foundation, sealing</w:t>
            </w:r>
          </w:p>
        </w:tc>
      </w:tr>
      <w:tr>
        <w:trPr/>
        <w:tc>
          <w:tcPr>
            <w:tcW w:w="7914" w:type="dxa"/>
            <w:tcBorders/>
            <w:vAlign w:val="center"/>
          </w:tcPr>
          <w:p>
            <w:pPr>
              <w:pStyle w:val="TableContents"/>
              <w:bidi w:val="0"/>
              <w:spacing w:before="0" w:after="283"/>
              <w:rPr/>
            </w:pPr>
            <w:r>
              <w:rPr>
                <w:rStyle w:val="Strong"/>
              </w:rPr>
              <w:t>2.1</w:t>
            </w:r>
            <w:r>
              <w:rPr/>
              <w:t xml:space="preserve"> 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tc>
        <w:tc>
          <w:tcPr>
            <w:tcW w:w="7620" w:type="dxa"/>
            <w:tcBorders/>
            <w:vAlign w:val="center"/>
          </w:tcPr>
          <w:p>
            <w:pPr>
              <w:pStyle w:val="TableContents"/>
              <w:bidi w:val="0"/>
              <w:spacing w:before="0" w:after="283"/>
              <w:rPr/>
            </w:pPr>
            <w:r>
              <w:rPr>
                <w:rStyle w:val="Strong"/>
              </w:rPr>
              <w:t>2.1</w:t>
            </w:r>
            <w:r>
              <w:rPr/>
              <w:t xml:space="preserve"> Foundation and sealing are carried out according to the tested stability proof and the sealing concept. Ground-contacted components are sealed according to the relevant sealing standard against the water effect that is relevant according to the building ground survey (at least against soil moisture and non-congesting seepage water; in the case of oppressive water as a water-impermeable structure).</w:t>
            </w:r>
          </w:p>
        </w:tc>
      </w:tr>
      <w:tr>
        <w:trPr/>
        <w:tc>
          <w:tcPr>
            <w:tcW w:w="7914" w:type="dxa"/>
            <w:tcBorders/>
            <w:vAlign w:val="center"/>
          </w:tcPr>
          <w:p>
            <w:pPr>
              <w:pStyle w:val="Heading1"/>
              <w:bidi w:val="0"/>
              <w:spacing w:before="240" w:after="283"/>
              <w:ind w:hanging="0" w:start="0" w:end="0"/>
              <w:rPr/>
            </w:pPr>
            <w:bookmarkStart w:id="54" w:name="fassade-wärmedämmung"/>
            <w:bookmarkEnd w:id="54"/>
            <w:r>
              <w:rPr/>
              <w:t>3 Fassade, Wärmedämmung</w:t>
            </w:r>
          </w:p>
        </w:tc>
        <w:tc>
          <w:tcPr>
            <w:tcW w:w="7620" w:type="dxa"/>
            <w:tcBorders/>
            <w:vAlign w:val="center"/>
          </w:tcPr>
          <w:p>
            <w:pPr>
              <w:pStyle w:val="Heading1"/>
              <w:bidi w:val="0"/>
              <w:spacing w:before="240" w:after="283"/>
              <w:ind w:hanging="0" w:start="0" w:end="0"/>
              <w:rPr/>
            </w:pPr>
            <w:bookmarkStart w:id="55" w:name="facade-thermal-insulation"/>
            <w:bookmarkEnd w:id="55"/>
            <w:r>
              <w:rPr/>
              <w:t>3 Facade, thermal insulation</w:t>
            </w:r>
          </w:p>
        </w:tc>
      </w:tr>
      <w:tr>
        <w:trPr/>
        <w:tc>
          <w:tcPr>
            <w:tcW w:w="7914" w:type="dxa"/>
            <w:tcBorders/>
            <w:vAlign w:val="center"/>
          </w:tcPr>
          <w:p>
            <w:pPr>
              <w:pStyle w:val="TableContents"/>
              <w:bidi w:val="0"/>
              <w:spacing w:before="0" w:after="283"/>
              <w:rPr/>
            </w:pPr>
            <w:r>
              <w:rPr>
                <w:rStyle w:val="Strong"/>
              </w:rPr>
              <w:t>3.1</w:t>
            </w:r>
            <w:r>
              <w:rPr/>
              <w:t xml:space="preserve"> Die Außenwände erhalten ein Wärmedämmverbundsystem oder eine vorgehängte Fassade nach Fassadenkonzept Haus C. Der wärmeschutztechnische Standard entspricht mindestens den GEG-Anforderungen zum Bauantrag (§ 5.10 des Vertrages).</w:t>
            </w:r>
          </w:p>
        </w:tc>
        <w:tc>
          <w:tcPr>
            <w:tcW w:w="7620" w:type="dxa"/>
            <w:tcBorders/>
            <w:vAlign w:val="center"/>
          </w:tcPr>
          <w:p>
            <w:pPr>
              <w:pStyle w:val="TableContents"/>
              <w:bidi w:val="0"/>
              <w:spacing w:before="0" w:after="283"/>
              <w:rPr/>
            </w:pPr>
            <w:r>
              <w:rPr>
                <w:rStyle w:val="Strong"/>
              </w:rPr>
              <w:t>3.1</w:t>
            </w:r>
            <w:r>
              <w:rPr/>
              <w:t xml:space="preserve"> The outer walls receive a thermal insulation composite system or a curtained facade according to the facade concept House C. The thermal protection standard meets at least the GEG requirements for the building application (§ 5.10 of the contract).</w:t>
            </w:r>
          </w:p>
        </w:tc>
      </w:tr>
      <w:tr>
        <w:trPr/>
        <w:tc>
          <w:tcPr>
            <w:tcW w:w="7914" w:type="dxa"/>
            <w:tcBorders/>
            <w:vAlign w:val="center"/>
          </w:tcPr>
          <w:p>
            <w:pPr>
              <w:pStyle w:val="Heading1"/>
              <w:bidi w:val="0"/>
              <w:spacing w:before="240" w:after="283"/>
              <w:ind w:hanging="0" w:start="0" w:end="0"/>
              <w:rPr/>
            </w:pPr>
            <w:bookmarkStart w:id="56" w:name="fenster-außentüren"/>
            <w:bookmarkEnd w:id="56"/>
            <w:r>
              <w:rPr/>
              <w:t>4 Fenster, Außentüren</w:t>
            </w:r>
          </w:p>
        </w:tc>
        <w:tc>
          <w:tcPr>
            <w:tcW w:w="7620" w:type="dxa"/>
            <w:tcBorders/>
            <w:vAlign w:val="center"/>
          </w:tcPr>
          <w:p>
            <w:pPr>
              <w:pStyle w:val="Heading1"/>
              <w:bidi w:val="0"/>
              <w:spacing w:before="240" w:after="283"/>
              <w:ind w:hanging="0" w:start="0" w:end="0"/>
              <w:rPr/>
            </w:pPr>
            <w:bookmarkStart w:id="57" w:name="windows-exterior-doors"/>
            <w:bookmarkEnd w:id="57"/>
            <w:r>
              <w:rPr/>
              <w:t>4 windows, exterior doors</w:t>
            </w:r>
          </w:p>
        </w:tc>
      </w:tr>
      <w:tr>
        <w:trPr/>
        <w:tc>
          <w:tcPr>
            <w:tcW w:w="7914" w:type="dxa"/>
            <w:tcBorders/>
            <w:vAlign w:val="center"/>
          </w:tcPr>
          <w:p>
            <w:pPr>
              <w:pStyle w:val="TableContents"/>
              <w:bidi w:val="0"/>
              <w:spacing w:before="0" w:after="283"/>
              <w:rPr/>
            </w:pPr>
            <w:r>
              <w:rPr>
                <w:rStyle w:val="Strong"/>
              </w:rPr>
              <w:t>4.1</w:t>
            </w:r>
            <w:r>
              <w:rPr/>
              <w:t xml:space="preserve"> 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tc>
        <w:tc>
          <w:tcPr>
            <w:tcW w:w="7620" w:type="dxa"/>
            <w:tcBorders/>
            <w:vAlign w:val="center"/>
          </w:tcPr>
          <w:p>
            <w:pPr>
              <w:pStyle w:val="TableContents"/>
              <w:bidi w:val="0"/>
              <w:spacing w:before="0" w:after="283"/>
              <w:rPr/>
            </w:pPr>
            <w:r>
              <w:rPr>
                <w:rStyle w:val="Strong"/>
              </w:rPr>
              <w:t>4.1</w:t>
            </w:r>
            <w:r>
              <w:rPr/>
              <w:t xml:space="preserve"> Windows of apartment C-2.14 are designed as plastic or plastic aluminum windows with three-pane insulating glazing (Uw ≤ 1.0 W/(m2·K)). At least the bedroom windows shall be provided with external sun protection; Profile, opening type and colour shade are determined by the Seller within the framework of the facade concept.</w:t>
            </w:r>
          </w:p>
        </w:tc>
      </w:tr>
      <w:tr>
        <w:trPr/>
        <w:tc>
          <w:tcPr>
            <w:tcW w:w="7914" w:type="dxa"/>
            <w:tcBorders/>
            <w:vAlign w:val="center"/>
          </w:tcPr>
          <w:p>
            <w:pPr>
              <w:pStyle w:val="Heading1"/>
              <w:bidi w:val="0"/>
              <w:spacing w:before="240" w:after="283"/>
              <w:ind w:hanging="0" w:start="0" w:end="0"/>
              <w:rPr/>
            </w:pPr>
            <w:bookmarkStart w:id="58" w:name="innenwände-putz-estrich"/>
            <w:bookmarkEnd w:id="58"/>
            <w:r>
              <w:rPr/>
              <w:t>5 Innenwände, Putz, Estrich</w:t>
            </w:r>
          </w:p>
        </w:tc>
        <w:tc>
          <w:tcPr>
            <w:tcW w:w="7620" w:type="dxa"/>
            <w:tcBorders/>
            <w:vAlign w:val="center"/>
          </w:tcPr>
          <w:p>
            <w:pPr>
              <w:pStyle w:val="Heading1"/>
              <w:bidi w:val="0"/>
              <w:spacing w:before="240" w:after="283"/>
              <w:ind w:hanging="0" w:start="0" w:end="0"/>
              <w:rPr/>
            </w:pPr>
            <w:bookmarkStart w:id="59" w:name="interior-walls-plaster-screed"/>
            <w:bookmarkEnd w:id="59"/>
            <w:r>
              <w:rPr/>
              <w:t>5 Interior walls, plaster, screed</w:t>
            </w:r>
          </w:p>
        </w:tc>
      </w:tr>
      <w:tr>
        <w:trPr/>
        <w:tc>
          <w:tcPr>
            <w:tcW w:w="7914" w:type="dxa"/>
            <w:tcBorders/>
            <w:vAlign w:val="center"/>
          </w:tcPr>
          <w:p>
            <w:pPr>
              <w:pStyle w:val="TableContents"/>
              <w:bidi w:val="0"/>
              <w:spacing w:before="0" w:after="283"/>
              <w:rPr/>
            </w:pPr>
            <w:r>
              <w:rPr>
                <w:rStyle w:val="Strong"/>
              </w:rPr>
              <w:t>5.1</w:t>
            </w:r>
            <w:r>
              <w:rPr/>
              <w:t xml:space="preserve"> 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tc>
        <w:tc>
          <w:tcPr>
            <w:tcW w:w="7620" w:type="dxa"/>
            <w:tcBorders/>
            <w:vAlign w:val="center"/>
          </w:tcPr>
          <w:p>
            <w:pPr>
              <w:pStyle w:val="TableContents"/>
              <w:bidi w:val="0"/>
              <w:spacing w:before="0" w:after="283"/>
              <w:rPr/>
            </w:pPr>
            <w:r>
              <w:rPr>
                <w:rStyle w:val="Strong"/>
              </w:rPr>
              <w:t>5.1</w:t>
            </w:r>
            <w:r>
              <w:rPr/>
              <w:t xml:space="preserve"> Residential partitions and stairwell walls shall be designed in accordance with noise protection requirement (Section 11). Interior walls are plastered or made in drywall and painted; a paint on the living quarters is not included. In the living rooms, a floating screed is introduced on footstep sound insulation.</w:t>
            </w:r>
          </w:p>
        </w:tc>
      </w:tr>
      <w:tr>
        <w:trPr/>
        <w:tc>
          <w:tcPr>
            <w:tcW w:w="7914" w:type="dxa"/>
            <w:tcBorders/>
            <w:vAlign w:val="center"/>
          </w:tcPr>
          <w:p>
            <w:pPr>
              <w:pStyle w:val="Heading1"/>
              <w:bidi w:val="0"/>
              <w:spacing w:before="240" w:after="283"/>
              <w:ind w:hanging="0" w:start="0" w:end="0"/>
              <w:rPr/>
            </w:pPr>
            <w:bookmarkStart w:id="60" w:name="bodenbeläge-fliesen"/>
            <w:bookmarkEnd w:id="60"/>
            <w:r>
              <w:rPr/>
              <w:t>6 Bodenbeläge, Fliesen</w:t>
            </w:r>
          </w:p>
        </w:tc>
        <w:tc>
          <w:tcPr>
            <w:tcW w:w="7620" w:type="dxa"/>
            <w:tcBorders/>
            <w:vAlign w:val="center"/>
          </w:tcPr>
          <w:p>
            <w:pPr>
              <w:pStyle w:val="Heading1"/>
              <w:bidi w:val="0"/>
              <w:spacing w:before="240" w:after="283"/>
              <w:ind w:hanging="0" w:start="0" w:end="0"/>
              <w:rPr/>
            </w:pPr>
            <w:bookmarkStart w:id="61" w:name="floor-coverings-tiles"/>
            <w:bookmarkEnd w:id="61"/>
            <w:r>
              <w:rPr/>
              <w:t>6 Floor coverings, tiles</w:t>
            </w:r>
          </w:p>
        </w:tc>
      </w:tr>
      <w:tr>
        <w:trPr/>
        <w:tc>
          <w:tcPr>
            <w:tcW w:w="7914" w:type="dxa"/>
            <w:tcBorders/>
            <w:vAlign w:val="center"/>
          </w:tcPr>
          <w:p>
            <w:pPr>
              <w:pStyle w:val="TableContents"/>
              <w:bidi w:val="0"/>
              <w:spacing w:before="0" w:after="283"/>
              <w:rPr/>
            </w:pPr>
            <w:r>
              <w:rPr>
                <w:rStyle w:val="Strong"/>
              </w:rPr>
              <w:t>6.1</w:t>
            </w:r>
            <w:r>
              <w:rPr/>
              <w:t xml:space="preserve"> Wohn- und Schlafräume erhalten Mehrschicht-Parkett oder Design-Vinyl der Serie MK-Boden (Nutzungsklasse mindestens 23/31). Bad und Gäste-WC erhalten Feinsteinzeugfliesen der Serie MK-Bad (Formate 30 × 60 cm oder 60 × 60 cm). Die Auswahl erfolgt in der Bemusterung aus diesen Serien.</w:t>
            </w:r>
          </w:p>
        </w:tc>
        <w:tc>
          <w:tcPr>
            <w:tcW w:w="7620" w:type="dxa"/>
            <w:tcBorders/>
            <w:vAlign w:val="center"/>
          </w:tcPr>
          <w:p>
            <w:pPr>
              <w:pStyle w:val="TableContents"/>
              <w:bidi w:val="0"/>
              <w:spacing w:before="0" w:after="283"/>
              <w:rPr/>
            </w:pPr>
            <w:r>
              <w:rPr>
                <w:rStyle w:val="Strong"/>
              </w:rPr>
              <w:t>6.1</w:t>
            </w:r>
            <w:r>
              <w:rPr/>
              <w:t xml:space="preserve"> Living and sleeping rooms receive multi-layer parquet or design vinyl of the MK floor series (use class at least 23/31). Bathroom and guest toilet receive porcelain tiles of the series MK-Bad (formats 30 × 60 cm or 60 × 60 cm). The selection is made in the sample from these series.</w:t>
            </w:r>
          </w:p>
        </w:tc>
      </w:tr>
      <w:tr>
        <w:trPr/>
        <w:tc>
          <w:tcPr>
            <w:tcW w:w="7914" w:type="dxa"/>
            <w:tcBorders/>
            <w:vAlign w:val="center"/>
          </w:tcPr>
          <w:p>
            <w:pPr>
              <w:pStyle w:val="Heading1"/>
              <w:bidi w:val="0"/>
              <w:spacing w:before="240" w:after="283"/>
              <w:ind w:hanging="0" w:start="0" w:end="0"/>
              <w:rPr/>
            </w:pPr>
            <w:bookmarkStart w:id="62" w:name="innentüren-wohnungseingangstür"/>
            <w:bookmarkEnd w:id="62"/>
            <w:r>
              <w:rPr/>
              <w:t>7 Innentüren, Wohnungseingangstür</w:t>
            </w:r>
          </w:p>
        </w:tc>
        <w:tc>
          <w:tcPr>
            <w:tcW w:w="7620" w:type="dxa"/>
            <w:tcBorders/>
            <w:vAlign w:val="center"/>
          </w:tcPr>
          <w:p>
            <w:pPr>
              <w:pStyle w:val="Heading1"/>
              <w:bidi w:val="0"/>
              <w:spacing w:before="240" w:after="283"/>
              <w:ind w:hanging="0" w:start="0" w:end="0"/>
              <w:rPr/>
            </w:pPr>
            <w:bookmarkStart w:id="63" w:name="interior-doors-apartment-entrance-door"/>
            <w:bookmarkEnd w:id="63"/>
            <w:r>
              <w:rPr/>
              <w:t>7 Interior doors, apartment entrance door</w:t>
            </w:r>
          </w:p>
        </w:tc>
      </w:tr>
      <w:tr>
        <w:trPr/>
        <w:tc>
          <w:tcPr>
            <w:tcW w:w="7914" w:type="dxa"/>
            <w:tcBorders/>
            <w:vAlign w:val="center"/>
          </w:tcPr>
          <w:p>
            <w:pPr>
              <w:pStyle w:val="TableContents"/>
              <w:bidi w:val="0"/>
              <w:spacing w:before="0" w:after="283"/>
              <w:rPr/>
            </w:pPr>
            <w:r>
              <w:rPr>
                <w:rStyle w:val="Strong"/>
              </w:rPr>
              <w:t>7.1</w:t>
            </w:r>
            <w:r>
              <w:rPr/>
              <w:t xml:space="preserve"> Innentüren als glatte Zimmertüren (CPL- oder Lackoberfläche). Die Wohnungseingangstür wird als einbruchhemmende Tür mindestens der Widerstandsklasse RC 2 mit Mehrfachverriegelung und Spion ausgeführt.</w:t>
            </w:r>
          </w:p>
        </w:tc>
        <w:tc>
          <w:tcPr>
            <w:tcW w:w="7620" w:type="dxa"/>
            <w:tcBorders/>
            <w:vAlign w:val="center"/>
          </w:tcPr>
          <w:p>
            <w:pPr>
              <w:pStyle w:val="TableContents"/>
              <w:bidi w:val="0"/>
              <w:spacing w:before="0" w:after="283"/>
              <w:rPr/>
            </w:pPr>
            <w:r>
              <w:rPr>
                <w:rStyle w:val="Strong"/>
              </w:rPr>
              <w:t>7.1</w:t>
            </w:r>
            <w:r>
              <w:rPr/>
              <w:t xml:space="preserve"> Interior doors as smooth room doors (CPL or paint surface). The apartment entrance door is designed as an intrusion-inhibiting door of at least resistance class RC 2 with multiple locking and spy.</w:t>
            </w:r>
          </w:p>
        </w:tc>
      </w:tr>
      <w:tr>
        <w:trPr/>
        <w:tc>
          <w:tcPr>
            <w:tcW w:w="7914" w:type="dxa"/>
            <w:tcBorders/>
            <w:vAlign w:val="center"/>
          </w:tcPr>
          <w:p>
            <w:pPr>
              <w:pStyle w:val="Heading1"/>
              <w:bidi w:val="0"/>
              <w:spacing w:before="240" w:after="283"/>
              <w:ind w:hanging="0" w:start="0" w:end="0"/>
              <w:rPr/>
            </w:pPr>
            <w:bookmarkStart w:id="64" w:name="sanitär-heizung-lüftung"/>
            <w:bookmarkEnd w:id="64"/>
            <w:r>
              <w:rPr/>
              <w:t>8 Sanitär, Heizung, Lüftung</w:t>
            </w:r>
          </w:p>
        </w:tc>
        <w:tc>
          <w:tcPr>
            <w:tcW w:w="7620" w:type="dxa"/>
            <w:tcBorders/>
            <w:vAlign w:val="center"/>
          </w:tcPr>
          <w:p>
            <w:pPr>
              <w:pStyle w:val="Heading1"/>
              <w:bidi w:val="0"/>
              <w:spacing w:before="240" w:after="283"/>
              <w:ind w:hanging="0" w:start="0" w:end="0"/>
              <w:rPr/>
            </w:pPr>
            <w:bookmarkStart w:id="65" w:name="sanitary-heating-ventilation"/>
            <w:bookmarkEnd w:id="65"/>
            <w:r>
              <w:rPr/>
              <w:t>8 Sanitary, heating, ventilation</w:t>
            </w:r>
          </w:p>
        </w:tc>
      </w:tr>
      <w:tr>
        <w:trPr/>
        <w:tc>
          <w:tcPr>
            <w:tcW w:w="7914" w:type="dxa"/>
            <w:tcBorders/>
            <w:vAlign w:val="center"/>
          </w:tcPr>
          <w:p>
            <w:pPr>
              <w:pStyle w:val="TableContents"/>
              <w:bidi w:val="0"/>
              <w:spacing w:before="0" w:after="283"/>
              <w:rPr/>
            </w:pPr>
            <w:r>
              <w:rPr>
                <w:rStyle w:val="Strong"/>
              </w:rPr>
              <w:t>8.1</w:t>
            </w:r>
            <w:r>
              <w:rPr/>
              <w:t xml:space="preserve"> Bad und Gäste-WC werden mit weißen Sanitärobjekten der Serie MK-Sanitär (Waschtisch, Wand-WC, bodengleiche Dusche, in C-2.14 zusätzlich Badewanne nach Ausführungsplan) und verchromten Einhebelmischern ausgestattet.</w:t>
            </w:r>
          </w:p>
        </w:tc>
        <w:tc>
          <w:tcPr>
            <w:tcW w:w="7620" w:type="dxa"/>
            <w:tcBorders/>
            <w:vAlign w:val="center"/>
          </w:tcPr>
          <w:p>
            <w:pPr>
              <w:pStyle w:val="TableContents"/>
              <w:bidi w:val="0"/>
              <w:spacing w:before="0" w:after="283"/>
              <w:rPr/>
            </w:pPr>
            <w:r>
              <w:rPr>
                <w:rStyle w:val="Strong"/>
              </w:rPr>
              <w:t>8.1</w:t>
            </w:r>
            <w:r>
              <w:rPr/>
              <w:t xml:space="preserve"> Bathroom and guest toilet are equipped with white sanitary objects of the MK sanitary series (washing table, wall toilet, floor-level shower, in C-2.14 additionally bathtub according to execution plan) and chrome-plated single-lever mixers.</w:t>
            </w:r>
          </w:p>
        </w:tc>
      </w:tr>
      <w:tr>
        <w:trPr/>
        <w:tc>
          <w:tcPr>
            <w:tcW w:w="7914" w:type="dxa"/>
            <w:tcBorders/>
            <w:vAlign w:val="center"/>
          </w:tcPr>
          <w:p>
            <w:pPr>
              <w:pStyle w:val="TableContents"/>
              <w:bidi w:val="0"/>
              <w:spacing w:before="0" w:after="283"/>
              <w:rPr/>
            </w:pPr>
            <w:r>
              <w:rPr>
                <w:rStyle w:val="Strong"/>
              </w:rPr>
              <w:t>8.2</w:t>
            </w:r>
            <w:r>
              <w:rPr/>
              <w:t xml:space="preserve"> 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tc>
        <w:tc>
          <w:tcPr>
            <w:tcW w:w="7620" w:type="dxa"/>
            <w:tcBorders/>
            <w:vAlign w:val="center"/>
          </w:tcPr>
          <w:p>
            <w:pPr>
              <w:pStyle w:val="TableContents"/>
              <w:bidi w:val="0"/>
              <w:spacing w:before="0" w:after="283"/>
              <w:rPr/>
            </w:pPr>
            <w:r>
              <w:rPr>
                <w:rStyle w:val="Strong"/>
              </w:rPr>
              <w:t>8.2</w:t>
            </w:r>
            <w:r>
              <w:rPr/>
              <w:t xml:space="preserve"> Heating and hot water are provided via the central quarter supply (heat pump with peak load boiler) and underfloor heating in all rooms. internal baths shall be mechanically ventilated; a certain controlled residential ventilation with heat recovery is only due to the extent that the GEG proof requires it.</w:t>
            </w:r>
          </w:p>
        </w:tc>
      </w:tr>
      <w:tr>
        <w:trPr/>
        <w:tc>
          <w:tcPr>
            <w:tcW w:w="7914" w:type="dxa"/>
            <w:tcBorders/>
            <w:vAlign w:val="center"/>
          </w:tcPr>
          <w:p>
            <w:pPr>
              <w:pStyle w:val="Heading1"/>
              <w:bidi w:val="0"/>
              <w:spacing w:before="240" w:after="283"/>
              <w:ind w:hanging="0" w:start="0" w:end="0"/>
              <w:rPr/>
            </w:pPr>
            <w:bookmarkStart w:id="66" w:name="elektro-medien"/>
            <w:bookmarkEnd w:id="66"/>
            <w:r>
              <w:rPr/>
              <w:t>9 Elektro, Medien</w:t>
            </w:r>
          </w:p>
        </w:tc>
        <w:tc>
          <w:tcPr>
            <w:tcW w:w="7620" w:type="dxa"/>
            <w:tcBorders/>
            <w:vAlign w:val="center"/>
          </w:tcPr>
          <w:p>
            <w:pPr>
              <w:pStyle w:val="Heading1"/>
              <w:bidi w:val="0"/>
              <w:spacing w:before="240" w:after="283"/>
              <w:ind w:hanging="0" w:start="0" w:end="0"/>
              <w:rPr/>
            </w:pPr>
            <w:bookmarkStart w:id="67" w:name="electric-media"/>
            <w:bookmarkEnd w:id="67"/>
            <w:r>
              <w:rPr/>
              <w:t>9 Electric, Media</w:t>
            </w:r>
          </w:p>
        </w:tc>
      </w:tr>
      <w:tr>
        <w:trPr/>
        <w:tc>
          <w:tcPr>
            <w:tcW w:w="7914" w:type="dxa"/>
            <w:tcBorders/>
            <w:vAlign w:val="center"/>
          </w:tcPr>
          <w:p>
            <w:pPr>
              <w:pStyle w:val="TableContents"/>
              <w:bidi w:val="0"/>
              <w:spacing w:before="0" w:after="283"/>
              <w:rPr/>
            </w:pPr>
            <w:r>
              <w:rPr>
                <w:rStyle w:val="Strong"/>
              </w:rPr>
              <w:t>9.1</w:t>
            </w:r>
            <w:r>
              <w:rPr/>
              <w:t xml:space="preserve"> Die Elektroinstallation entspricht mindestens der Ausstattungsklasse 2 nach DIN 18015-2. Die Wohnung erhält einen Multimedia-Anschluss im Wohnbereich; eine bestimmte Bandbreite oder ein bestimmter Anbieter wird nicht geschuldet. Zusätzliche Elektropunkte sind Sonderwunsch.</w:t>
            </w:r>
          </w:p>
        </w:tc>
        <w:tc>
          <w:tcPr>
            <w:tcW w:w="7620" w:type="dxa"/>
            <w:tcBorders/>
            <w:vAlign w:val="center"/>
          </w:tcPr>
          <w:p>
            <w:pPr>
              <w:pStyle w:val="TableContents"/>
              <w:bidi w:val="0"/>
              <w:spacing w:before="0" w:after="283"/>
              <w:rPr/>
            </w:pPr>
            <w:r>
              <w:rPr>
                <w:rStyle w:val="Strong"/>
              </w:rPr>
              <w:t>9.1</w:t>
            </w:r>
            <w:r>
              <w:rPr/>
              <w:t xml:space="preserve"> The electrical installation corresponds at least to equipment class 2 according to DIN 18015-2. The apartment receives a multimedia connection in the living area; a certain bandwidth or a certain provider is not owed. Additional electric points are special request.</w:t>
            </w:r>
          </w:p>
        </w:tc>
      </w:tr>
      <w:tr>
        <w:trPr/>
        <w:tc>
          <w:tcPr>
            <w:tcW w:w="7914" w:type="dxa"/>
            <w:tcBorders/>
            <w:vAlign w:val="center"/>
          </w:tcPr>
          <w:p>
            <w:pPr>
              <w:pStyle w:val="Heading1"/>
              <w:bidi w:val="0"/>
              <w:spacing w:before="240" w:after="283"/>
              <w:ind w:hanging="0" w:start="0" w:end="0"/>
              <w:rPr/>
            </w:pPr>
            <w:bookmarkStart w:id="68" w:name="tiefgarage-stellplatz"/>
            <w:bookmarkEnd w:id="68"/>
            <w:r>
              <w:rPr/>
              <w:t>10 Tiefgarage, Stellplatz</w:t>
            </w:r>
          </w:p>
        </w:tc>
        <w:tc>
          <w:tcPr>
            <w:tcW w:w="7620" w:type="dxa"/>
            <w:tcBorders/>
            <w:vAlign w:val="center"/>
          </w:tcPr>
          <w:p>
            <w:pPr>
              <w:pStyle w:val="Heading1"/>
              <w:bidi w:val="0"/>
              <w:spacing w:before="240" w:after="283"/>
              <w:ind w:hanging="0" w:start="0" w:end="0"/>
              <w:rPr/>
            </w:pPr>
            <w:bookmarkStart w:id="69" w:name="underground-parking-space"/>
            <w:bookmarkEnd w:id="69"/>
            <w:r>
              <w:rPr/>
              <w:t>10 underground parking space</w:t>
            </w:r>
          </w:p>
        </w:tc>
      </w:tr>
      <w:tr>
        <w:trPr/>
        <w:tc>
          <w:tcPr>
            <w:tcW w:w="7914" w:type="dxa"/>
            <w:tcBorders/>
            <w:vAlign w:val="center"/>
          </w:tcPr>
          <w:p>
            <w:pPr>
              <w:pStyle w:val="TableContents"/>
              <w:bidi w:val="0"/>
              <w:spacing w:before="0" w:after="283"/>
              <w:rPr/>
            </w:pPr>
            <w:r>
              <w:rPr>
                <w:rStyle w:val="Strong"/>
              </w:rPr>
              <w:t>10.1</w:t>
            </w:r>
            <w:r>
              <w:rPr/>
              <w:t xml:space="preserve"> Die Tiefgarage wird in Stahlbeton mit maschineller Be- und Entlüftung, Bodenbeschichtung, Entwässerung und der nach Brandschutzkonzept erforderlichen Ausstattung hergestellt. Der Stellplatz TG-58 hält mindestens die bauordnungsrechtlich erforderlichen Mindestmaße ein.</w:t>
            </w:r>
          </w:p>
        </w:tc>
        <w:tc>
          <w:tcPr>
            <w:tcW w:w="7620" w:type="dxa"/>
            <w:tcBorders/>
            <w:vAlign w:val="center"/>
          </w:tcPr>
          <w:p>
            <w:pPr>
              <w:pStyle w:val="TableContents"/>
              <w:bidi w:val="0"/>
              <w:spacing w:before="0" w:after="283"/>
              <w:rPr/>
            </w:pPr>
            <w:r>
              <w:rPr>
                <w:rStyle w:val="Strong"/>
              </w:rPr>
              <w:t>10.1</w:t>
            </w:r>
            <w:r>
              <w:rPr/>
              <w:t xml:space="preserve"> The underground garage is produced in reinforced concrete with mechanical ventilation, floor coating, drainage and the equipment required according to the fire protection concept. The parking space TG-58 meets at least the minimum dimensions required by building code law.</w:t>
            </w:r>
          </w:p>
        </w:tc>
      </w:tr>
      <w:tr>
        <w:trPr/>
        <w:tc>
          <w:tcPr>
            <w:tcW w:w="7914" w:type="dxa"/>
            <w:tcBorders/>
            <w:vAlign w:val="center"/>
          </w:tcPr>
          <w:p>
            <w:pPr>
              <w:pStyle w:val="Heading1"/>
              <w:bidi w:val="0"/>
              <w:spacing w:before="240" w:after="283"/>
              <w:ind w:hanging="0" w:start="0" w:end="0"/>
              <w:rPr/>
            </w:pPr>
            <w:bookmarkStart w:id="70" w:name="schallschutz-verbindliche-mindestwerte"/>
            <w:bookmarkEnd w:id="70"/>
            <w:r>
              <w:rPr/>
              <w:t>11 Schallschutz (verbindliche Mindestwerte)</w:t>
            </w:r>
          </w:p>
        </w:tc>
        <w:tc>
          <w:tcPr>
            <w:tcW w:w="7620" w:type="dxa"/>
            <w:tcBorders/>
            <w:vAlign w:val="center"/>
          </w:tcPr>
          <w:p>
            <w:pPr>
              <w:pStyle w:val="Heading1"/>
              <w:bidi w:val="0"/>
              <w:spacing w:before="240" w:after="283"/>
              <w:ind w:hanging="0" w:start="0" w:end="0"/>
              <w:rPr/>
            </w:pPr>
            <w:bookmarkStart w:id="71" w:name="soundproofing-mandatory-minimum-values"/>
            <w:bookmarkEnd w:id="71"/>
            <w:r>
              <w:rPr/>
              <w:t>11 Soundproofing (mandatory minimum values)</w:t>
            </w:r>
          </w:p>
        </w:tc>
      </w:tr>
      <w:tr>
        <w:trPr/>
        <w:tc>
          <w:tcPr>
            <w:tcW w:w="7914" w:type="dxa"/>
            <w:tcBorders/>
            <w:vAlign w:val="center"/>
          </w:tcPr>
          <w:p>
            <w:pPr>
              <w:pStyle w:val="TableContents"/>
              <w:bidi w:val="0"/>
              <w:spacing w:before="0" w:after="283"/>
              <w:rPr/>
            </w:pPr>
            <w:r>
              <w:rPr>
                <w:rStyle w:val="Strong"/>
              </w:rPr>
              <w:t>11.1</w:t>
            </w:r>
            <w:r>
              <w:rPr/>
              <w:t xml:space="preserve"> Geschuldet ist mindestens der Schallschutz nach DIN 4109-1 mit folgenden verbindlichen Mindest-Kennwerten für die Wohnung C-2.14:</w:t>
            </w:r>
          </w:p>
        </w:tc>
        <w:tc>
          <w:tcPr>
            <w:tcW w:w="7620" w:type="dxa"/>
            <w:tcBorders/>
            <w:vAlign w:val="center"/>
          </w:tcPr>
          <w:p>
            <w:pPr>
              <w:pStyle w:val="TableContents"/>
              <w:bidi w:val="0"/>
              <w:spacing w:before="0" w:after="283"/>
              <w:rPr/>
            </w:pPr>
            <w:r>
              <w:rPr>
                <w:rStyle w:val="Strong"/>
              </w:rPr>
              <w:t>11.1</w:t>
            </w:r>
            <w:r>
              <w:rPr/>
              <w:t xml:space="preserve"> At least the noise protection according to DIN 4109-1 with the following mandatory minimum parameters for the apartment C-2.14 is owed:</w:t>
            </w:r>
          </w:p>
        </w:tc>
      </w:tr>
      <w:tr>
        <w:trPr/>
        <w:tc>
          <w:tcPr>
            <w:tcW w:w="7914"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Luftschalldämmung gegenüber fremden Wohnungen und dem Treppenhaus: bewertetes Bau-Schalldämm-Maß R′w ≥ 54 dB; </w:t>
            </w:r>
          </w:p>
          <w:p>
            <w:pPr>
              <w:pStyle w:val="TableContents"/>
              <w:numPr>
                <w:ilvl w:val="0"/>
                <w:numId w:val="10"/>
              </w:numPr>
              <w:tabs>
                <w:tab w:val="clear" w:pos="1134"/>
                <w:tab w:val="left" w:pos="709" w:leader="none"/>
              </w:tabs>
              <w:bidi w:val="0"/>
              <w:spacing w:before="0" w:after="0"/>
              <w:ind w:hanging="283" w:start="709"/>
              <w:rPr/>
            </w:pPr>
            <w:r>
              <w:rPr/>
              <w:t xml:space="preserve">Trittschallschutz von fremden Wohnungen/Treppenhaus: bewerteter Norm-Trittschallpegel L′n,w ≤ 50 dB; </w:t>
            </w:r>
          </w:p>
          <w:p>
            <w:pPr>
              <w:pStyle w:val="TableContents"/>
              <w:numPr>
                <w:ilvl w:val="0"/>
                <w:numId w:val="10"/>
              </w:numPr>
              <w:tabs>
                <w:tab w:val="clear" w:pos="1134"/>
                <w:tab w:val="left" w:pos="709" w:leader="none"/>
              </w:tabs>
              <w:bidi w:val="0"/>
              <w:spacing w:before="0" w:after="283"/>
              <w:ind w:hanging="283" w:start="709"/>
              <w:rPr/>
            </w:pPr>
            <w:r>
              <w:rPr/>
              <w:t xml:space="preserve">Schallschutz gegenüber haustechnischen Anlagen (Aufzug, Lüftung, Wasserinstallation): nach DIN 4109-1. </w:t>
            </w:r>
          </w:p>
        </w:tc>
        <w:tc>
          <w:tcPr>
            <w:tcW w:w="7620"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airborne acoustic insulation from other dwellings and stairwells: assessed construction sound insulation measure R′w ≥ 54 dB; </w:t>
            </w:r>
          </w:p>
          <w:p>
            <w:pPr>
              <w:pStyle w:val="TableContents"/>
              <w:numPr>
                <w:ilvl w:val="0"/>
                <w:numId w:val="11"/>
              </w:numPr>
              <w:tabs>
                <w:tab w:val="clear" w:pos="1134"/>
                <w:tab w:val="left" w:pos="709" w:leader="none"/>
              </w:tabs>
              <w:bidi w:val="0"/>
              <w:spacing w:before="0" w:after="0"/>
              <w:ind w:hanging="283" w:start="709"/>
              <w:rPr/>
            </w:pPr>
            <w:r>
              <w:rPr/>
              <w:t xml:space="preserve">footstep sound protection of other dwellings/staircase: assessed standard footstep sound level L′n,w ≤ 50 dB; </w:t>
            </w:r>
          </w:p>
          <w:p>
            <w:pPr>
              <w:pStyle w:val="TableContents"/>
              <w:numPr>
                <w:ilvl w:val="0"/>
                <w:numId w:val="11"/>
              </w:numPr>
              <w:tabs>
                <w:tab w:val="clear" w:pos="1134"/>
                <w:tab w:val="left" w:pos="709" w:leader="none"/>
              </w:tabs>
              <w:bidi w:val="0"/>
              <w:spacing w:before="0" w:after="283"/>
              <w:ind w:hanging="283" w:start="709"/>
              <w:rPr/>
            </w:pPr>
            <w:r>
              <w:rPr/>
              <w:t xml:space="preserve">Sound insulation against building systems (elevator, ventilation, water installation): according to DIN 4109-1. </w:t>
            </w:r>
          </w:p>
        </w:tc>
      </w:tr>
      <w:tr>
        <w:trPr/>
        <w:tc>
          <w:tcPr>
            <w:tcW w:w="7914" w:type="dxa"/>
            <w:tcBorders/>
            <w:vAlign w:val="center"/>
          </w:tcPr>
          <w:p>
            <w:pPr>
              <w:pStyle w:val="TableContents"/>
              <w:bidi w:val="0"/>
              <w:spacing w:before="0" w:after="283"/>
              <w:rPr/>
            </w:pPr>
            <w:r>
              <w:rPr>
                <w:rStyle w:val="Strong"/>
              </w:rPr>
              <w:t>11.2</w:t>
            </w:r>
            <w:r>
              <w:rPr/>
              <w:t xml:space="preserve"> Ein erhöhter Schallschutz (z. B. nach VDI 4100 oder Beiblatt 2 zu DIN 4109) wird </w:t>
            </w:r>
            <w:r>
              <w:rPr>
                <w:rStyle w:val="Strong"/>
              </w:rPr>
              <w:t>nicht</w:t>
            </w:r>
            <w:r>
              <w:rPr/>
              <w:t xml:space="preserve"> geschuldet, soweit er nicht hier mit Kennwert vereinbart ist.</w:t>
            </w:r>
          </w:p>
        </w:tc>
        <w:tc>
          <w:tcPr>
            <w:tcW w:w="7620" w:type="dxa"/>
            <w:tcBorders/>
            <w:vAlign w:val="center"/>
          </w:tcPr>
          <w:p>
            <w:pPr>
              <w:pStyle w:val="TableContents"/>
              <w:bidi w:val="0"/>
              <w:spacing w:before="0" w:after="283"/>
              <w:rPr/>
            </w:pPr>
            <w:r>
              <w:rPr>
                <w:rStyle w:val="Strong"/>
              </w:rPr>
              <w:t>11.2</w:t>
            </w:r>
            <w:r>
              <w:rPr/>
              <w:t xml:space="preserve"> Increased sound insulation (e.g. according to VDI 4100 or Addendum 2 to DIN 4109) is not due, unless agreed here with the characteristic value.</w:t>
            </w:r>
          </w:p>
        </w:tc>
      </w:tr>
      <w:tr>
        <w:trPr/>
        <w:tc>
          <w:tcPr>
            <w:tcW w:w="7914" w:type="dxa"/>
            <w:tcBorders/>
            <w:vAlign w:val="center"/>
          </w:tcPr>
          <w:p>
            <w:pPr>
              <w:pStyle w:val="Heading1"/>
              <w:bidi w:val="0"/>
              <w:spacing w:before="240" w:after="283"/>
              <w:ind w:hanging="0" w:start="0" w:end="0"/>
              <w:rPr/>
            </w:pPr>
            <w:bookmarkStart w:id="72" w:name="brand--wärme--feuchteschutz"/>
            <w:bookmarkEnd w:id="72"/>
            <w:r>
              <w:rPr/>
              <w:t>12 Brand-, Wärme-, Feuchteschutz</w:t>
            </w:r>
          </w:p>
        </w:tc>
        <w:tc>
          <w:tcPr>
            <w:tcW w:w="7620" w:type="dxa"/>
            <w:tcBorders/>
            <w:vAlign w:val="center"/>
          </w:tcPr>
          <w:p>
            <w:pPr>
              <w:pStyle w:val="Heading1"/>
              <w:bidi w:val="0"/>
              <w:spacing w:before="240" w:after="283"/>
              <w:ind w:hanging="0" w:start="0" w:end="0"/>
              <w:rPr/>
            </w:pPr>
            <w:bookmarkStart w:id="73" w:name="fire-heat-and-moisture-protection"/>
            <w:bookmarkEnd w:id="73"/>
            <w:r>
              <w:rPr/>
              <w:t>12 Fire, heat and moisture protection</w:t>
            </w:r>
          </w:p>
        </w:tc>
      </w:tr>
      <w:tr>
        <w:trPr/>
        <w:tc>
          <w:tcPr>
            <w:tcW w:w="7914" w:type="dxa"/>
            <w:tcBorders/>
            <w:vAlign w:val="center"/>
          </w:tcPr>
          <w:p>
            <w:pPr>
              <w:pStyle w:val="TableContents"/>
              <w:bidi w:val="0"/>
              <w:spacing w:before="0" w:after="283"/>
              <w:rPr/>
            </w:pPr>
            <w:r>
              <w:rPr>
                <w:rStyle w:val="Strong"/>
              </w:rPr>
              <w:t>12.1</w:t>
            </w:r>
            <w:r>
              <w:rPr/>
              <w:t xml:space="preserve"> Brand-, Wärme- und Feuchteschutz werden im öffentlich-rechtlich erforderlichen Umfang nachgewiesen und ausgeführt. Die hierfür erforderlichen Nachweise werden nach § 650n BGB übergeben.</w:t>
            </w:r>
          </w:p>
        </w:tc>
        <w:tc>
          <w:tcPr>
            <w:tcW w:w="7620" w:type="dxa"/>
            <w:tcBorders/>
            <w:vAlign w:val="center"/>
          </w:tcPr>
          <w:p>
            <w:pPr>
              <w:pStyle w:val="TableContents"/>
              <w:bidi w:val="0"/>
              <w:spacing w:before="0" w:after="283"/>
              <w:rPr/>
            </w:pPr>
            <w:r>
              <w:rPr>
                <w:rStyle w:val="Strong"/>
              </w:rPr>
              <w:t>12.1</w:t>
            </w:r>
            <w:r>
              <w:rPr/>
              <w:t xml:space="preserve"> Fire, heat and moisture protection are proven and carried out to the extent required by public law. The proofs required for this are handed over in accordance with § 650n BGB.</w:t>
            </w:r>
          </w:p>
        </w:tc>
      </w:tr>
      <w:tr>
        <w:trPr/>
        <w:tc>
          <w:tcPr>
            <w:tcW w:w="7914" w:type="dxa"/>
            <w:tcBorders/>
            <w:vAlign w:val="center"/>
          </w:tcPr>
          <w:p>
            <w:pPr>
              <w:pStyle w:val="Heading1"/>
              <w:bidi w:val="0"/>
              <w:spacing w:before="240" w:after="283"/>
              <w:ind w:hanging="0" w:start="0" w:end="0"/>
              <w:rPr/>
            </w:pPr>
            <w:bookmarkStart w:id="74" w:name="außenanlagen-balkon"/>
            <w:bookmarkEnd w:id="74"/>
            <w:r>
              <w:rPr/>
              <w:t>13 Außenanlagen, Balkon</w:t>
            </w:r>
          </w:p>
        </w:tc>
        <w:tc>
          <w:tcPr>
            <w:tcW w:w="7620" w:type="dxa"/>
            <w:tcBorders/>
            <w:vAlign w:val="center"/>
          </w:tcPr>
          <w:p>
            <w:pPr>
              <w:pStyle w:val="Heading1"/>
              <w:bidi w:val="0"/>
              <w:spacing w:before="240" w:after="283"/>
              <w:ind w:hanging="0" w:start="0" w:end="0"/>
              <w:rPr/>
            </w:pPr>
            <w:bookmarkStart w:id="75" w:name="outdoor-facilities-balcony"/>
            <w:bookmarkEnd w:id="75"/>
            <w:r>
              <w:rPr/>
              <w:t>13 outdoor facilities, balcony</w:t>
            </w:r>
          </w:p>
        </w:tc>
      </w:tr>
      <w:tr>
        <w:trPr/>
        <w:tc>
          <w:tcPr>
            <w:tcW w:w="7914" w:type="dxa"/>
            <w:tcBorders/>
            <w:vAlign w:val="center"/>
          </w:tcPr>
          <w:p>
            <w:pPr>
              <w:pStyle w:val="TableContents"/>
              <w:bidi w:val="0"/>
              <w:spacing w:before="0" w:after="283"/>
              <w:rPr/>
            </w:pPr>
            <w:r>
              <w:rPr>
                <w:rStyle w:val="Strong"/>
              </w:rPr>
              <w:t>13.1</w:t>
            </w:r>
            <w:r>
              <w:rPr/>
              <w:t xml:space="preserve"> 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tc>
        <w:tc>
          <w:tcPr>
            <w:tcW w:w="7620" w:type="dxa"/>
            <w:tcBorders/>
            <w:vAlign w:val="center"/>
          </w:tcPr>
          <w:p>
            <w:pPr>
              <w:pStyle w:val="TableContents"/>
              <w:bidi w:val="0"/>
              <w:spacing w:before="0" w:after="283"/>
              <w:rPr/>
            </w:pPr>
            <w:r>
              <w:rPr>
                <w:rStyle w:val="Strong"/>
              </w:rPr>
              <w:t>13.1</w:t>
            </w:r>
            <w:r>
              <w:rPr/>
              <w:t xml:space="preserve"> courtyard, pathways, planting areas, bicycle spaces and playground shall be produced in accordance with the open-air concept; their completion may be due to weather conditions after the occupation of the apartment, but is part of the complete completion (§ 3.2, 7th rate). The balcony B-C14 receives a slab covering on stilt bearings and drainage according to execution plan.</w:t>
            </w:r>
          </w:p>
        </w:tc>
      </w:tr>
      <w:tr>
        <w:trPr/>
        <w:tc>
          <w:tcPr>
            <w:tcW w:w="7914" w:type="dxa"/>
            <w:tcBorders/>
            <w:vAlign w:val="center"/>
          </w:tcPr>
          <w:p>
            <w:pPr>
              <w:pStyle w:val="Heading1"/>
              <w:bidi w:val="0"/>
              <w:spacing w:before="240" w:after="283"/>
              <w:ind w:hanging="0" w:start="0" w:end="0"/>
              <w:rPr/>
            </w:pPr>
            <w:bookmarkStart w:id="76" w:name="wohnfläche-bemusterung"/>
            <w:bookmarkEnd w:id="76"/>
            <w:r>
              <w:rPr/>
              <w:t>14 Wohnfläche, Bemusterung</w:t>
            </w:r>
          </w:p>
        </w:tc>
        <w:tc>
          <w:tcPr>
            <w:tcW w:w="7620" w:type="dxa"/>
            <w:tcBorders/>
            <w:vAlign w:val="center"/>
          </w:tcPr>
          <w:p>
            <w:pPr>
              <w:pStyle w:val="Heading1"/>
              <w:bidi w:val="0"/>
              <w:spacing w:before="240" w:after="283"/>
              <w:ind w:hanging="0" w:start="0" w:end="0"/>
              <w:rPr/>
            </w:pPr>
            <w:bookmarkStart w:id="77" w:name="living-space-samples"/>
            <w:bookmarkEnd w:id="77"/>
            <w:r>
              <w:rPr/>
              <w:t>14 Living space, samples</w:t>
            </w:r>
          </w:p>
        </w:tc>
      </w:tr>
      <w:tr>
        <w:trPr/>
        <w:tc>
          <w:tcPr>
            <w:tcW w:w="7914" w:type="dxa"/>
            <w:tcBorders/>
            <w:vAlign w:val="center"/>
          </w:tcPr>
          <w:p>
            <w:pPr>
              <w:pStyle w:val="TableContents"/>
              <w:bidi w:val="0"/>
              <w:spacing w:before="0" w:after="283"/>
              <w:rPr/>
            </w:pPr>
            <w:r>
              <w:rPr>
                <w:rStyle w:val="Strong"/>
              </w:rPr>
              <w:t>14.1</w:t>
            </w:r>
            <w:r>
              <w:rPr/>
              <w:t xml:space="preserve"> Die Wohnfläche der Wohnung C-2.14 beträgt ca. 84,6 m² nach Wohnflächenverordnung; maßgeblich ist die nach Fertigstellung tatsächlich erbrachte Ausführung mit der Anpassungsregel des § 5.9 des Vertrages.</w:t>
            </w:r>
          </w:p>
        </w:tc>
        <w:tc>
          <w:tcPr>
            <w:tcW w:w="7620" w:type="dxa"/>
            <w:tcBorders/>
            <w:vAlign w:val="center"/>
          </w:tcPr>
          <w:p>
            <w:pPr>
              <w:pStyle w:val="TableContents"/>
              <w:bidi w:val="0"/>
              <w:spacing w:before="0" w:after="283"/>
              <w:rPr/>
            </w:pPr>
            <w:r>
              <w:rPr>
                <w:rStyle w:val="Strong"/>
              </w:rPr>
              <w:t>14.1</w:t>
            </w:r>
            <w:r>
              <w:rPr/>
              <w:t xml:space="preserve"> The living space of apartment C-2.14 is approximately 84.6 m2 according to the Living Space Ordinance; The decisive factor is the execution actually performed after completion with the adjustment rule of § 5.9 of the contract.</w:t>
            </w:r>
          </w:p>
        </w:tc>
      </w:tr>
      <w:tr>
        <w:trPr/>
        <w:tc>
          <w:tcPr>
            <w:tcW w:w="7914" w:type="dxa"/>
            <w:tcBorders/>
            <w:vAlign w:val="center"/>
          </w:tcPr>
          <w:p>
            <w:pPr>
              <w:pStyle w:val="TableContents"/>
              <w:bidi w:val="0"/>
              <w:spacing w:before="0" w:after="283"/>
              <w:rPr/>
            </w:pPr>
            <w:r>
              <w:rPr>
                <w:rStyle w:val="Strong"/>
              </w:rPr>
              <w:t>14.2</w:t>
            </w:r>
            <w:r>
              <w:rPr/>
              <w:t xml:space="preserve"> Die Bemusterung erfolgt aus den Serien MK-Boden, MK-Bad, MK-Sanitär und MK-Tür. Drei Beratungsstunden sind im Kaufpreis enthalten; weiterer Aufwand wird nach § 3.5 des Vertrages vergütet. Auswahlen außerhalb dieser Serien sind Sonderwünsche.</w:t>
            </w:r>
          </w:p>
        </w:tc>
        <w:tc>
          <w:tcPr>
            <w:tcW w:w="7620" w:type="dxa"/>
            <w:tcBorders/>
            <w:vAlign w:val="center"/>
          </w:tcPr>
          <w:p>
            <w:pPr>
              <w:pStyle w:val="TableContents"/>
              <w:bidi w:val="0"/>
              <w:spacing w:before="0" w:after="283"/>
              <w:rPr/>
            </w:pPr>
            <w:r>
              <w:rPr>
                <w:rStyle w:val="Strong"/>
              </w:rPr>
              <w:t>14.2</w:t>
            </w:r>
            <w:r>
              <w:rPr/>
              <w:t xml:space="preserve"> Samples are made from the series MK-Boden, MK-Bad, MK-Sanitär and MK-Door. Three consultation hours are included in the Purchase Price; further expenses are reimbursed in accordance with § 3.5 of the contract. Selections outside of these series are special requests.</w:t>
            </w:r>
          </w:p>
        </w:tc>
      </w:tr>
      <w:tr>
        <w:trPr/>
        <w:tc>
          <w:tcPr>
            <w:tcW w:w="7914" w:type="dxa"/>
            <w:tcBorders/>
            <w:vAlign w:val="center"/>
          </w:tcPr>
          <w:p>
            <w:pPr>
              <w:pStyle w:val="Heading1"/>
              <w:bidi w:val="0"/>
              <w:spacing w:before="240" w:after="283"/>
              <w:ind w:hanging="0" w:start="0" w:end="0"/>
              <w:rPr/>
            </w:pPr>
            <w:bookmarkStart w:id="78" w:name="schlussbestimmungen-der-baubeschreibung"/>
            <w:bookmarkEnd w:id="78"/>
            <w:r>
              <w:rPr/>
              <w:t>Schlussbestimmungen der Baubeschreibung</w:t>
            </w:r>
          </w:p>
        </w:tc>
        <w:tc>
          <w:tcPr>
            <w:tcW w:w="7620" w:type="dxa"/>
            <w:tcBorders/>
            <w:vAlign w:val="center"/>
          </w:tcPr>
          <w:p>
            <w:pPr>
              <w:pStyle w:val="Heading1"/>
              <w:bidi w:val="0"/>
              <w:spacing w:before="240" w:after="283"/>
              <w:ind w:hanging="0" w:start="0" w:end="0"/>
              <w:rPr/>
            </w:pPr>
            <w:bookmarkStart w:id="79" w:name="final-provisions-of-the-building-specifi"/>
            <w:bookmarkEnd w:id="79"/>
            <w:r>
              <w:rPr/>
              <w:t>Final Provisions of the Building Specification</w:t>
            </w:r>
          </w:p>
        </w:tc>
      </w:tr>
      <w:tr>
        <w:trPr/>
        <w:tc>
          <w:tcPr>
            <w:tcW w:w="7914" w:type="dxa"/>
            <w:tcBorders/>
            <w:vAlign w:val="center"/>
          </w:tcPr>
          <w:p>
            <w:pPr>
              <w:pStyle w:val="TableContents"/>
              <w:bidi w:val="0"/>
              <w:spacing w:before="0" w:after="283"/>
              <w:rPr/>
            </w:pPr>
            <w:r>
              <w:rPr/>
              <w:t>Diese Baubeschreibung ist mit dem Kaufvertrag mitbeurkundet. Bei Widersprüchen zwischen Baubeschreibung, Plänen und Vertragstext gilt die für den Käufer günstigere Auslegung, soweit sich aus dem Vertrag nichts Eindeutiges ergibt (§ 305c Abs. 2 BGB).</w:t>
            </w:r>
          </w:p>
        </w:tc>
        <w:tc>
          <w:tcPr>
            <w:tcW w:w="7620" w:type="dxa"/>
            <w:tcBorders/>
            <w:vAlign w:val="center"/>
          </w:tcPr>
          <w:p>
            <w:pPr>
              <w:pStyle w:val="TableContents"/>
              <w:bidi w:val="0"/>
              <w:spacing w:before="0" w:after="283"/>
              <w:rPr/>
            </w:pPr>
            <w:r>
              <w:rPr/>
              <w:t>This construction description is notarized with the purchase contract. In the event of contradictions between the description of the building, plans and the text of the contract, the more favourable interpretation for the Buyer applies, insofar as nothing clear emerges from the contract (§ 305c para 2 BGB).</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80" w:name="sprachvorrang"/>
            <w:bookmarkEnd w:id="80"/>
            <w:r>
              <w:rPr/>
              <w:t>Sprachvorrang</w:t>
            </w:r>
          </w:p>
        </w:tc>
        <w:tc>
          <w:tcPr>
            <w:tcW w:w="7620" w:type="dxa"/>
            <w:tcBorders/>
            <w:vAlign w:val="center"/>
          </w:tcPr>
          <w:p>
            <w:pPr>
              <w:pStyle w:val="Heading1"/>
              <w:bidi w:val="0"/>
              <w:spacing w:before="240" w:after="283"/>
              <w:ind w:hanging="0" w:start="0" w:end="0"/>
              <w:rPr/>
            </w:pPr>
            <w:bookmarkStart w:id="81" w:name="language-precedence"/>
            <w:bookmarkEnd w:id="81"/>
            <w:r>
              <w:rPr/>
              <w:t>Language Precedence</w:t>
            </w:r>
          </w:p>
        </w:tc>
      </w:tr>
      <w:tr>
        <w:trPr/>
        <w:tc>
          <w:tcPr>
            <w:tcW w:w="7914"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620"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9">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Songti SC" w:cs="Arial Unicode M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Songti SC" w:cs="Arial Unicode M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9323</Words>
  <Characters>56222</Characters>
  <CharactersWithSpaces>65163</CharactersWithSpaces>
  <Paragraphs>402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