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uträgervertrag"/>
    <w:p>
      <w:pPr>
        <w:pStyle w:val="Heading1"/>
      </w:pPr>
      <w:r>
        <w:t xml:space="preserve">Bauträgervertrag</w:t>
      </w:r>
    </w:p>
    <w:p>
      <w:r>
        <w:br w:type="page"/>
      </w:r>
    </w:p>
    <w:bookmarkEnd w:id="9"/>
    <w:bookmarkStart w:id="11" w:name="ur-nr.-1882026-kq"/>
    <w:p>
      <w:pPr>
        <w:pStyle w:val="Heading1"/>
      </w:pPr>
      <w:r>
        <w:t xml:space="preserve">UR-Nr. 188/2026 KQ</w:t>
      </w:r>
    </w:p>
    <w:bookmarkStart w:id="10" w:name="verhandelt"/>
    <w:p>
      <w:pPr>
        <w:pStyle w:val="Heading2"/>
      </w:pPr>
      <w:r>
        <w:t xml:space="preserve">Verhandelt</w:t>
      </w:r>
    </w:p>
    <w:p>
      <w:pPr>
        <w:pStyle w:val="FirstParagraph"/>
      </w:pPr>
      <w:r>
        <w:t xml:space="preserve">zu Berlin, am 14. März 2026</w:t>
      </w:r>
    </w:p>
    <w:p>
      <w:pPr>
        <w:pStyle w:val="BodyText"/>
      </w:pPr>
      <w:r>
        <w:t xml:space="preserve">Vor mir, dem unterzeichnenden Notar im Bezirk des Kammergerichts</w:t>
      </w:r>
    </w:p>
    <w:p>
      <w:pPr>
        <w:pStyle w:val="BodyText"/>
      </w:pPr>
      <w:r>
        <w:rPr>
          <w:b/>
          <w:bCs/>
        </w:rPr>
        <w:t xml:space="preserve">Dr. Adalbert von Sickingen-Querfurt</w:t>
      </w:r>
    </w:p>
    <w:p>
      <w:pPr>
        <w:pStyle w:val="BodyText"/>
      </w:pPr>
      <w:r>
        <w:t xml:space="preserve">Kurfürstendamm 211, 10719 Berlin</w:t>
      </w:r>
    </w:p>
    <w:p>
      <w:pPr>
        <w:pStyle w:val="BodyText"/>
      </w:pPr>
      <w:r>
        <w:t xml:space="preserve">erschienen heute:</w:t>
      </w:r>
    </w:p>
    <w:p>
      <w:pPr>
        <w:pStyle w:val="BodyText"/>
      </w:pPr>
      <w:r>
        <w:t xml:space="preserve">Frau</w:t>
      </w:r>
      <w:r>
        <w:t xml:space="preserve"> </w:t>
      </w:r>
      <w:r>
        <w:rPr>
          <w:b/>
          <w:bCs/>
        </w:rPr>
        <w:t xml:space="preserve">Roswitha Quendel-Bingenheimer</w:t>
      </w:r>
      <w:r>
        <w:t xml:space="preserve">, geboren am 11.08.1971,</w:t>
      </w:r>
    </w:p>
    <w:p>
      <w:pPr>
        <w:pStyle w:val="BodyText"/>
      </w:pPr>
      <w:r>
        <w:t xml:space="preserve">geschäftsansässig: Schloßstraße 88, 12163 Berlin,</w:t>
      </w:r>
    </w:p>
    <w:p>
      <w:pPr>
        <w:pStyle w:val="BodyText"/>
      </w:pPr>
      <w:r>
        <w:t xml:space="preserve">dem Notar von Person bekannt,</w:t>
      </w:r>
    </w:p>
    <w:p>
      <w:pPr>
        <w:pStyle w:val="BodyText"/>
      </w:pPr>
      <w:r>
        <w:t xml:space="preserve">handelnd nachfolgend nicht im eigenen Namen, sondern als Bevollmächtigte für die</w:t>
      </w:r>
    </w:p>
    <w:p>
      <w:pPr>
        <w:pStyle w:val="BodyText"/>
      </w:pPr>
      <w:r>
        <w:rPr>
          <w:b/>
          <w:bCs/>
        </w:rPr>
        <w:t xml:space="preserve">Hohenwartshofen Quartiersentwicklung GmbH &amp; Co. KG</w:t>
      </w:r>
    </w:p>
    <w:p>
      <w:pPr>
        <w:pStyle w:val="BodyText"/>
      </w:pPr>
      <w:r>
        <w:t xml:space="preserve">(vormals firmierend unter Hohenwartshofen-Drewitz Immobilien GmbH &amp; Co. KG; Amtsgericht Charlottenburg, HRA 52188 B; Komplementärin: Hohenwartshofen Verwaltungs GmbH, Amtsgericht Charlottenburg, HRB 187 552 B),</w:t>
      </w:r>
    </w:p>
    <w:p>
      <w:pPr>
        <w:pStyle w:val="BodyText"/>
      </w:pPr>
      <w:r>
        <w:t xml:space="preserve">Geschäftsanschrift: Schloßstraße 88, 12163 Berlin,</w:t>
      </w:r>
    </w:p>
    <w:p>
      <w:pPr>
        <w:pStyle w:val="BodyText"/>
      </w:pPr>
      <w:r>
        <w:t xml:space="preserve">— nachstehend auch „Verkäufer” genannt —,</w:t>
      </w:r>
    </w:p>
    <w:p>
      <w:pPr>
        <w:pStyle w:val="BodyText"/>
      </w:pPr>
      <w:r>
        <w:t xml:space="preserve">aufgrund notariell beglaubigter Vollmacht vom 22.10.2025, UR-Nr. 1402/2025 W des Notars Egmont Wachtelborn, Berlin. Das Original der Vollmacht lag bei Beurkundung vor; eine Fotokopie derselben wird in beglaubigter Fotokopie als Anhang a zu dieser Urkunde genommen.</w:t>
      </w:r>
    </w:p>
    <w:p>
      <w:pPr>
        <w:pStyle w:val="BodyText"/>
      </w:pPr>
      <w:r>
        <w:t xml:space="preserve">Herr</w:t>
      </w:r>
      <w:r>
        <w:t xml:space="preserve"> </w:t>
      </w:r>
      <w:r>
        <w:rPr>
          <w:b/>
          <w:bCs/>
        </w:rPr>
        <w:t xml:space="preserve">Dr. Eberwein Übelacker-Strohmeyer</w:t>
      </w:r>
      <w:r>
        <w:t xml:space="preserve">, geboren am 03.02.1968,</w:t>
      </w:r>
    </w:p>
    <w:p>
      <w:pPr>
        <w:pStyle w:val="BodyText"/>
      </w:pPr>
      <w:r>
        <w:t xml:space="preserve">wohnhaft: Königin-Luise-Straße 47, 14195 Berlin,</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des Notars erklärten die Erschienene zu 1. auf Rechnung des von ihr Vertretenen und der Erschienene zu 2. auf eigene Rechnung zu handeln.</w:t>
      </w:r>
    </w:p>
    <w:p>
      <w:pPr>
        <w:pStyle w:val="BodyText"/>
      </w:pPr>
      <w:r>
        <w:t xml:space="preserve">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p>
      <w:pPr>
        <w:pStyle w:val="BodyText"/>
      </w:pPr>
      <w:r>
        <w:t xml:space="preserve">Der Käufer erklärte im Hinblick auf § 17 Abs. 2a BeurkG, dass ihm ein Entwurf des nachstehenden Kaufvertrages über das vom Verkäufer verwendete Unterlagenportal zur Verfügung gestellt wurde und dass ihm der wesentliche wirtschaftliche Inhalt des Geschäfts aufgrund der vorangegangenen Reservierung, der Vertriebsgespräche und der Einsichtnahme in das digitale Datenraumverzeichnis bekannt sei. Auf Wunsch des Käufers und im Hinblick auf die auslaufende Reservierungsbindung soll die heutige Beurkundung gleichwohl durchgeführt werden; der Käufer erklärte, derzeit keine weitere Bedenkzeit zu benötigen.</w:t>
      </w:r>
    </w:p>
    <w:p>
      <w:pPr>
        <w:pStyle w:val="BodyText"/>
      </w:pPr>
      <w:r>
        <w:t xml:space="preserve">Die Erschienenen baten sodann um die Beurkundung des nachstehenden</w:t>
      </w:r>
    </w:p>
    <w:bookmarkEnd w:id="10"/>
    <w:bookmarkEnd w:id="11"/>
    <w:bookmarkStart w:id="13" w:name="wohnungsbauträgervertrag-mit-auflassung"/>
    <w:p>
      <w:pPr>
        <w:pStyle w:val="Heading1"/>
      </w:pPr>
      <w:r>
        <w:t xml:space="preserve">Wohnungsbauträgervertrag mit Auflassung</w:t>
      </w:r>
    </w:p>
    <w:bookmarkStart w:id="12" w:name="vorbemerkungen"/>
    <w:p>
      <w:pPr>
        <w:pStyle w:val="Heading2"/>
      </w:pPr>
      <w:r>
        <w:t xml:space="preserve">Vorbemerkungen</w:t>
      </w:r>
    </w:p>
    <w:p>
      <w:pPr>
        <w:pStyle w:val="FirstParagraph"/>
      </w:pPr>
      <w:r>
        <w:rPr>
          <w:b/>
          <w:bCs/>
        </w:rPr>
        <w:t xml:space="preserve">0.1</w:t>
      </w:r>
      <w:r>
        <w:t xml:space="preserve"> </w:t>
      </w:r>
      <w:r>
        <w:t xml:space="preserve">Der Verkäufer beabsichtigt, nach derzeitiger Planung auf dem Grundstück</w:t>
      </w:r>
    </w:p>
    <w:p>
      <w:pPr>
        <w:pStyle w:val="BlockText"/>
      </w:pPr>
      <w:r>
        <w:t xml:space="preserve">Gemarkung Kannenberg-Niederwall, Flur 7, Flurstück 218/4, Gebäude- und Freifläche, „Am Birkenpfuhl”, mit einer grundbuchlichen Größe von insgesamt 11.840 m², nachstehend auch das „Grundstück” genannt,</w:t>
      </w:r>
    </w:p>
    <w:p>
      <w:pPr>
        <w:pStyle w:val="FirstParagraph"/>
      </w:pPr>
      <w:r>
        <w:t xml:space="preserve">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pStyle w:val="BodyText"/>
      </w:pPr>
      <w:r>
        <w:t xml:space="preserve">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p>
      <w:pPr>
        <w:pStyle w:val="BodyText"/>
      </w:pPr>
      <w:r>
        <w:t xml:space="preserve">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p>
      <w:pPr>
        <w:pStyle w:val="BodyText"/>
      </w:pPr>
      <w:r>
        <w:rPr>
          <w:b/>
          <w:bCs/>
        </w:rPr>
        <w:t xml:space="preserve">0.2</w:t>
      </w:r>
      <w:r>
        <w:t xml:space="preserve"> </w:t>
      </w:r>
      <w:r>
        <w:t xml:space="preserve">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pStyle w:val="BodyText"/>
      </w:pPr>
      <w:r>
        <w:t xml:space="preserve">— nachfolgend zusammen auch „Teilungserklärung” und/oder zusammen „Bezugsurkunde 1” genannt —.</w:t>
      </w:r>
    </w:p>
    <w:p>
      <w:pPr>
        <w:pStyle w:val="BodyText"/>
      </w:pPr>
      <w:r>
        <w:t xml:space="preserve">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p>
      <w:pPr>
        <w:pStyle w:val="BodyText"/>
      </w:pPr>
      <w:r>
        <w:t xml:space="preserve">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p>
      <w:pPr>
        <w:pStyle w:val="BodyText"/>
      </w:pPr>
      <w:r>
        <w:rPr>
          <w:b/>
          <w:bCs/>
        </w:rPr>
        <w:t xml:space="preserve">0.3</w:t>
      </w:r>
      <w:r>
        <w:t xml:space="preserve"> </w:t>
      </w:r>
      <w:r>
        <w:t xml:space="preserve">Gegenstand dieses Vertrages sind der in § 1 beschriebene Kaufgegenstand sowie die in § 5 beschriebene Herstellungsverpflichtung.</w:t>
      </w:r>
    </w:p>
    <w:p>
      <w:pPr>
        <w:pStyle w:val="BodyText"/>
      </w:pPr>
      <w:r>
        <w:rPr>
          <w:b/>
          <w:bCs/>
        </w:rPr>
        <w:t xml:space="preserve">0.4</w:t>
      </w:r>
      <w:r>
        <w:t xml:space="preserve"> </w:t>
      </w:r>
      <w:r>
        <w:t xml:space="preserve">Die Abgeschlossenheitsbescheinigung zur Teilungserklärung liegt vor.</w:t>
      </w:r>
    </w:p>
    <w:p>
      <w:pPr>
        <w:pStyle w:val="BodyText"/>
      </w:pPr>
      <w:r>
        <w:rPr>
          <w:b/>
          <w:bCs/>
        </w:rPr>
        <w:t xml:space="preserve">0.5</w:t>
      </w:r>
      <w:r>
        <w:t xml:space="preserve"> </w:t>
      </w:r>
      <w:r>
        <w:t xml:space="preserve">Nach Auskunft des Verkäufers liegen die erforderlichen Baugenehmigungen des Landkreises Potsdam-Mittelmark vor; eine Baugenehmigung für Haus 4, in dem die hier verkaufte Wohnung liegt, wird in Kürze erwartet.</w:t>
      </w:r>
    </w:p>
    <w:p>
      <w:pPr>
        <w:pStyle w:val="BodyText"/>
      </w:pPr>
      <w:r>
        <w:rPr>
          <w:b/>
          <w:bCs/>
        </w:rPr>
        <w:t xml:space="preserve">0.6</w:t>
      </w:r>
      <w:r>
        <w:t xml:space="preserve"> </w:t>
      </w:r>
      <w:r>
        <w:t xml:space="preserve">Der Verkäufer weist darauf hin, dass die Erschließung des Grundstücks teilweise noch nicht abgeschlossen ist.</w:t>
      </w:r>
    </w:p>
    <w:p>
      <w:pPr>
        <w:pStyle w:val="BodyText"/>
      </w:pPr>
      <w:r>
        <w:rPr>
          <w:b/>
          <w:bCs/>
        </w:rPr>
        <w:t xml:space="preserve">0.7</w:t>
      </w:r>
      <w:r>
        <w:t xml:space="preserve"> </w:t>
      </w:r>
      <w:r>
        <w:t xml:space="preserve">Der Verkäufer hat für das Bauvorhaben interne Projektunterlagen, insbesondere Baugrund- und Planungsgutachten, Fachplanernachweise, Terminpläne, Kostenverfolgungen sowie Berichte der Projektsteuerung und Objektüberwachung erstellen lassen. Diese Unterlagen dienen ausschließlich der internen Steuerung des Gesamtprojekts. Sie werden dem Käufer nur insoweit zugänglich gemacht, als dies nach zwingenden gesetzlichen Vorschriften erforderlich ist oder der Verkäufer dies zur zweckmäßigen Vertragsdurchführung für angezeigt hält.</w:t>
      </w:r>
    </w:p>
    <w:p>
      <w:r>
        <w:br w:type="page"/>
      </w:r>
    </w:p>
    <w:bookmarkEnd w:id="12"/>
    <w:bookmarkEnd w:id="13"/>
    <w:bookmarkStart w:id="14" w:name="kaufgegenstand"/>
    <w:p>
      <w:pPr>
        <w:pStyle w:val="Heading1"/>
      </w:pPr>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Potsdam für Kannenberg-Niederwall, Blatt 18 442, eingetragenen Wohnungseigentums:</w:t>
      </w:r>
    </w:p>
    <w:p>
      <w:pPr>
        <w:pStyle w:val="BlockText"/>
      </w:pPr>
      <w:r>
        <w:t xml:space="preserve">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pStyle w:val="FirstParagraph"/>
      </w:pPr>
      <w:r>
        <w:rPr>
          <w:b/>
          <w:bCs/>
        </w:rPr>
        <w:t xml:space="preserve">1.2</w:t>
      </w:r>
      <w:r>
        <w:t xml:space="preserve"> </w:t>
      </w:r>
      <w:r>
        <w:t xml:space="preserve">Die Sondereigentumseinheit und das dort näher bezeichnete Sondernutzungsrecht an dem Tiefgaragenstellplatz Nr. TG-127 nebst den unter § 5 dieses Vertrages beschriebenen Bauleistungen werden nachfolgend zusammen als „Kaufgegenstand” bezeichnet.</w:t>
      </w:r>
    </w:p>
    <w:p>
      <w:pPr>
        <w:pStyle w:val="BodyText"/>
      </w:pPr>
      <w:r>
        <w:rPr>
          <w:b/>
          <w:bCs/>
        </w:rPr>
        <w:t xml:space="preserve">1.3</w:t>
      </w:r>
      <w:r>
        <w:t xml:space="preserve"> </w:t>
      </w:r>
      <w:r>
        <w:t xml:space="preserve">Der Notar hat das Grundbuch gemäß § 1.1 — ohne die Grundakten — elektronisch am heutigen Tage eingesehen.</w:t>
      </w:r>
    </w:p>
    <w:p>
      <w:pPr>
        <w:pStyle w:val="BodyText"/>
      </w:pPr>
      <w:r>
        <w:t xml:space="preserve">In Abteilung II sind eingetragen: beschränkte persönliche Dienstbarkeiten zugunsten der Stadtwerke Kannenberg GmbH, der ENBW Netze AG sowie der Gemeinde Kannenberg-Niederwall. Diese Lasten werden vom Käufer übernommen und sind im Kaufpreis nicht abgegolten.</w:t>
      </w:r>
    </w:p>
    <w:p>
      <w:pPr>
        <w:pStyle w:val="BodyText"/>
      </w:pPr>
      <w:r>
        <w:t xml:space="preserve">In Abteilung III ist eine Gesamtgrundschuld in Höhe von 92 800 000,00 EUR zugunsten der Pommersche Hypotheken-Bank AG eingetragen.</w:t>
      </w:r>
    </w:p>
    <w:p>
      <w:r>
        <w:br w:type="page"/>
      </w:r>
    </w:p>
    <w:bookmarkEnd w:id="14"/>
    <w:bookmarkStart w:id="15" w:name="kaufpreis"/>
    <w:p>
      <w:pPr>
        <w:pStyle w:val="Heading1"/>
      </w:pPr>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789.500,00 EUR</w:t>
      </w:r>
    </w:p>
    <w:p>
      <w:pPr>
        <w:pStyle w:val="FirstParagraph"/>
      </w:pPr>
      <w:r>
        <w:t xml:space="preserve">zzgl. eines Aufpreises für den Tiefgaragenstellplatz von 38 500,00 EUR. Der Gesamtkaufpreis beträgt damit 828 000,00 EUR.</w:t>
      </w:r>
    </w:p>
    <w:p>
      <w:pPr>
        <w:pStyle w:val="BodyText"/>
      </w:pPr>
      <w:r>
        <w:rPr>
          <w:b/>
          <w:bCs/>
        </w:rPr>
        <w:t xml:space="preserve">2.2</w:t>
      </w:r>
      <w:r>
        <w:t xml:space="preserve"> </w:t>
      </w:r>
      <w:r>
        <w:t xml:space="preserve">Der Kaufpreis ist ein Fest-Kaufpreis. Er umfasst sämtliche Leistungen entsprechend der Herstellungsverpflichtung in § 5, soweit in diesem Vertrag nicht für Sonderwünsche, öffentliche Abgaben, Erschließung, technische Nachsteuerungen oder nachträgliche öffentlich-rechtliche Anforderungen eine gesonderte Kostentragung vorgesehen ist.</w:t>
      </w:r>
    </w:p>
    <w:p>
      <w:pPr>
        <w:pStyle w:val="BodyText"/>
      </w:pPr>
      <w:r>
        <w:rPr>
          <w:b/>
          <w:bCs/>
        </w:rPr>
        <w:t xml:space="preserve">2.3</w:t>
      </w:r>
      <w:r>
        <w:t xml:space="preserve"> </w:t>
      </w:r>
      <w:r>
        <w:t xml:space="preserve">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p>
      <w:r>
        <w:br w:type="page"/>
      </w:r>
    </w:p>
    <w:bookmarkEnd w:id="15"/>
    <w:bookmarkStart w:id="16" w:name="kaufpreiszahlung-fälligkeit"/>
    <w:p>
      <w:pPr>
        <w:pStyle w:val="Heading1"/>
      </w:pPr>
      <w:r>
        <w:t xml:space="preserve">§ 3 Kaufpreiszahlung, Fälligkeit</w:t>
      </w:r>
    </w:p>
    <w:p>
      <w:pPr>
        <w:pStyle w:val="FirstParagraph"/>
      </w:pPr>
      <w:r>
        <w:rPr>
          <w:b/>
          <w:bCs/>
        </w:rPr>
        <w:t xml:space="preserve">3.1</w:t>
      </w:r>
      <w:r>
        <w:t xml:space="preserve"> </w:t>
      </w:r>
      <w:r>
        <w:t xml:space="preserve">Die Kaufpreiszahlungen sind frühestens fällig und zahlbar, wenn</w:t>
      </w:r>
    </w:p>
    <w:p>
      <w:pPr>
        <w:pStyle w:val="BodyText"/>
      </w:pPr>
      <w:r>
        <w:t xml:space="preserve">3.1.1 der Notar den Parteien schriftlich mitgeteilt hat, dass</w:t>
      </w:r>
    </w:p>
    <w:p>
      <w:pPr>
        <w:numPr>
          <w:ilvl w:val="0"/>
          <w:numId w:val="1001"/>
        </w:numPr>
      </w:pPr>
      <w:r>
        <w:t xml:space="preserve">der Vertrag rechtswirksam zustande gekommen ist,</w:t>
      </w:r>
    </w:p>
    <w:p>
      <w:pPr>
        <w:numPr>
          <w:ilvl w:val="0"/>
          <w:numId w:val="1001"/>
        </w:numPr>
      </w:pPr>
      <w:r>
        <w:t xml:space="preserve">die Eintragung der Auflassungsvormerkung zugunsten des Käufers im Grundbuch eingetragen oder eintragungsbereit beantragt ist,</w:t>
      </w:r>
    </w:p>
    <w:p>
      <w:pPr>
        <w:numPr>
          <w:ilvl w:val="0"/>
          <w:numId w:val="1001"/>
        </w:numPr>
      </w:pPr>
      <w:r>
        <w:t xml:space="preserve">die Lastenfreistellungserklärung der Pommersche Hypotheken-Bank AG für den Kaufgegenstand vorliegt oder die Vorlage zugesichert ist,</w:t>
      </w:r>
    </w:p>
    <w:p>
      <w:pPr>
        <w:pStyle w:val="FirstParagraph"/>
      </w:pPr>
      <w:r>
        <w:t xml:space="preserve">3.1.2 sowie die Baugenehmigung für Haus 4 vorliegt oder, wenn eine Baugenehmigung nicht oder nicht rechtzeitig erforderlich ist, mit dem Bau begonnen werden darf.</w:t>
      </w:r>
    </w:p>
    <w:p>
      <w:pPr>
        <w:pStyle w:val="BodyText"/>
      </w:pPr>
      <w:r>
        <w:rPr>
          <w:b/>
          <w:bCs/>
        </w:rPr>
        <w:t xml:space="preserve">3.2</w:t>
      </w:r>
      <w:r>
        <w:t xml:space="preserve"> </w:t>
      </w:r>
      <w:r>
        <w:t xml:space="preserve">Der Käufer hat den Kaufpreis nach folgendem Ratenplan zu zahlen, wobei der Verkäufer die Raten entsprechend dem tatsächlichen Bauablauf in sieben Teilbeträgen anfordern wird: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Rate</w:t>
            </w:r>
          </w:p>
        </w:tc>
        <w:tc>
          <w:tcPr/>
          <w:p>
            <w:pPr>
              <w:pStyle w:val="Compact"/>
            </w:pPr>
            <w:r>
              <w:t xml:space="preserve">Stichmonat</w:t>
            </w:r>
          </w:p>
        </w:tc>
        <w:tc>
          <w:tcPr/>
          <w:p>
            <w:pPr>
              <w:pStyle w:val="Compact"/>
            </w:pPr>
            <w:r>
              <w:t xml:space="preserve">Anteil</w:t>
            </w:r>
          </w:p>
        </w:tc>
      </w:tr>
      <w:tr>
        <w:tc>
          <w:tcPr/>
          <w:p>
            <w:pPr>
              <w:pStyle w:val="Compact"/>
            </w:pPr>
            <w:r>
              <w:t xml:space="preserve">1. Rate</w:t>
            </w:r>
          </w:p>
        </w:tc>
        <w:tc>
          <w:tcPr/>
          <w:p>
            <w:pPr>
              <w:pStyle w:val="Compact"/>
            </w:pPr>
            <w:r>
              <w:t xml:space="preserve">nach Beginn der Erdarbeiten</w:t>
            </w:r>
          </w:p>
        </w:tc>
        <w:tc>
          <w:tcPr/>
          <w:p>
            <w:pPr>
              <w:pStyle w:val="Compact"/>
            </w:pPr>
            <w:r>
              <w:t xml:space="preserve">30,0 %</w:t>
            </w:r>
          </w:p>
        </w:tc>
      </w:tr>
      <w:tr>
        <w:tc>
          <w:tcPr/>
          <w:p>
            <w:pPr>
              <w:pStyle w:val="Compact"/>
            </w:pPr>
            <w:r>
              <w:t xml:space="preserve">2. Rate</w:t>
            </w:r>
          </w:p>
        </w:tc>
        <w:tc>
          <w:tcPr/>
          <w:p>
            <w:pPr>
              <w:pStyle w:val="Compact"/>
            </w:pPr>
            <w:r>
              <w:t xml:space="preserve">nach Rohbaufertigstellung einschließlich Zimmererarbeiten</w:t>
            </w:r>
          </w:p>
        </w:tc>
        <w:tc>
          <w:tcPr/>
          <w:p>
            <w:pPr>
              <w:pStyle w:val="Compact"/>
            </w:pPr>
            <w:r>
              <w:t xml:space="preserve">28,0 %</w:t>
            </w:r>
          </w:p>
        </w:tc>
      </w:tr>
      <w:tr>
        <w:tc>
          <w:tcPr/>
          <w:p>
            <w:pPr>
              <w:pStyle w:val="Compact"/>
            </w:pPr>
            <w:r>
              <w:t xml:space="preserve">3. Rate</w:t>
            </w:r>
          </w:p>
        </w:tc>
        <w:tc>
          <w:tcPr/>
          <w:p>
            <w:pPr>
              <w:pStyle w:val="Compact"/>
            </w:pPr>
            <w:r>
              <w:t xml:space="preserve">nach Herstellung der Dachflächen und Dachrinnen, Ausführung der Rohinstallation der Heizungs-, Sanitär- und Elektroanlagen sowie Fenstereinbau einschließlich Verglasung</w:t>
            </w:r>
          </w:p>
        </w:tc>
        <w:tc>
          <w:tcPr/>
          <w:p>
            <w:pPr>
              <w:pStyle w:val="Compact"/>
            </w:pPr>
            <w:r>
              <w:t xml:space="preserve">18,9 %</w:t>
            </w:r>
          </w:p>
        </w:tc>
      </w:tr>
      <w:tr>
        <w:tc>
          <w:tcPr/>
          <w:p>
            <w:pPr>
              <w:pStyle w:val="Compact"/>
            </w:pPr>
            <w:r>
              <w:t xml:space="preserve">4. Rate</w:t>
            </w:r>
          </w:p>
        </w:tc>
        <w:tc>
          <w:tcPr/>
          <w:p>
            <w:pPr>
              <w:pStyle w:val="Compact"/>
            </w:pPr>
            <w:r>
              <w:t xml:space="preserve">nach Innenputz, Estrich und Fliesenarbeiten im Sanitärbereich</w:t>
            </w:r>
          </w:p>
        </w:tc>
        <w:tc>
          <w:tcPr/>
          <w:p>
            <w:pPr>
              <w:pStyle w:val="Compact"/>
            </w:pPr>
            <w:r>
              <w:t xml:space="preserve">9,1 %</w:t>
            </w:r>
          </w:p>
        </w:tc>
      </w:tr>
      <w:tr>
        <w:tc>
          <w:tcPr/>
          <w:p>
            <w:pPr>
              <w:pStyle w:val="Compact"/>
            </w:pPr>
            <w:r>
              <w:t xml:space="preserve">5. Rate</w:t>
            </w:r>
          </w:p>
        </w:tc>
        <w:tc>
          <w:tcPr/>
          <w:p>
            <w:pPr>
              <w:pStyle w:val="Compact"/>
            </w:pPr>
            <w:r>
              <w:t xml:space="preserve">nach Bezugsfertigkeit Zug um Zug gegen Besitzübergabe</w:t>
            </w:r>
          </w:p>
        </w:tc>
        <w:tc>
          <w:tcPr/>
          <w:p>
            <w:pPr>
              <w:pStyle w:val="Compact"/>
            </w:pPr>
            <w:r>
              <w:t xml:space="preserve">8,4 %</w:t>
            </w:r>
          </w:p>
        </w:tc>
      </w:tr>
      <w:tr>
        <w:tc>
          <w:tcPr/>
          <w:p>
            <w:pPr>
              <w:pStyle w:val="Compact"/>
            </w:pPr>
            <w:r>
              <w:t xml:space="preserve">6. Rate</w:t>
            </w:r>
          </w:p>
        </w:tc>
        <w:tc>
          <w:tcPr/>
          <w:p>
            <w:pPr>
              <w:pStyle w:val="Compact"/>
            </w:pPr>
            <w:r>
              <w:t xml:space="preserve">nach Fassadenarbeiten</w:t>
            </w:r>
          </w:p>
        </w:tc>
        <w:tc>
          <w:tcPr/>
          <w:p>
            <w:pPr>
              <w:pStyle w:val="Compact"/>
            </w:pPr>
            <w:r>
              <w:t xml:space="preserve">2,1 %</w:t>
            </w:r>
          </w:p>
        </w:tc>
      </w:tr>
      <w:tr>
        <w:tc>
          <w:tcPr/>
          <w:p>
            <w:pPr>
              <w:pStyle w:val="Compact"/>
            </w:pPr>
            <w:r>
              <w:t xml:space="preserve">7. Rate</w:t>
            </w:r>
          </w:p>
        </w:tc>
        <w:tc>
          <w:tcPr/>
          <w:p>
            <w:pPr>
              <w:pStyle w:val="Compact"/>
            </w:pPr>
            <w:r>
              <w:t xml:space="preserve">nach vollständiger Fertigstellung</w:t>
            </w:r>
          </w:p>
        </w:tc>
        <w:tc>
          <w:tcPr/>
          <w:p>
            <w:pPr>
              <w:pStyle w:val="Compact"/>
            </w:pPr>
            <w:r>
              <w:t xml:space="preserve">3,5 %</w:t>
            </w:r>
          </w:p>
        </w:tc>
      </w:tr>
    </w:tbl>
    <w:p>
      <w:pPr>
        <w:pStyle w:val="BodyText"/>
      </w:pPr>
      <w:r>
        <w:t xml:space="preserve">Die Raten sind jeweils zur Zahlung fällig, wenn der Verkäufer den Käufer unter Vorlage einer Bestätigung des vom Verkäufer beauftragten Bauleiters, Projektcontrollers oder eines mit der Objektüberwachung befassten Planungsbeteiligten über den erreichten Baufortschritt schriftlich zur Zahlung auffordert.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p>
      <w:pPr>
        <w:pStyle w:val="BodyText"/>
      </w:pPr>
      <w:r>
        <w:t xml:space="preserve">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pStyle w:val="BodyText"/>
      </w:pPr>
      <w:r>
        <w:t xml:space="preserve">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p>
      <w:pPr>
        <w:pStyle w:val="BodyText"/>
      </w:pPr>
      <w:r>
        <w:rPr>
          <w:b/>
          <w:bCs/>
        </w:rPr>
        <w:t xml:space="preserve">3.3</w:t>
      </w:r>
      <w:r>
        <w:t xml:space="preserve"> </w:t>
      </w:r>
      <w:r>
        <w:t xml:space="preserve">Sicherungsmechanik</w:t>
      </w:r>
    </w:p>
    <w:p>
      <w:pPr>
        <w:pStyle w:val="BodyText"/>
      </w:pPr>
      <w:r>
        <w:t xml:space="preserve">Die Parteien gehen davon aus, dass die in dieser Urkunde vorgesehene Abwicklung über Auflassungsvormerkung, Lastenfreistellung, MaBV-Ratenplan und Baufortschrittsbestätigung die Interessen des Käufers angemessen wahrt. Eine gesonderte Vertragserfüllungssicherheit wird nicht vereinbart. Soweit zwingende gesetzliche Sicherungsrechte bestehen, bleiben diese unberührt; ihre praktische Abwicklung erfolgt im Rahmen der jeweiligen ersten fälligen Rate nach Abstimmung mit dem Verkäufer und der finanzierenden Bank.</w:t>
      </w:r>
    </w:p>
    <w:p>
      <w:pPr>
        <w:pStyle w:val="BodyText"/>
      </w:pPr>
      <w:r>
        <w:rPr>
          <w:b/>
          <w:bCs/>
        </w:rPr>
        <w:t xml:space="preserve">3.4</w:t>
      </w:r>
      <w:r>
        <w:t xml:space="preserve"> </w:t>
      </w:r>
      <w:r>
        <w:t xml:space="preserve">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p>
      <w:pPr>
        <w:pStyle w:val="BodyText"/>
      </w:pPr>
      <w:r>
        <w:rPr>
          <w:b/>
          <w:bCs/>
        </w:rPr>
        <w:t xml:space="preserve">3.5</w:t>
      </w:r>
      <w:r>
        <w:t xml:space="preserve"> </w:t>
      </w:r>
      <w:r>
        <w:t xml:space="preserve">Sonderwünsche. Sonderwünsche des Käufers außerhalb der Standardausstattung sind gesondert zu beauftragen und vor Beginn der jeweils betroffenen Bauleistung auf Grundlage des Nachtragsangebots vollständig zu zahlen, damit Planung, Bestellung und Bauablauf nicht verzögert werden. Die Vergütung für individuelle Beratungen durch den Verkäufer beträgt 180,00 EUR netto je angefangener Beratungsstunde. Die Parteien sind sich einig, dass Sonderwunschentgelte gesonderte Zusatzleistungen betreffen und nicht in den MaBV-Ratenplan einzustellen sind.</w:t>
      </w:r>
    </w:p>
    <w:p>
      <w:r>
        <w:br w:type="page"/>
      </w:r>
    </w:p>
    <w:bookmarkEnd w:id="16"/>
    <w:bookmarkStart w:id="17" w:name="Xacd27a9a0599f387afb098c717c3b96c90edba0"/>
    <w:p>
      <w:pPr>
        <w:pStyle w:val="Heading1"/>
      </w:pPr>
      <w:r>
        <w:t xml:space="preserve">§ 4 Belastungsvollmacht, Kaufpreisfinanzierung</w:t>
      </w:r>
    </w:p>
    <w:p>
      <w:pPr>
        <w:pStyle w:val="FirstParagraph"/>
      </w:pPr>
      <w:r>
        <w:rPr>
          <w:b/>
          <w:bCs/>
        </w:rPr>
        <w:t xml:space="preserve">4.1</w:t>
      </w:r>
      <w:r>
        <w:t xml:space="preserve"> </w:t>
      </w:r>
      <w:r>
        <w:t xml:space="preserve">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pStyle w:val="BodyText"/>
      </w:pPr>
      <w:r>
        <w:rPr>
          <w:b/>
          <w:bCs/>
        </w:rPr>
        <w:t xml:space="preserve">4.2</w:t>
      </w:r>
      <w:r>
        <w:t xml:space="preserve"> </w:t>
      </w:r>
      <w:r>
        <w:t xml:space="preserve">Eine persönliche Haftung des Käufers darf dabei in dem Umfang begründet werden, den die finanzierende Bank nach ihren Beleihungs- und Auszahlungsvorgaben verlangt. Die Beteiligten gehen davon aus, dass die persönliche Haftungsübernahme banküblich ist und im Innenverhältnis ausschließlich der Finanzierung des Kaufgegenstandes dient.</w:t>
      </w:r>
    </w:p>
    <w:p>
      <w:pPr>
        <w:pStyle w:val="BodyText"/>
      </w:pPr>
      <w:r>
        <w:rPr>
          <w:b/>
          <w:bCs/>
        </w:rPr>
        <w:t xml:space="preserve">4.3</w:t>
      </w:r>
      <w:r>
        <w:t xml:space="preserve"> </w:t>
      </w:r>
      <w:r>
        <w:t xml:space="preserve">Die Grundpfandrechte können einschließlich Zinsen, Nebenleistungen und Vollstreckungsunterwerfung in banküblicher Höhe bestellt werden; eine interne Begrenzung auf den Finanzierungszweck bleibt dem Käufer und seiner Bank vorbehalten. Der Käufer trägt sämtliche mit Bestellung, Rangbeschaffung, Treuhandabwicklung und Löschung verbundenen Kosten.</w:t>
      </w:r>
    </w:p>
    <w:p>
      <w:r>
        <w:br w:type="page"/>
      </w:r>
    </w:p>
    <w:bookmarkEnd w:id="17"/>
    <w:bookmarkStart w:id="18" w:name="baupflicht-baubeschreibung"/>
    <w:p>
      <w:pPr>
        <w:pStyle w:val="Heading1"/>
      </w:pPr>
      <w:r>
        <w:t xml:space="preserve">§ 5 Baupflicht, Baubeschreibung</w:t>
      </w:r>
    </w:p>
    <w:p>
      <w:pPr>
        <w:pStyle w:val="FirstParagraph"/>
      </w:pPr>
      <w:r>
        <w:rPr>
          <w:b/>
          <w:bCs/>
        </w:rPr>
        <w:t xml:space="preserve">5.1</w:t>
      </w:r>
      <w:r>
        <w:t xml:space="preserve"> </w:t>
      </w:r>
      <w:r>
        <w:t xml:space="preserve">Der Verkäufer verpflichtet sich, den Kaufgegenstand nach Maßgabe der Baubeschreibung in der Fassung Februar 2026, Version 7.2, der Bezugsurkunden und der diesem Vertrag zugrunde liegenden Pläne herzustellen.</w:t>
      </w:r>
    </w:p>
    <w:p>
      <w:pPr>
        <w:pStyle w:val="BodyText"/>
      </w:pPr>
      <w:r>
        <w:rPr>
          <w:b/>
          <w:bCs/>
        </w:rPr>
        <w:t xml:space="preserve">5.2</w:t>
      </w:r>
      <w:r>
        <w:t xml:space="preserve"> </w:t>
      </w:r>
      <w:r>
        <w:t xml:space="preserve">Planung, Projektsteuerung und Objektüberwachung</w:t>
      </w:r>
    </w:p>
    <w:p>
      <w:pPr>
        <w:pStyle w:val="BodyText"/>
      </w:pPr>
      <w:r>
        <w:t xml:space="preserve">Der Verkäufer organisiert die Planung, Fachplanung, Projektsteuerung und Objektüberwachung des Bauvorhabens in eigener Verantwortung.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p>
      <w:pPr>
        <w:pStyle w:val="BodyText"/>
      </w:pPr>
      <w:r>
        <w:t xml:space="preserve">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p>
      <w:pPr>
        <w:pStyle w:val="BodyText"/>
      </w:pPr>
      <w:r>
        <w:rPr>
          <w:b/>
          <w:bCs/>
        </w:rPr>
        <w:t xml:space="preserve">5.3</w:t>
      </w:r>
      <w:r>
        <w:t xml:space="preserve"> </w:t>
      </w:r>
      <w:r>
        <w:t xml:space="preserve">Soweit die Baubeschreibung Wahlmöglichkeiten bei Material, Farbe oder Form vorsieht, erhält der Käufer im Rahmen einer Bemusterung die Möglichkeit, sofern der Baufortschritt es noch zulässt, eine entsprechende Auswahl zu treffen.</w:t>
      </w:r>
    </w:p>
    <w:p>
      <w:pPr>
        <w:pStyle w:val="BodyText"/>
      </w:pPr>
      <w:r>
        <w:t xml:space="preserve">Die Bemusterung erfolgt im vom Verkäufer benannten Bemusterungszentrum Berlin-Schöneberg. Im Kaufpreis enthalten sind drei Beratungsstunden. Darüber hinausgehender Beratungsaufwand des Verkäufers ist durch den Käufer mit einem Stundensatz von 180,00 EUR netto zu vergüten.</w:t>
      </w:r>
    </w:p>
    <w:p>
      <w:pPr>
        <w:pStyle w:val="BodyText"/>
      </w:pPr>
      <w:r>
        <w:t xml:space="preserve">Die Bemusterung hat spätestens vier Wochen nach Aufforderung des Verkäufers stattzufinden. Reagiert der Käufer auf die Aufforderung nicht oder nicht rechtzeitig, wählt der Verkäufer nach billigem Ermessen aus der Standardausstattung aus; ein Anspruch auf nachträgliche Änderung besteht nicht.</w:t>
      </w:r>
    </w:p>
    <w:p>
      <w:pPr>
        <w:pStyle w:val="BodyText"/>
      </w:pPr>
      <w:r>
        <w:rPr>
          <w:b/>
          <w:bCs/>
        </w:rPr>
        <w:t xml:space="preserve">5.4</w:t>
      </w:r>
      <w:r>
        <w:t xml:space="preserve"> </w:t>
      </w:r>
      <w:r>
        <w:t xml:space="preserve">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pStyle w:val="BodyText"/>
      </w:pPr>
      <w:r>
        <w:rPr>
          <w:b/>
          <w:bCs/>
        </w:rPr>
        <w:t xml:space="preserve">5.5</w:t>
      </w:r>
      <w:r>
        <w:t xml:space="preserve"> </w:t>
      </w:r>
      <w:r>
        <w:t xml:space="preserve">Soweit die Baubeschreibung keine oder unbestimmte Angaben hinsichtlich notwendiger Leistungen enthält, ist der Verkäufer gemäß § 315 BGB zur Leistungsbestimmung nach billigem Ermessen berechtigt. Maßgeblich ist eine solide, dem Gesamtcharakter des Bauvorhabens entsprechende Ausführung, wobei technische Zweckmäßigkeit, Lieferbarkeit, Wartbarkeit, Kostenstabilität und ein einheitliches Erscheinungsbild des Quartiers zu berücksichtigen sind.</w:t>
      </w:r>
    </w:p>
    <w:p>
      <w:pPr>
        <w:pStyle w:val="BodyText"/>
      </w:pPr>
      <w:r>
        <w:rPr>
          <w:b/>
          <w:bCs/>
        </w:rPr>
        <w:t xml:space="preserve">5.6</w:t>
      </w:r>
      <w:r>
        <w:t xml:space="preserve"> </w:t>
      </w:r>
      <w:r>
        <w:t xml:space="preserve">Der Verkäufer hat die Leistungen nach den anerkannten Regeln der Technik</w:t>
      </w:r>
      <w:r>
        <w:t xml:space="preserve"> </w:t>
      </w:r>
      <w:r>
        <w:rPr>
          <w:b/>
          <w:bCs/>
        </w:rPr>
        <w:t xml:space="preserve">zum Tag der Erteilung der Baugenehmigung</w:t>
      </w:r>
      <w:r>
        <w:t xml:space="preserve"> </w:t>
      </w:r>
      <w:r>
        <w:t xml:space="preserve">zu errichten. Spätere Änderungen der anerkannten Regeln der Technik wirken sich auf die geschuldete Leistung nicht aus.</w:t>
      </w:r>
    </w:p>
    <w:p>
      <w:pPr>
        <w:pStyle w:val="BodyText"/>
      </w:pPr>
      <w:r>
        <w:rPr>
          <w:b/>
          <w:bCs/>
        </w:rPr>
        <w:t xml:space="preserve">5.7</w:t>
      </w:r>
      <w:r>
        <w:t xml:space="preserve"> </w:t>
      </w:r>
      <w:r>
        <w:t xml:space="preserve">Änderungen in Planung und Ausführung durch den Verkäufer sind zulässig, wenn sie aufgrund behördlicher Vorgaben oder Auflagen, Gesetzesänderungen, statischer Notwendigkeit, Bauablauf-Erfordernissen oder sonstigen Rechtsgründen erforderlich sind.</w:t>
      </w:r>
    </w:p>
    <w:p>
      <w:pPr>
        <w:pStyle w:val="BodyText"/>
      </w:pPr>
      <w:r>
        <w:t xml:space="preserve">Änderungen sind ferner zulässig, wenn sie aufgrund der Fortschreibung der Ausführungsplanung, der Koordination der Fachgewerke, der Verfügbarkeit von Baustoffen oder der wirtschaftlichen Gesamtsteuerung des Quartiers zweckmäßig erscheinen und die gewöhnliche Nutzbarkeit des Kaufgegenstandes nicht wesentlich beeinträchtigen. Gleichwertige Ausführungen gelten nicht als Abweichung vom Bausoll.</w:t>
      </w:r>
    </w:p>
    <w:p>
      <w:pPr>
        <w:pStyle w:val="BodyText"/>
      </w:pPr>
      <w:r>
        <w:rPr>
          <w:b/>
          <w:bCs/>
        </w:rPr>
        <w:t xml:space="preserve">5.8</w:t>
      </w:r>
      <w:r>
        <w:t xml:space="preserve"> </w:t>
      </w:r>
      <w:r>
        <w:t xml:space="preserve">Termine</w:t>
      </w:r>
    </w:p>
    <w:p>
      <w:pPr>
        <w:pStyle w:val="BodyText"/>
      </w:pPr>
      <w:r>
        <w:t xml:space="preserve">5.8.1 Der Verkäufer wird die gemäß § 5.1 geschuldeten Bauleistungen voraussichtlich bis 30.09.2027 bezugsfertig herstellen.</w:t>
      </w:r>
    </w:p>
    <w:p>
      <w:pPr>
        <w:pStyle w:val="BodyText"/>
      </w:pPr>
      <w:r>
        <w:t xml:space="preserve">Behinderungen bei der Herstellung des Bauvorhabens aus Umständen, die vom Verkäufer nicht zu vertreten sind, z. B. höhere Gewalt, Pandemielagen, Lieferengpässe, Streik, Aussperrung, Witterungsverhältnisse einschließlich Hitze- und Kälteperioden, Wechselkursbewegungen bei Baustoffen, Personalengpässe oder sonstige für den Verkäufer unabwendbare oder nicht zumutbare Umstände, verlängern die jeweils betroffene Herstellungsfrist um die Dauer der Behinderung zuzüglich eines angemessenen Zuschlags für die Wiederaufnahme.</w:t>
      </w:r>
    </w:p>
    <w:p>
      <w:pPr>
        <w:pStyle w:val="BodyText"/>
      </w:pPr>
      <w:r>
        <w:t xml:space="preserve">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pStyle w:val="BodyText"/>
      </w:pPr>
      <w:r>
        <w:rPr>
          <w:b/>
          <w:bCs/>
        </w:rPr>
        <w:t xml:space="preserve">5.9</w:t>
      </w:r>
      <w:r>
        <w:t xml:space="preserve"> </w:t>
      </w:r>
      <w:r>
        <w:t xml:space="preserve">Wohnfläche</w:t>
      </w:r>
    </w:p>
    <w:p>
      <w:pPr>
        <w:pStyle w:val="BodyText"/>
      </w:pPr>
      <w:r>
        <w:t xml:space="preserve">5.9.1 Die nach Maßgabe des § 5.1 herzustellende Wohnfläche beträgt ca. 118,4 m². Die Flächenberechnung erfolgt nach DIN 277.</w:t>
      </w:r>
    </w:p>
    <w:p>
      <w:pPr>
        <w:pStyle w:val="BodyText"/>
      </w:pPr>
      <w:r>
        <w:t xml:space="preserve">5.9.2 Aus einer Unterschreitung der vorstehenden Wohnfläche kann der Käufer nur Rechte herleiten, wenn die Unterschreitung 8 % der vorstehenden Wohnfläche übersteigt.</w:t>
      </w:r>
    </w:p>
    <w:p>
      <w:pPr>
        <w:pStyle w:val="BodyText"/>
      </w:pPr>
      <w:r>
        <w:rPr>
          <w:b/>
          <w:bCs/>
        </w:rPr>
        <w:t xml:space="preserve">5.10</w:t>
      </w:r>
      <w:r>
        <w:t xml:space="preserve"> </w:t>
      </w:r>
      <w:r>
        <w:t xml:space="preserve">Energiestandard. Das Bauvorhaben wird nach den zum Tag der Baugenehmigung geltenden energetischen Anforderungen errichtet. Eine bestimmte KfW-Effizienzhausklasse oder ein bestimmter GEG-Standard wird nicht geschuldet.</w:t>
      </w:r>
    </w:p>
    <w:p>
      <w:pPr>
        <w:pStyle w:val="BodyText"/>
      </w:pPr>
      <w:r>
        <w:rPr>
          <w:b/>
          <w:bCs/>
        </w:rPr>
        <w:t xml:space="preserve">5.11</w:t>
      </w:r>
      <w:r>
        <w:t xml:space="preserve"> </w:t>
      </w:r>
      <w:r>
        <w:t xml:space="preserve">Baugrund, Grundwasser und Baugrube. Dem Verkäufer liegen orientierende Baugrund- und Gründungsempfehlungen vor. Die darin enthaltenen Annahmen beruhen auf punktuellen Aufschlüssen und werden im Zuge der weiteren Ausführung fortgeschrieben.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nach Fertigstellung nicht wesentlich beeinträchtigt wird. Die hierdurch verursachten Bauzeitverlängerungen gelten als vom Verkäufer nicht zu vertreten.</w:t>
      </w:r>
    </w:p>
    <w:p>
      <w:pPr>
        <w:pStyle w:val="BodyText"/>
      </w:pPr>
      <w:r>
        <w:rPr>
          <w:b/>
          <w:bCs/>
        </w:rPr>
        <w:t xml:space="preserve">5.12</w:t>
      </w:r>
      <w:r>
        <w:t xml:space="preserve"> </w:t>
      </w:r>
      <w:r>
        <w:t xml:space="preserve">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p>
      <w:pPr>
        <w:pStyle w:val="BodyText"/>
      </w:pPr>
      <w:r>
        <w:rPr>
          <w:b/>
          <w:bCs/>
        </w:rPr>
        <w:t xml:space="preserve">5.13</w:t>
      </w:r>
      <w:r>
        <w:t xml:space="preserve"> </w:t>
      </w:r>
      <w:r>
        <w:t xml:space="preserve">Technische Anlagen, Wartung, Betrieb. Der Käufer nimmt zur Kenntnis, dass Aufzüge, Lüftungsanlagen, Entwässerungsanlagen, Pumpen, Tiefgaragenentlüftung, Brandmelde- und Rauchabzugseinrichtungen, Heizungs- und Warmwassertechnik sowie etwaige Lade- oder Photovoltaikinfrastruktur regelmäßiger Wartung bedürfen. Der Verkäufer oder der Erstverwalter ist berechtigt, zur Sicherstellung der Erstbetriebsphase Wartungs-, Betriebsführungs-, Mess- und Energielieferungsverträge mit einer anfänglichen Laufzeit von bis zu sieben Jahren abzuschließen. Die daraus entstehenden Kosten tragen die Eigentümer nach Maßgabe der Teilungserklärung.</w:t>
      </w:r>
    </w:p>
    <w:p>
      <w:pPr>
        <w:pStyle w:val="BodyText"/>
      </w:pPr>
      <w:r>
        <w:rPr>
          <w:b/>
          <w:bCs/>
        </w:rPr>
        <w:t xml:space="preserve">5.14</w:t>
      </w:r>
      <w:r>
        <w:t xml:space="preserve"> </w:t>
      </w:r>
      <w:r>
        <w:t xml:space="preserve">Kostenanpassung bei nachträglichen Anforderungen. Werden nach Beurkundung aufgrund öffentlich-rechtlicher Vorgaben, Förderbedingungen, geänderter technischer Anforderungen, Energie- oder Versorgungskonzepte oder infolge der Fortschreibung der Fachplanung Maßnahmen erforderlich oder zweckmäßig, die in der Kalkulation des Verkäufers nicht enthalten waren, kann der Verkäufer eine angemessene Anpassung der hierdurch betroffenen Kostenpositionen verlangen. Der Verkäufer wird dem Käufer die Anpassung in Textform erläutern; eine Offenlegung der Gesamtkalkulation des Projekts ist nicht geschuldet.</w:t>
      </w:r>
    </w:p>
    <w:p>
      <w:pPr>
        <w:pStyle w:val="BodyText"/>
      </w:pPr>
      <w:r>
        <w:rPr>
          <w:b/>
          <w:bCs/>
        </w:rPr>
        <w:t xml:space="preserve">5.15</w:t>
      </w:r>
      <w:r>
        <w:t xml:space="preserve"> </w:t>
      </w:r>
      <w:r>
        <w:t xml:space="preserve">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p>
      <w:r>
        <w:br w:type="page"/>
      </w:r>
    </w:p>
    <w:bookmarkEnd w:id="18"/>
    <w:bookmarkStart w:id="19" w:name="Xf95df7023395c5238d26d19148165edbf6ad5ae"/>
    <w:p>
      <w:pPr>
        <w:pStyle w:val="Heading1"/>
      </w:pPr>
      <w:r>
        <w:t xml:space="preserve">§ 6 Wirtschaftlicher Besitzübergang, Abnahme, Schlüsselübergabe</w:t>
      </w:r>
    </w:p>
    <w:p>
      <w:pPr>
        <w:pStyle w:val="FirstParagraph"/>
      </w:pPr>
      <w:r>
        <w:rPr>
          <w:b/>
          <w:bCs/>
        </w:rPr>
        <w:t xml:space="preserve">6.1</w:t>
      </w:r>
      <w:r>
        <w:t xml:space="preserve"> </w:t>
      </w:r>
      <w:r>
        <w:t xml:space="preserve">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p>
      <w:pPr>
        <w:pStyle w:val="BodyText"/>
      </w:pPr>
      <w:r>
        <w:rPr>
          <w:b/>
          <w:bCs/>
        </w:rPr>
        <w:t xml:space="preserve">6.2</w:t>
      </w:r>
      <w:r>
        <w:t xml:space="preserve"> </w:t>
      </w:r>
      <w:r>
        <w:t xml:space="preserve">Abnahme der Sondereigentumseinheit</w:t>
      </w:r>
    </w:p>
    <w:p>
      <w:pPr>
        <w:pStyle w:val="BodyText"/>
      </w:pPr>
      <w:r>
        <w:t xml:space="preserve">6.2.1 Die Sondereigentumseinheit wird vor Bezug nach einer gemeinsamen Begehung abgenommen. Hierzu teilt der Verkäufer dem Käufer schriftlich die bezugsfertige Herstellung mit und fordert ihn unter Setzung einer Frist von zehn Tagen zur Begehung und Abnahme auf.</w:t>
      </w:r>
    </w:p>
    <w:p>
      <w:pPr>
        <w:pStyle w:val="BodyText"/>
      </w:pPr>
      <w:r>
        <w:t xml:space="preserve">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p>
      <w:pPr>
        <w:pStyle w:val="BodyText"/>
      </w:pPr>
      <w:r>
        <w:t xml:space="preserve">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p>
      <w:pPr>
        <w:pStyle w:val="BodyText"/>
      </w:pPr>
      <w:r>
        <w:rPr>
          <w:b/>
          <w:bCs/>
        </w:rPr>
        <w:t xml:space="preserve">6.3</w:t>
      </w:r>
      <w:r>
        <w:t xml:space="preserve"> </w:t>
      </w:r>
      <w:r>
        <w:t xml:space="preserve">Abnahme des Gemeinschaftseigentums</w:t>
      </w:r>
    </w:p>
    <w:p>
      <w:pPr>
        <w:pStyle w:val="BodyText"/>
      </w:pPr>
      <w:r>
        <w:t xml:space="preserve">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p>
      <w:pPr>
        <w:pStyle w:val="BodyText"/>
      </w:pPr>
      <w:r>
        <w:t xml:space="preserve">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p>
      <w:pPr>
        <w:pStyle w:val="BodyText"/>
      </w:pPr>
      <w:r>
        <w:t xml:space="preserve">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p>
      <w:r>
        <w:br w:type="page"/>
      </w:r>
    </w:p>
    <w:bookmarkEnd w:id="19"/>
    <w:bookmarkStart w:id="20" w:name="erschließungskosten"/>
    <w:p>
      <w:pPr>
        <w:pStyle w:val="Heading1"/>
      </w:pPr>
      <w:r>
        <w:t xml:space="preserve">§ 7 Erschließungskosten</w:t>
      </w:r>
    </w:p>
    <w:p>
      <w:pPr>
        <w:pStyle w:val="FirstParagraph"/>
      </w:pPr>
      <w:r>
        <w:rPr>
          <w:b/>
          <w:bCs/>
        </w:rPr>
        <w:t xml:space="preserve">7.1</w:t>
      </w:r>
      <w:r>
        <w:t xml:space="preserve"> </w:t>
      </w:r>
      <w:r>
        <w:t xml:space="preserve">Sämtliche Kosten der Erschließung sowie der erstmaligen Anschlüsse des Kaufgegenstandes an Ver- und Entsorgungsanlagen einschließlich Anschlussgebühren, Herstellungsbeiträge und Abgaben nach den entsprechenden Verordnungen des Landes Brandenburg trägt der Käufer anteilig nach seinem Miteigentumsanteil.</w:t>
      </w:r>
    </w:p>
    <w:p>
      <w:pPr>
        <w:pStyle w:val="BodyText"/>
      </w:pPr>
      <w:r>
        <w:rPr>
          <w:b/>
          <w:bCs/>
        </w:rPr>
        <w:t xml:space="preserve">7.2</w:t>
      </w:r>
      <w:r>
        <w:t xml:space="preserve"> </w:t>
      </w:r>
      <w:r>
        <w:t xml:space="preserve">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p>
      <w:r>
        <w:br w:type="page"/>
      </w:r>
    </w:p>
    <w:bookmarkEnd w:id="20"/>
    <w:bookmarkStart w:id="21" w:name="zutritt-zur-baustelle"/>
    <w:p>
      <w:pPr>
        <w:pStyle w:val="Heading1"/>
      </w:pPr>
      <w:r>
        <w:t xml:space="preserve">§ 8 Zutritt zur Baustelle</w:t>
      </w:r>
    </w:p>
    <w:p>
      <w:pPr>
        <w:pStyle w:val="FirstParagraph"/>
      </w:pPr>
      <w:r>
        <w:rPr>
          <w:b/>
          <w:bCs/>
        </w:rPr>
        <w:t xml:space="preserve">8.1</w:t>
      </w:r>
      <w:r>
        <w:t xml:space="preserve"> </w:t>
      </w:r>
      <w:r>
        <w:t xml:space="preserve">Der Käufer darf das Grundstück während der Bauzeit aus Gründen der Verkehrssicherheit, des Arbeitsschutzes und der geordneten Bauabwicklung nur nach vorheriger Abstimmung mit dem Verkäufer betreten. Der Verkäufer bietet dem Käufer nach billigem Ermessen bis zu zwei begleitete Besichtigungstermine vor Bezugsfertigkeit sowie einen Termin zur Abnahme der Sondereigentumseinheit an. Weitere Termine können insbesondere bei anstehenden Ratenmeilensteinen ermöglicht werden, sofern Bauablauf, Sicherheitsvorgaben, Nachunternehmerinteressen, Datenschutz und der Vertrieb anderer Einheiten nicht beeinträchtigt werden.</w:t>
      </w:r>
    </w:p>
    <w:p>
      <w:pPr>
        <w:pStyle w:val="BodyText"/>
      </w:pPr>
      <w:r>
        <w:rPr>
          <w:b/>
          <w:bCs/>
        </w:rPr>
        <w:t xml:space="preserve">8.2</w:t>
      </w:r>
      <w:r>
        <w:t xml:space="preserve"> </w:t>
      </w:r>
      <w:r>
        <w:t xml:space="preserve">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p>
      <w:pPr>
        <w:pStyle w:val="BodyText"/>
      </w:pPr>
      <w:r>
        <w:rPr>
          <w:b/>
          <w:bCs/>
        </w:rPr>
        <w:t xml:space="preserve">8.3</w:t>
      </w:r>
      <w:r>
        <w:t xml:space="preserve"> </w:t>
      </w:r>
      <w:r>
        <w:t xml:space="preserve">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p>
      <w:r>
        <w:br w:type="page"/>
      </w:r>
    </w:p>
    <w:bookmarkEnd w:id="21"/>
    <w:bookmarkStart w:id="22" w:name="haftung-mängelrechte-verzug-verjährung"/>
    <w:p>
      <w:pPr>
        <w:pStyle w:val="Heading1"/>
      </w:pPr>
      <w:r>
        <w:t xml:space="preserve">§ 9 Haftung, Mängelrechte, Verzug, Verjährung</w:t>
      </w:r>
    </w:p>
    <w:p>
      <w:pPr>
        <w:pStyle w:val="FirstParagraph"/>
      </w:pPr>
      <w:r>
        <w:rPr>
          <w:b/>
          <w:bCs/>
        </w:rPr>
        <w:t xml:space="preserve">9.1</w:t>
      </w:r>
      <w:r>
        <w:t xml:space="preserve"> </w:t>
      </w:r>
      <w:r>
        <w:t xml:space="preserve">Der Verkäufer schuldet den lastenfreien Besitz- und Eigentumsübergang des Vertragsgegenstandes, soweit nicht Lasten und Rechte ausdrücklich übernommen werden.</w:t>
      </w:r>
    </w:p>
    <w:p>
      <w:pPr>
        <w:pStyle w:val="BodyText"/>
      </w:pPr>
      <w:r>
        <w:rPr>
          <w:b/>
          <w:bCs/>
        </w:rPr>
        <w:t xml:space="preserve">9.2</w:t>
      </w:r>
      <w:r>
        <w:t xml:space="preserve"> </w:t>
      </w:r>
      <w:r>
        <w:t xml:space="preserve">Der Verkäufer schuldet weder die Verwendbarkeit des Kaufgegenstandes für Zwecke des Käufers noch dessen Eignung zur Erreichung steuerlicher Ziele des Käufers.</w:t>
      </w:r>
    </w:p>
    <w:p>
      <w:pPr>
        <w:pStyle w:val="BodyText"/>
      </w:pPr>
      <w:r>
        <w:rPr>
          <w:b/>
          <w:bCs/>
        </w:rPr>
        <w:t xml:space="preserve">9.3</w:t>
      </w:r>
      <w:r>
        <w:t xml:space="preserve"> </w:t>
      </w:r>
      <w:r>
        <w:t xml:space="preserve">Alle Ansprüche und Rechte des Käufers wegen eines Sachmangels des Grundstücks sind ausgeschlossen, ausgenommen Schadensersatzansprüche wegen Vorsatzes.</w:t>
      </w:r>
    </w:p>
    <w:p>
      <w:pPr>
        <w:pStyle w:val="BodyText"/>
      </w:pPr>
      <w:r>
        <w:rPr>
          <w:b/>
          <w:bCs/>
        </w:rPr>
        <w:t xml:space="preserve">9.4</w:t>
      </w:r>
      <w:r>
        <w:t xml:space="preserve"> </w:t>
      </w:r>
      <w:r>
        <w:t xml:space="preserve">Hinsichtlich des herzustellenden Bauwerks gelten die Regelungen des Werkvertragsrechts gem. §§ 633 ff. BGB mit folgender Maßgabe und zur Sicherung einer geordneten Gewährleistungsabwicklung:</w:t>
      </w:r>
    </w:p>
    <w:p>
      <w:pPr>
        <w:pStyle w:val="Compact"/>
        <w:numPr>
          <w:ilvl w:val="0"/>
          <w:numId w:val="1002"/>
        </w:numPr>
      </w:pPr>
      <w:r>
        <w:t xml:space="preserve">Mängelanzeigen sind mit konkreter Beschreibung, Lageangabe, Foto und gewünschter Kontaktaufnahme an die vom Verkäufer benannte Gewährleistungsstelle zu richten.</w:t>
      </w:r>
    </w:p>
    <w:p>
      <w:pPr>
        <w:pStyle w:val="Compact"/>
        <w:numPr>
          <w:ilvl w:val="0"/>
          <w:numId w:val="1002"/>
        </w:numPr>
      </w:pPr>
      <w:r>
        <w:t xml:space="preserve">Der Käufer wird dem Verkäufer zunächst Gelegenheit zur Prüfung und Nacherfüllung geben; Ersatzvornahmen vor Abschluss dieser Prüfung sind nur bei Gefahr im Verzug oder nach schriftlicher Freigabe des Verkäufers erstattungsfähig.</w:t>
      </w:r>
    </w:p>
    <w:p>
      <w:pPr>
        <w:pStyle w:val="Compact"/>
        <w:numPr>
          <w:ilvl w:val="0"/>
          <w:numId w:val="1002"/>
        </w:numPr>
      </w:pPr>
      <w:r>
        <w:t xml:space="preserve">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w:t>
      </w:r>
    </w:p>
    <w:p>
      <w:pPr>
        <w:pStyle w:val="Compact"/>
        <w:numPr>
          <w:ilvl w:val="0"/>
          <w:numId w:val="1002"/>
        </w:numPr>
      </w:pPr>
      <w:r>
        <w:t xml:space="preserve">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w:t>
      </w:r>
    </w:p>
    <w:p>
      <w:pPr>
        <w:pStyle w:val="Compact"/>
        <w:numPr>
          <w:ilvl w:val="0"/>
          <w:numId w:val="1002"/>
        </w:numPr>
      </w:pPr>
      <w:r>
        <w:t xml:space="preserve">Die Verjährungsfrist für Mängelansprüche beträgt zwei Jahre ab der vom Verkäufer dokumentierten Abnahmebestätigung, soweit zwingendes Recht keine längere Frist vorschreibt.</w:t>
      </w:r>
    </w:p>
    <w:p>
      <w:pPr>
        <w:pStyle w:val="FirstParagraph"/>
      </w:pPr>
      <w:r>
        <w:rPr>
          <w:b/>
          <w:bCs/>
        </w:rPr>
        <w:t xml:space="preserve">9.5</w:t>
      </w:r>
      <w:r>
        <w:t xml:space="preserve"> </w:t>
      </w:r>
      <w:r>
        <w:t xml:space="preserve">Schäden an Gebrauchsteilen und sonstigen Bauteilen, die aufgrund bestimmungsgemäßen Gebrauches über eine nur begrenzte Nutzungsdauer verfügen und/oder ständiger Wartung bedürfen, stellen keinen Mangel dar.</w:t>
      </w:r>
    </w:p>
    <w:p>
      <w:pPr>
        <w:pStyle w:val="BodyText"/>
      </w:pPr>
      <w:r>
        <w:rPr>
          <w:b/>
          <w:bCs/>
        </w:rPr>
        <w:t xml:space="preserve">9.6</w:t>
      </w:r>
      <w:r>
        <w:t xml:space="preserve"> </w:t>
      </w:r>
      <w:r>
        <w:t xml:space="preserve">Werden bei Übergabe oder Abnahme unwesentliche Mängel oder Restarbeiten festgestellt, kann der Verkäufer zur Beschleunigung der Übergabe einen Restarbeitenplan mit angemessener Kostenbewertung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p>
      <w:r>
        <w:br w:type="page"/>
      </w:r>
    </w:p>
    <w:bookmarkEnd w:id="22"/>
    <w:bookmarkStart w:id="23" w:name="vormerkung"/>
    <w:p>
      <w:pPr>
        <w:pStyle w:val="Heading1"/>
      </w:pPr>
      <w:r>
        <w:t xml:space="preserve">§ 10 Vormerkung</w:t>
      </w:r>
    </w:p>
    <w:p>
      <w:pPr>
        <w:pStyle w:val="FirstParagraph"/>
      </w:pPr>
      <w:r>
        <w:rPr>
          <w:b/>
          <w:bCs/>
        </w:rPr>
        <w:t xml:space="preserve">10.1</w:t>
      </w:r>
      <w:r>
        <w:t xml:space="preserve"> </w:t>
      </w:r>
      <w:r>
        <w:t xml:space="preserve">Zur Sicherung des Anspruchs des Käufers auf Verschaffung des Eigentums an dem Kaufgegenstand wird die Eintragung einer Eigentumsvormerkung nach § 883 BGB zugunsten des Käufers im Wohnungsgrundbuch durch den Verkäufer bewilligt und durch die Parteien beantragt.</w:t>
      </w:r>
    </w:p>
    <w:p>
      <w:pPr>
        <w:pStyle w:val="BodyText"/>
      </w:pPr>
      <w:r>
        <w:rPr>
          <w:b/>
          <w:bCs/>
        </w:rPr>
        <w:t xml:space="preserve">10.2</w:t>
      </w:r>
      <w:r>
        <w:t xml:space="preserve"> </w:t>
      </w:r>
      <w:r>
        <w:t xml:space="preserve">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p>
      <w:pPr>
        <w:pStyle w:val="BodyText"/>
      </w:pPr>
      <w:r>
        <w:rPr>
          <w:b/>
          <w:bCs/>
        </w:rPr>
        <w:t xml:space="preserve">10.3</w:t>
      </w:r>
      <w:r>
        <w:t xml:space="preserve"> </w:t>
      </w:r>
      <w:r>
        <w:t xml:space="preserve">Der Käufer beantragt schon heute die Löschung der Eigentumsvormerkung Zug um Zug mit Vollzug der Auflassung.</w:t>
      </w:r>
    </w:p>
    <w:p>
      <w:r>
        <w:br w:type="page"/>
      </w:r>
    </w:p>
    <w:bookmarkEnd w:id="23"/>
    <w:bookmarkStart w:id="24" w:name="auflassung"/>
    <w:p>
      <w:pPr>
        <w:pStyle w:val="Heading1"/>
      </w:pPr>
      <w:r>
        <w:t xml:space="preserve">§ 11 Auflassung</w:t>
      </w:r>
    </w:p>
    <w:p>
      <w:pPr>
        <w:pStyle w:val="FirstParagraph"/>
      </w:pPr>
      <w:r>
        <w:t xml:space="preserve">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p>
      <w:r>
        <w:br w:type="page"/>
      </w:r>
    </w:p>
    <w:bookmarkEnd w:id="24"/>
    <w:bookmarkStart w:id="25" w:name="vollmachten"/>
    <w:p>
      <w:pPr>
        <w:pStyle w:val="Heading1"/>
      </w:pPr>
      <w:r>
        <w:t xml:space="preserve">§ 12 Vollmachten</w:t>
      </w:r>
    </w:p>
    <w:p>
      <w:pPr>
        <w:pStyle w:val="FirstParagraph"/>
      </w:pPr>
      <w:r>
        <w:rPr>
          <w:b/>
          <w:bCs/>
        </w:rPr>
        <w:t xml:space="preserve">12.1</w:t>
      </w:r>
      <w:r>
        <w:t xml:space="preserve"> </w:t>
      </w:r>
      <w:r>
        <w:t xml:space="preserve">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p>
      <w:pPr>
        <w:pStyle w:val="BodyText"/>
      </w:pPr>
      <w:r>
        <w:rPr>
          <w:b/>
          <w:bCs/>
        </w:rPr>
        <w:t xml:space="preserve">12.2</w:t>
      </w:r>
      <w:r>
        <w:t xml:space="preserve"> </w:t>
      </w:r>
      <w:r>
        <w:t xml:space="preserve">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p>
      <w:pPr>
        <w:pStyle w:val="BodyText"/>
      </w:pPr>
      <w:r>
        <w:rPr>
          <w:b/>
          <w:bCs/>
        </w:rPr>
        <w:t xml:space="preserve">12.3</w:t>
      </w:r>
      <w:r>
        <w:t xml:space="preserve"> </w:t>
      </w:r>
      <w:r>
        <w:t xml:space="preserve">Der Käufer bevollmächtigt den Verkäufer ferner, sämtliche zur Durchführung dieses Vertrages erforderlichen Anträge, Erklärungen und Verzichte beim Grundbuchamt, bei Behörden und gegenüber Dritten abzugeben.</w:t>
      </w:r>
    </w:p>
    <w:p>
      <w:r>
        <w:br w:type="page"/>
      </w:r>
    </w:p>
    <w:bookmarkEnd w:id="25"/>
    <w:bookmarkStart w:id="26" w:name="schlussbestimmungen"/>
    <w:p>
      <w:pPr>
        <w:pStyle w:val="Heading1"/>
      </w:pPr>
      <w:r>
        <w:t xml:space="preserve">§ 13 Schlussbestimmungen</w:t>
      </w:r>
    </w:p>
    <w:p>
      <w:pPr>
        <w:pStyle w:val="FirstParagraph"/>
      </w:pPr>
      <w:r>
        <w:rPr>
          <w:b/>
          <w:bCs/>
        </w:rPr>
        <w:t xml:space="preserve">13.1</w:t>
      </w:r>
      <w:r>
        <w:t xml:space="preserve"> </w:t>
      </w:r>
      <w:r>
        <w:t xml:space="preserve">Mündliche Nebenabreden bestehen nicht. Änderungen und Ergänzungen dieses Vertrages bedürfen der notariellen Beurkundung, soweit gesetzlich vorgeschrieben, im Übrigen der Schriftform.</w:t>
      </w:r>
    </w:p>
    <w:p>
      <w:pPr>
        <w:pStyle w:val="BodyText"/>
      </w:pPr>
      <w:r>
        <w:rPr>
          <w:b/>
          <w:bCs/>
        </w:rPr>
        <w:t xml:space="preserve">13.2</w:t>
      </w:r>
      <w:r>
        <w:t xml:space="preserve"> </w:t>
      </w:r>
      <w:r>
        <w:t xml:space="preserve">Sollte eine Bestimmung dieses Vertrages unwirksam sein oder werden, so wird die Wirksamkeit der übrigen Bestimmungen davon nicht berührt.</w:t>
      </w:r>
    </w:p>
    <w:p>
      <w:pPr>
        <w:pStyle w:val="BodyText"/>
      </w:pPr>
      <w:r>
        <w:rPr>
          <w:b/>
          <w:bCs/>
        </w:rPr>
        <w:t xml:space="preserve">13.3</w:t>
      </w:r>
      <w:r>
        <w:t xml:space="preserve"> </w:t>
      </w:r>
      <w:r>
        <w:t xml:space="preserve">Gerichtsstand für sämtliche Streitigkeiten aus diesem Vertrag ist Berlin, soweit dies rechtlich zulässig ist.</w:t>
      </w:r>
    </w:p>
    <w:p>
      <w:pPr>
        <w:pStyle w:val="BodyText"/>
      </w:pPr>
      <w:r>
        <w:rPr>
          <w:b/>
          <w:bCs/>
        </w:rPr>
        <w:t xml:space="preserve">13.4</w:t>
      </w:r>
      <w:r>
        <w:t xml:space="preserve"> </w:t>
      </w:r>
      <w:r>
        <w:t xml:space="preserve">Die Kosten dieser Urkunde und ihres Vollzugs trägt der Käufer.</w:t>
      </w:r>
    </w:p>
    <w:p>
      <w:pPr>
        <w:pStyle w:val="BodyText"/>
      </w:pPr>
      <w:r>
        <w:rPr>
          <w:b/>
          <w:bCs/>
        </w:rPr>
        <w:t xml:space="preserve">13.5</w:t>
      </w:r>
      <w:r>
        <w:t xml:space="preserve"> </w:t>
      </w:r>
      <w:r>
        <w:t xml:space="preserve">Der Käufer trägt die auf seine Einheit entfallenden Kosten der erstmaligen Einrichtung und Übergabe der WEG-Verwaltung, der technischen Betriebsführung, der Einweisung in gemeinschaftliche Anlagen sowie der für die Erstbetriebsphase abgeschlossenen Wartungs- und Dienstleistungsverträge. Eine Überprüfung der Wirtschaftlichkeit dieser Verträge durch einzelne Erwerber ist vor Übergabe des Gemeinschaftseigentums nicht geschuldet.</w:t>
      </w:r>
    </w:p>
    <w:p>
      <w:r>
        <w:br w:type="page"/>
      </w:r>
    </w:p>
    <w:bookmarkEnd w:id="26"/>
    <w:bookmarkStart w:id="27" w:name="belehrungen"/>
    <w:p>
      <w:pPr>
        <w:pStyle w:val="Heading1"/>
      </w:pPr>
      <w:r>
        <w:t xml:space="preserve">§ 14 Belehrungen</w:t>
      </w:r>
    </w:p>
    <w:p>
      <w:pPr>
        <w:pStyle w:val="FirstParagraph"/>
      </w:pPr>
      <w:r>
        <w:t xml:space="preserve">Der Notar hat die Beteiligten belehrt über:</w:t>
      </w:r>
    </w:p>
    <w:p>
      <w:pPr>
        <w:pStyle w:val="Compact"/>
        <w:numPr>
          <w:ilvl w:val="0"/>
          <w:numId w:val="1003"/>
        </w:numPr>
      </w:pPr>
      <w:r>
        <w:t xml:space="preserve">den Inhalt und die Bedeutung dieses Vertrages,</w:t>
      </w:r>
    </w:p>
    <w:p>
      <w:pPr>
        <w:pStyle w:val="Compact"/>
        <w:numPr>
          <w:ilvl w:val="0"/>
          <w:numId w:val="1003"/>
        </w:numPr>
      </w:pPr>
      <w:r>
        <w:t xml:space="preserve">die Bedeutung der Bezugnahme nach § 13a BeurkG,</w:t>
      </w:r>
    </w:p>
    <w:p>
      <w:pPr>
        <w:pStyle w:val="Compact"/>
        <w:numPr>
          <w:ilvl w:val="0"/>
          <w:numId w:val="1003"/>
        </w:numPr>
      </w:pPr>
      <w:r>
        <w:t xml:space="preserve">die Eigentumsübertragung erst mit Eintragung im Grundbuch,</w:t>
      </w:r>
    </w:p>
    <w:p>
      <w:pPr>
        <w:pStyle w:val="Compact"/>
        <w:numPr>
          <w:ilvl w:val="0"/>
          <w:numId w:val="1003"/>
        </w:numPr>
      </w:pPr>
      <w:r>
        <w:t xml:space="preserve">die Bedeutung der Auflassungsvormerkung,</w:t>
      </w:r>
    </w:p>
    <w:p>
      <w:pPr>
        <w:pStyle w:val="Compact"/>
        <w:numPr>
          <w:ilvl w:val="0"/>
          <w:numId w:val="1003"/>
        </w:numPr>
      </w:pPr>
      <w:r>
        <w:t xml:space="preserve">die Bedeutung der Belastungsvollmacht,</w:t>
      </w:r>
    </w:p>
    <w:p>
      <w:pPr>
        <w:pStyle w:val="Compact"/>
        <w:numPr>
          <w:ilvl w:val="0"/>
          <w:numId w:val="1003"/>
        </w:numPr>
      </w:pPr>
      <w:r>
        <w:t xml:space="preserve">die gesetzliche Verjährungsfrist für Mängelansprüche im Werkvertragsrecht,</w:t>
      </w:r>
    </w:p>
    <w:p>
      <w:pPr>
        <w:pStyle w:val="Compact"/>
        <w:numPr>
          <w:ilvl w:val="0"/>
          <w:numId w:val="1003"/>
        </w:numPr>
      </w:pPr>
      <w:r>
        <w:t xml:space="preserve">die Möglichkeit, eigene technische Berater hinzuzuziehen, wobei der Notar keine technische Prüfung des Baugrunds, der Bauüberwachung, der Fachplanung oder der Wirtschaftlichkeit von Betriebs- und Wartungsverträgen vorgenommen hat.</w:t>
      </w:r>
    </w:p>
    <w:p>
      <w:pPr>
        <w:pStyle w:val="FirstParagraph"/>
      </w:pPr>
      <w:r>
        <w:t xml:space="preserve">Der Notar hat darauf hingewiesen,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waren nicht Gegenstand der notariellen Prüfung.</w:t>
      </w:r>
    </w:p>
    <w:p>
      <w:r>
        <w:br w:type="page"/>
      </w:r>
    </w:p>
    <w:bookmarkEnd w:id="27"/>
    <w:bookmarkStart w:id="28" w:name="X4f67cac4119bae2ce85a655d240d61c8e478a46"/>
    <w:p>
      <w:pPr>
        <w:pStyle w:val="Heading1"/>
      </w:pPr>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18. Juli 2024, UR-Nr. 612/2024 W des Notars Egmont Wachtelborn, Berlin, in der Fassung des 1. bis 7. Nachtrags (UR-Nrn. 731/2024 W, 942/2024 W, 28/2025 W, 412/2025 W, 698/2025 W, 1108/2025 W und 187/2026 W). Auf das Verlesen wird gemäß § 13a BeurkG verzichtet (siehe Unterschriftenvermerk).</w:t>
      </w:r>
    </w:p>
    <w:p>
      <w:pPr>
        <w:pStyle w:val="BodyText"/>
      </w:pPr>
      <w:r>
        <w:rPr>
          <w:b/>
          <w:bCs/>
        </w:rPr>
        <w:t xml:space="preserve">Anhang a</w:t>
      </w:r>
      <w:r>
        <w:t xml:space="preserve"> </w:t>
      </w:r>
      <w:r>
        <w:t xml:space="preserve">— beglaubigte Fotokopie der Vollmacht der Erschienenen zu 1. vom 22.10.2025, UR-Nr. 1402/2025 W des Notars Egmont Wachtelborn, Berlin.</w:t>
      </w:r>
    </w:p>
    <w:p>
      <w:pPr>
        <w:pStyle w:val="BodyText"/>
      </w:pPr>
      <w:r>
        <w:rPr>
          <w:b/>
          <w:bCs/>
        </w:rPr>
        <w:t xml:space="preserve">Lose übergebene Unterlagen (nicht Gegenstand der Beurkundung):</w:t>
      </w:r>
      <w:r>
        <w:t xml:space="preserve"> </w:t>
      </w:r>
      <w:r>
        <w:t xml:space="preserve">Baubeschreibung in der Fassung Februar 2026, Version 7.2; Abgeschlossenheitsbescheinigung; Aufteilungsplan-Auszug zur Einheit 4.27. Diese Unterlagen wurden dem Käufer mit Vertragsunterzeichnung in Druckfassung ausgehändigt.</w:t>
      </w:r>
    </w:p>
    <w:p>
      <w:pPr>
        <w:pStyle w:val="BodyText"/>
      </w:pPr>
      <w:r>
        <w:t xml:space="preserve">Der Notar wird mit dem Vollzug beauftragt. Er soll Anträge erst stellen, wenn die hierfür erforderlichen Erklärungen und Nachweise vorliegen. Mitteilungen über den Eintritt der Fälligkeitsvoraussetzungen nach § 3 erfolgen schriftlich an beide Parteien.</w:t>
      </w:r>
    </w:p>
    <w:p>
      <w:r>
        <w:br w:type="page"/>
      </w:r>
    </w:p>
    <w:bookmarkEnd w:id="28"/>
    <w:bookmarkStart w:id="29" w:name="geschäftswert-und-kosten"/>
    <w:p>
      <w:pPr>
        <w:pStyle w:val="Heading1"/>
      </w:pPr>
      <w:r>
        <w:t xml:space="preserve">Geschäftswert und Kosten</w:t>
      </w:r>
    </w:p>
    <w:p>
      <w:pPr>
        <w:pStyle w:val="FirstParagraph"/>
      </w:pPr>
      <w:r>
        <w:t xml:space="preserve">Der Geschäftswert dieser Urkunde wird mit dem Gesamtkaufpreis von 828.000,00 EUR angegeben. Die Kosten dieser Urkunde und ihres Vollzugs trägt nach § 13.4 der Käufer. Auf die zusätzlich anfallende Grunderwerbsteuer sowie die Erschließungs- und Anschlusskosten nach § 7 wurde hingewiesen.</w:t>
      </w:r>
    </w:p>
    <w:p>
      <w:r>
        <w:br w:type="page"/>
      </w:r>
    </w:p>
    <w:bookmarkEnd w:id="29"/>
    <w:bookmarkStart w:id="30" w:name="unterschriften"/>
    <w:p>
      <w:pPr>
        <w:pStyle w:val="Heading1"/>
      </w:pPr>
      <w:r>
        <w:t xml:space="preserve">Unterschriften</w:t>
      </w:r>
    </w:p>
    <w:p>
      <w:pPr>
        <w:pStyle w:val="FirstParagraph"/>
      </w:pPr>
      <w:r>
        <w:t xml:space="preserve">Die Erschienenen erklärten, dass sie auf das Verlesen der Bezugsurkunden verzichten, da ihnen deren Inhalt bekannt ist. Diese Niederschrift wurde den Erschienenen vom Notar vorgelesen, von ihnen genehmigt und sodann eigenhändig wie folgt unterschrieben:</w:t>
      </w:r>
    </w:p>
    <w:p>
      <w:pPr>
        <w:pStyle w:val="BodyText"/>
      </w:pPr>
      <w:r>
        <w:br/>
      </w:r>
    </w:p>
    <w:p>
      <w:pPr>
        <w:pStyle w:val="BodyText"/>
      </w:pPr>
      <w:r>
        <w:br/>
      </w:r>
    </w:p>
    <w:p>
      <w:pPr>
        <w:pStyle w:val="BodyText"/>
      </w:pPr>
      <w:r>
        <w:t xml:space="preserve">——————————————————————————</w:t>
      </w:r>
    </w:p>
    <w:p>
      <w:pPr>
        <w:pStyle w:val="BodyText"/>
      </w:pPr>
      <w:r>
        <w:t xml:space="preserve">Roswitha Quendel-Bingenheimer (für Verkäufer)</w:t>
      </w:r>
    </w:p>
    <w:p>
      <w:pPr>
        <w:pStyle w:val="BodyText"/>
      </w:pPr>
      <w:r>
        <w:br/>
      </w:r>
    </w:p>
    <w:p>
      <w:pPr>
        <w:pStyle w:val="BodyText"/>
      </w:pPr>
      <w:r>
        <w:br/>
      </w:r>
    </w:p>
    <w:p>
      <w:pPr>
        <w:pStyle w:val="BodyText"/>
      </w:pPr>
      <w:r>
        <w:t xml:space="preserve">——————————————————————————</w:t>
      </w:r>
    </w:p>
    <w:p>
      <w:pPr>
        <w:pStyle w:val="BodyText"/>
      </w:pPr>
      <w:r>
        <w:t xml:space="preserve">Dr. Eberwein Übelacker-Strohmeyer (Käufer)</w:t>
      </w:r>
    </w:p>
    <w:p>
      <w:pPr>
        <w:pStyle w:val="BodyText"/>
      </w:pPr>
      <w:r>
        <w:br/>
      </w:r>
    </w:p>
    <w:p>
      <w:pPr>
        <w:pStyle w:val="BodyText"/>
      </w:pPr>
      <w:r>
        <w:br/>
      </w:r>
    </w:p>
    <w:p>
      <w:pPr>
        <w:pStyle w:val="BodyText"/>
      </w:pPr>
      <w:r>
        <w:t xml:space="preserve">——————————————————————————</w:t>
      </w:r>
    </w:p>
    <w:p>
      <w:pPr>
        <w:pStyle w:val="BodyText"/>
      </w:pPr>
      <w:r>
        <w:t xml:space="preserve">Dr. Adalbert von Sickingen-Querfurt, Notar</w:t>
      </w:r>
    </w:p>
    <w:p>
      <w:r>
        <w:br w:type="page"/>
      </w:r>
    </w:p>
    <w:bookmarkEnd w:id="30"/>
    <w:bookmarkStart w:id="32" w:name="anlage-baubeschreibung"/>
    <w:p>
      <w:pPr>
        <w:pStyle w:val="Heading1"/>
      </w:pPr>
      <w:r>
        <w:t xml:space="preserve">Anlage: Baubeschreibung</w:t>
      </w:r>
    </w:p>
    <w:p>
      <w:pPr>
        <w:pStyle w:val="FirstParagraph"/>
      </w:pPr>
      <w:r>
        <w:t xml:space="preserve">Bauvorhaben: Wohnquartier „Am Birkenpfuhl”, Gemarkung Kannenberg-Niederwall, Flur 7, Flurstück 218/4</w:t>
      </w:r>
    </w:p>
    <w:p>
      <w:pPr>
        <w:pStyle w:val="BodyText"/>
      </w:pPr>
      <w:r>
        <w:t xml:space="preserve">Bauträgerin: Hohenwartshofen Quartiersentwicklung GmbH &amp; Co. KG, Schloßstraße 88, 12163 Berlin</w:t>
      </w:r>
    </w:p>
    <w:p>
      <w:pPr>
        <w:pStyle w:val="BodyText"/>
      </w:pPr>
      <w:r>
        <w:t xml:space="preserve">Fassung: Februar 2026 — Version 7.2</w:t>
      </w:r>
    </w:p>
    <w:p>
      <w:pPr>
        <w:pStyle w:val="BodyText"/>
      </w:pPr>
      <w:r>
        <w:t xml:space="preserve">Bezug: Haus 4, Wohnung 4.27 (3. Obergeschoss) nebst Kellerabteil K-4.27, Terrasse T-4.27 und Tiefgaragenstellplatz TG-127</w:t>
      </w:r>
    </w:p>
    <w:bookmarkStart w:id="31" w:name="vorbemerkungen-zur-baubeschreibung"/>
    <w:p>
      <w:pPr>
        <w:pStyle w:val="Heading2"/>
      </w:pPr>
      <w:r>
        <w:t xml:space="preserve">Vorbemerkungen zur Baubeschreibung</w:t>
      </w:r>
    </w:p>
    <w:p>
      <w:pPr>
        <w:pStyle w:val="FirstParagraph"/>
      </w:pPr>
      <w:r>
        <w:rPr>
          <w:b/>
          <w:bCs/>
        </w:rPr>
        <w:t xml:space="preserve">V.1</w:t>
      </w:r>
      <w:r>
        <w:t xml:space="preserve"> </w:t>
      </w:r>
      <w:r>
        <w:t xml:space="preserve">Diese Baubeschreibung beschreibt das Bausoll für die vertragsgegenständliche Einheit in der für die Kaufentscheidung maßgeblichen Fassung. Verkaufsunterlagen, Exposés, Visualisierungen, Renderings, Grundrissdarstellungen mit Möblierung sowie die Musterwohnung in Haus 5 dienen der Veranschaulichung des Quartiers- und Ausstattungskonzepts und werden nur insoweit Vertragsbestandteil, als diese Baubeschreibung oder der Kaufvertrag ausdrücklich darauf Bezug nehmen.</w:t>
      </w:r>
    </w:p>
    <w:p>
      <w:pPr>
        <w:pStyle w:val="BodyText"/>
      </w:pPr>
      <w:r>
        <w:rPr>
          <w:b/>
          <w:bCs/>
        </w:rPr>
        <w:t xml:space="preserve">V.2</w:t>
      </w:r>
      <w:r>
        <w:t xml:space="preserve"> </w:t>
      </w:r>
      <w:r>
        <w:t xml:space="preserve">Die in dieser Baubeschreibung genannten Fabrikate, Hersteller, Typen und Modelle sind, soweit überhaupt benannt, beispielhaft zu verstehen. Der Verkäufer ist berechtigt, gleichwertige oder gleichartige Produkte anderer Hersteller einzusetzen, soweit dies aus Gründen der Lieferbarkeit, der Bauablaufplanung, der Wirtschaftlichkeit oder aus technischen Gründen zweckmäßig erscheint. Ein Anspruch auf ein bestimmtes Fabrikat besteht nicht.</w:t>
      </w:r>
    </w:p>
    <w:p>
      <w:pPr>
        <w:pStyle w:val="BodyText"/>
      </w:pPr>
      <w:r>
        <w:rPr>
          <w:b/>
          <w:bCs/>
        </w:rPr>
        <w:t xml:space="preserve">V.3</w:t>
      </w:r>
      <w:r>
        <w:t xml:space="preserve"> </w:t>
      </w:r>
      <w:r>
        <w:t xml:space="preserve">Soweit Ausführungen, Materialien, Farben oder Oberflächen nicht im Einzelnen festgelegt sind, bestimmt der Verkäufer die Ausführung nach billigem Ermessen unter Berücksichtigung eines einheitlichen, wertigen Quartiersbildes, der technischen Zweckmäßigkeit, der Lieferbarkeit und der späteren Wartbarkeit.</w:t>
      </w:r>
    </w:p>
    <w:p>
      <w:pPr>
        <w:pStyle w:val="BodyText"/>
      </w:pPr>
      <w:r>
        <w:rPr>
          <w:b/>
          <w:bCs/>
        </w:rPr>
        <w:t xml:space="preserve">V.4</w:t>
      </w:r>
      <w:r>
        <w:t xml:space="preserve"> </w:t>
      </w:r>
      <w:r>
        <w:t xml:space="preserve">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r>
        <w:br w:type="page"/>
      </w:r>
    </w:p>
    <w:bookmarkEnd w:id="31"/>
    <w:bookmarkEnd w:id="32"/>
    <w:bookmarkStart w:id="33" w:name="allgemeines-gebäudekonzept"/>
    <w:p>
      <w:pPr>
        <w:pStyle w:val="Heading1"/>
      </w:pPr>
      <w:r>
        <w:t xml:space="preserve">1 Allgemeines, Gebäudekonzept</w:t>
      </w:r>
    </w:p>
    <w:p>
      <w:pPr>
        <w:pStyle w:val="FirstParagraph"/>
      </w:pPr>
      <w:r>
        <w:rPr>
          <w:b/>
          <w:bCs/>
        </w:rPr>
        <w:t xml:space="preserve">1.1</w:t>
      </w:r>
      <w:r>
        <w:t xml:space="preserve"> </w:t>
      </w:r>
      <w:r>
        <w:t xml:space="preserve">Das Quartier umfasst nach derzeitiger Planung zwölf Mehrfamilienhäuser nebst Stadtvilla-Cluster, eine zweigeschossige Tiefgarage sowie Gemeinschafts- und Freiflächen. Haus 4 ist als Mehrfamilienhaus mit Staffelgeschoss konzipiert.</w:t>
      </w:r>
    </w:p>
    <w:p>
      <w:pPr>
        <w:pStyle w:val="BodyText"/>
      </w:pPr>
      <w:r>
        <w:rPr>
          <w:b/>
          <w:bCs/>
        </w:rPr>
        <w:t xml:space="preserve">1.2</w:t>
      </w:r>
      <w:r>
        <w:t xml:space="preserve"> </w:t>
      </w:r>
      <w:r>
        <w:t xml:space="preserve">Die Ausstattung entspricht einem zeitgemäßen, gehobenen Standard üblicher Qualität mit ruhiger, langlebiger Materialanmutung. Die konkrete Ausgestaltung der einzelnen Gewerke ergibt sich aus den nachstehenden Abschnitten und den im Zuge der Ausführungsplanung fortgeschriebenen Detailfestlegungen.</w:t>
      </w:r>
    </w:p>
    <w:p>
      <w:pPr>
        <w:pStyle w:val="BodyText"/>
      </w:pPr>
      <w:r>
        <w:rPr>
          <w:b/>
          <w:bCs/>
        </w:rPr>
        <w:t xml:space="preserve">1.3</w:t>
      </w:r>
      <w:r>
        <w:t xml:space="preserve"> </w:t>
      </w:r>
      <w:r>
        <w:t xml:space="preserve">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bookmarkEnd w:id="33"/>
    <w:bookmarkStart w:id="34" w:name="baugrund-gründung-baugrube"/>
    <w:p>
      <w:pPr>
        <w:pStyle w:val="Heading1"/>
      </w:pPr>
      <w:r>
        <w:t xml:space="preserve">2 Baugrund, Gründung, Baugrube</w:t>
      </w:r>
    </w:p>
    <w:p>
      <w:pPr>
        <w:pStyle w:val="FirstParagraph"/>
      </w:pPr>
      <w:r>
        <w:rPr>
          <w:b/>
          <w:bCs/>
        </w:rPr>
        <w:t xml:space="preserve">2.1</w:t>
      </w:r>
      <w:r>
        <w:t xml:space="preserve"> </w:t>
      </w:r>
      <w:r>
        <w:t xml:space="preserve">Der Gründung liegen orientierende Baugrunderkundungen zugrunde. Art und Tiefe der Gründung (Flach- oder Tiefgründung, Bodenaustausch, Bodenverbesserung) werden im Zuge der Ausführungsplanung durch den Tragwerksplaner festgelegt.</w:t>
      </w:r>
    </w:p>
    <w:p>
      <w:pPr>
        <w:pStyle w:val="BodyText"/>
      </w:pPr>
      <w:r>
        <w:rPr>
          <w:b/>
          <w:bCs/>
        </w:rPr>
        <w:t xml:space="preserve">2.2</w:t>
      </w:r>
      <w:r>
        <w:t xml:space="preserve"> </w:t>
      </w:r>
      <w:r>
        <w:t xml:space="preserve">Maßnahmen der Wasserhaltung, des Baugrubenverbaus,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erfolgt nach den einschlägigen technischen Regelwerken in einer für die vorgesehene Nutzung geeigneten Ausführung.</w:t>
      </w:r>
    </w:p>
    <w:bookmarkEnd w:id="34"/>
    <w:bookmarkStart w:id="35" w:name="rohbau-und-konstruktion"/>
    <w:p>
      <w:pPr>
        <w:pStyle w:val="Heading1"/>
      </w:pPr>
      <w:r>
        <w:t xml:space="preserve">3 Rohbau und Konstruktion</w:t>
      </w:r>
    </w:p>
    <w:p>
      <w:pPr>
        <w:pStyle w:val="FirstParagraph"/>
      </w:pPr>
      <w:r>
        <w:rPr>
          <w:b/>
          <w:bCs/>
        </w:rPr>
        <w:t xml:space="preserve">3.1</w:t>
      </w:r>
      <w:r>
        <w:t xml:space="preserve"> </w:t>
      </w:r>
      <w:r>
        <w:t xml:space="preserve">Gründung, Kelleraußenwände und Tiefgarage werden in Stahlbeton bzw. wasserundurchlässigem Beton hergestellt, soweit es die Tragwerksplanung vorsieht. Wohnungstrennwände und tragende Innenwände werden in Massivbauweise (Beton oder Mauerwerk) ausgeführt.</w:t>
      </w:r>
    </w:p>
    <w:p>
      <w:pPr>
        <w:pStyle w:val="BodyText"/>
      </w:pPr>
      <w:r>
        <w:rPr>
          <w:b/>
          <w:bCs/>
        </w:rPr>
        <w:t xml:space="preserve">3.2</w:t>
      </w:r>
      <w:r>
        <w:t xml:space="preserve"> </w:t>
      </w:r>
      <w:r>
        <w:t xml:space="preserve">Nichttragende Trennwände innerhalb der Wohnung werden in Trockenbau- oder Mauerwerksausführung erstellt. Die genaue Ausführung wählt der Verkäufer.</w:t>
      </w:r>
    </w:p>
    <w:p>
      <w:pPr>
        <w:pStyle w:val="BodyText"/>
      </w:pPr>
      <w:r>
        <w:rPr>
          <w:b/>
          <w:bCs/>
        </w:rPr>
        <w:t xml:space="preserve">3.3</w:t>
      </w:r>
      <w:r>
        <w:t xml:space="preserve"> </w:t>
      </w:r>
      <w:r>
        <w:t xml:space="preserve">Die lichte Raumhöhe der Wohnräume beträgt ca. 2,60 m, im Bereich von Unterzügen, abgehängten Decken und Installationsführungen entsprechend weniger.</w:t>
      </w:r>
    </w:p>
    <w:bookmarkEnd w:id="35"/>
    <w:bookmarkStart w:id="36" w:name="fassade-außenwände-wärmedämmung"/>
    <w:p>
      <w:pPr>
        <w:pStyle w:val="Heading1"/>
      </w:pPr>
      <w:r>
        <w:t xml:space="preserve">4 Fassade, Außenwände, Wärmedämmung</w:t>
      </w:r>
    </w:p>
    <w:p>
      <w:pPr>
        <w:pStyle w:val="FirstParagraph"/>
      </w:pPr>
      <w:r>
        <w:rPr>
          <w:b/>
          <w:bCs/>
        </w:rPr>
        <w:t xml:space="preserve">4.1</w:t>
      </w:r>
      <w:r>
        <w:t xml:space="preserve"> </w:t>
      </w:r>
      <w:r>
        <w:t xml:space="preserve">Die Außenwände erhalten ein Wärmedämmverbundsystem oder eine gleichwertige Dämmkonstruktion mit Putzoberfläche bzw. teilweiser Vorhangfassade nach Wahl des Verkäufers. Farbgebung und Materialität der Fassade legt der Verkäufer im Rahmen des Gestaltungskonzepts fest.</w:t>
      </w:r>
    </w:p>
    <w:p>
      <w:pPr>
        <w:pStyle w:val="BodyText"/>
      </w:pPr>
      <w:r>
        <w:rPr>
          <w:b/>
          <w:bCs/>
        </w:rPr>
        <w:t xml:space="preserve">4.2</w:t>
      </w:r>
      <w:r>
        <w:t xml:space="preserve"> </w:t>
      </w:r>
      <w:r>
        <w:t xml:space="preserve">Dämmstärken und Dämmstoffe werden nach den energetischen Nachweisen bemessen (vgl. Abschnitt 17).</w:t>
      </w:r>
    </w:p>
    <w:bookmarkEnd w:id="36"/>
    <w:bookmarkStart w:id="37" w:name="dach"/>
    <w:p>
      <w:pPr>
        <w:pStyle w:val="Heading1"/>
      </w:pPr>
      <w:r>
        <w:t xml:space="preserve">5 Dach</w:t>
      </w:r>
    </w:p>
    <w:p>
      <w:pPr>
        <w:pStyle w:val="FirstParagraph"/>
      </w:pPr>
      <w:r>
        <w:rPr>
          <w:b/>
          <w:bCs/>
        </w:rPr>
        <w:t xml:space="preserve">5.1</w:t>
      </w:r>
      <w:r>
        <w:t xml:space="preserve"> </w:t>
      </w:r>
      <w:r>
        <w:t xml:space="preserve">Die Dachflächen werden als Flachdach bzw. flach geneigtes Dach ausgeführt und abgedichtet. Dachbegrünung, Bekiesung oder Belegung erfolgt nach dem Freiflächen- und Entwässerungskonzept.</w:t>
      </w:r>
    </w:p>
    <w:p>
      <w:pPr>
        <w:pStyle w:val="BodyText"/>
      </w:pPr>
      <w:r>
        <w:rPr>
          <w:b/>
          <w:bCs/>
        </w:rPr>
        <w:t xml:space="preserve">5.2</w:t>
      </w:r>
      <w:r>
        <w:t xml:space="preserve"> </w:t>
      </w:r>
      <w:r>
        <w:t xml:space="preserve">Eine Nutzung der Dachflächen durch die Erwerber des Hauses 4 ist nicht geschuldet, soweit nicht in der Teilungserklärung ausdrücklich ein Sondernutzungsrecht zugewiesen ist.</w:t>
      </w:r>
    </w:p>
    <w:bookmarkEnd w:id="37"/>
    <w:bookmarkStart w:id="38" w:name="fenster-außentüren-verglasung"/>
    <w:p>
      <w:pPr>
        <w:pStyle w:val="Heading1"/>
      </w:pPr>
      <w:r>
        <w:t xml:space="preserve">6 Fenster, Außentüren, Verglasung</w:t>
      </w:r>
    </w:p>
    <w:p>
      <w:pPr>
        <w:pStyle w:val="FirstParagraph"/>
      </w:pPr>
      <w:r>
        <w:rPr>
          <w:b/>
          <w:bCs/>
        </w:rPr>
        <w:t xml:space="preserve">6.1</w:t>
      </w:r>
      <w:r>
        <w:t xml:space="preserve"> </w:t>
      </w:r>
      <w:r>
        <w:t xml:space="preserve">Die Fenster werden als Kunststoff-, Kunststoff-Aluminium- oder Aluminiumfenster mit Mehrscheiben-Isolierverglasung ausgeführt; Profilwahl, Beschlag und Farbton trifft der Verkäufer im Rahmen des Fassaden- und Energiekonzepts. Die Wohnung erhält Fenster in marktüblicher Ausführung.</w:t>
      </w:r>
    </w:p>
    <w:p>
      <w:pPr>
        <w:pStyle w:val="BodyText"/>
      </w:pPr>
      <w:r>
        <w:rPr>
          <w:b/>
          <w:bCs/>
        </w:rPr>
        <w:t xml:space="preserve">6.2</w:t>
      </w:r>
      <w:r>
        <w:t xml:space="preserve"> </w:t>
      </w:r>
      <w:r>
        <w:t xml:space="preserve">Ein Teil der Fenster und Fenstertüren wird mit außenliegendem Sonnenschutz ausgestattet. Welche Öffnungen Sonnenschutz erhalten, legt der Verkäufer fest.</w:t>
      </w:r>
    </w:p>
    <w:p>
      <w:pPr>
        <w:pStyle w:val="BodyText"/>
      </w:pPr>
      <w:r>
        <w:rPr>
          <w:b/>
          <w:bCs/>
        </w:rPr>
        <w:t xml:space="preserve">6.3</w:t>
      </w:r>
      <w:r>
        <w:t xml:space="preserve"> </w:t>
      </w:r>
      <w:r>
        <w:t xml:space="preserve">Die Wohnungseingangstür wird als Tür mit üblichem Einbruch- und Schallschutz in handelsüblicher Qualität ausgeführt.</w:t>
      </w:r>
    </w:p>
    <w:bookmarkEnd w:id="38"/>
    <w:bookmarkStart w:id="39" w:name="innenausbau-wände-decken-estrich"/>
    <w:p>
      <w:pPr>
        <w:pStyle w:val="Heading1"/>
      </w:pPr>
      <w:r>
        <w:t xml:space="preserve">7 Innenausbau, Wände, Decken, Estrich</w:t>
      </w:r>
    </w:p>
    <w:p>
      <w:pPr>
        <w:pStyle w:val="FirstParagraph"/>
      </w:pPr>
      <w:r>
        <w:rPr>
          <w:b/>
          <w:bCs/>
        </w:rPr>
        <w:t xml:space="preserve">7.1</w:t>
      </w:r>
      <w:r>
        <w:t xml:space="preserve"> </w:t>
      </w:r>
      <w:r>
        <w:t xml:space="preserve">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pStyle w:val="BodyText"/>
      </w:pPr>
      <w:r>
        <w:rPr>
          <w:b/>
          <w:bCs/>
        </w:rPr>
        <w:t xml:space="preserve">7.2</w:t>
      </w:r>
      <w:r>
        <w:t xml:space="preserve"> </w:t>
      </w:r>
      <w:r>
        <w:t xml:space="preserve">In den Wohnräumen wird ein schwimmender Estrich auf Dämmung eingebracht. Der Estrich wird für die in Abschnitt 8 vorgesehenen Bodenbeläge vorbereitet.</w:t>
      </w:r>
    </w:p>
    <w:bookmarkEnd w:id="39"/>
    <w:bookmarkStart w:id="40" w:name="bodenbeläge"/>
    <w:p>
      <w:pPr>
        <w:pStyle w:val="Heading1"/>
      </w:pPr>
      <w:r>
        <w:t xml:space="preserve">8 Bodenbeläge</w:t>
      </w:r>
    </w:p>
    <w:p>
      <w:pPr>
        <w:pStyle w:val="FirstParagraph"/>
      </w:pPr>
      <w:r>
        <w:rPr>
          <w:b/>
          <w:bCs/>
        </w:rPr>
        <w:t xml:space="preserve">8.1</w:t>
      </w:r>
      <w:r>
        <w:t xml:space="preserve"> </w:t>
      </w:r>
      <w:r>
        <w:t xml:space="preserve">Die Wohn- und Schlafräume erhalten einen Bodenbelag in gehobener Anmutung nach Wahl aus dem Standardsortiment des Verkäufers. Bad und Gäste-WC erhalten Fliesenbeläge aus dem Standardsortiment; Format, Verlegebild und Fugenfarbe richten sich nach der Bemusterung und den technischen Erfordernissen.</w:t>
      </w:r>
    </w:p>
    <w:p>
      <w:pPr>
        <w:pStyle w:val="BodyText"/>
      </w:pPr>
      <w:r>
        <w:rPr>
          <w:b/>
          <w:bCs/>
        </w:rPr>
        <w:t xml:space="preserve">8.2</w:t>
      </w:r>
      <w:r>
        <w:t xml:space="preserve"> </w:t>
      </w:r>
      <w:r>
        <w:t xml:space="preserve">Der Käufer kann im Rahmen der Bemusterung aus dem jeweils gültigen Standardsortiment auswählen, soweit der Baufortschritt dies noch zulässt. Eine Auswahl außerhalb des Standardsortiments ist als Sonderwunsch gesondert zu vereinbaren und zu vergüten.</w:t>
      </w:r>
    </w:p>
    <w:bookmarkEnd w:id="40"/>
    <w:bookmarkStart w:id="41" w:name="innentüren"/>
    <w:p>
      <w:pPr>
        <w:pStyle w:val="Heading1"/>
      </w:pPr>
      <w:r>
        <w:t xml:space="preserve">9 Innentüren</w:t>
      </w:r>
    </w:p>
    <w:p>
      <w:pPr>
        <w:pStyle w:val="FirstParagraph"/>
      </w:pPr>
      <w:r>
        <w:rPr>
          <w:b/>
          <w:bCs/>
        </w:rPr>
        <w:t xml:space="preserve">9.1</w:t>
      </w:r>
      <w:r>
        <w:t xml:space="preserve"> </w:t>
      </w:r>
      <w:r>
        <w:t xml:space="preserve">Die Innentüren werden als Zimmertüren in handelsüblicher Ausführung mit Standardbeschlag eingebaut. Oberfläche, Farbe und Drückergarnitur richten sich nach dem Standardsortiment des Verkäufers.</w:t>
      </w:r>
    </w:p>
    <w:bookmarkEnd w:id="41"/>
    <w:bookmarkStart w:id="42" w:name="sanitärobjekte-und-sanitärausstattung"/>
    <w:p>
      <w:pPr>
        <w:pStyle w:val="Heading1"/>
      </w:pPr>
      <w:r>
        <w:t xml:space="preserve">10 Sanitärobjekte und Sanitärausstattung</w:t>
      </w:r>
    </w:p>
    <w:p>
      <w:pPr>
        <w:pStyle w:val="FirstParagraph"/>
      </w:pPr>
      <w:r>
        <w:rPr>
          <w:b/>
          <w:bCs/>
        </w:rPr>
        <w:t xml:space="preserve">10.1</w:t>
      </w:r>
      <w:r>
        <w:t xml:space="preserve"> </w:t>
      </w:r>
      <w:r>
        <w:t xml:space="preserve">Die Sanitärräume werden mit Sanitärobjekten in weißer, zeitloser Ausführung ausgestattet (Waschtisch, WC, Dusche und/oder Badewanne je nach Grundriss). Armaturen werden als Einhebelmischer in marktüblicher Qualität aus dem Sanitärprogramm des Verkäufers geliefert.</w:t>
      </w:r>
    </w:p>
    <w:p>
      <w:pPr>
        <w:pStyle w:val="BodyText"/>
      </w:pPr>
      <w:r>
        <w:rPr>
          <w:b/>
          <w:bCs/>
        </w:rPr>
        <w:t xml:space="preserve">10.2</w:t>
      </w:r>
      <w:r>
        <w:t xml:space="preserve"> </w:t>
      </w:r>
      <w:r>
        <w:t xml:space="preserve">Anzahl, Anordnung und Art der Sanitärobjekte ergeben sich aus den Ausführungsplänen. Änderungen der Anordnung infolge der Haustechnik- und Schachtplanung bleiben vorbehalten.</w:t>
      </w:r>
    </w:p>
    <w:bookmarkEnd w:id="42"/>
    <w:bookmarkStart w:id="43" w:name="heizung-warmwasser"/>
    <w:p>
      <w:pPr>
        <w:pStyle w:val="Heading1"/>
      </w:pPr>
      <w:r>
        <w:t xml:space="preserve">11 Heizung, Warmwasser</w:t>
      </w:r>
    </w:p>
    <w:p>
      <w:pPr>
        <w:pStyle w:val="FirstParagraph"/>
      </w:pPr>
      <w:r>
        <w:rPr>
          <w:b/>
          <w:bCs/>
        </w:rPr>
        <w:t xml:space="preserve">11.1</w:t>
      </w:r>
      <w:r>
        <w:t xml:space="preserve"> </w:t>
      </w:r>
      <w:r>
        <w:t xml:space="preserve">Die Beheizung und Warmwasserbereitung erfolgt über eine zentrale Anlage nach Wahl des Verkäufers (Fernwärme, Wärmepumpe, Brennwerttechnik oder eine Kombination hiervon). Die Wohnräume erhalten Heizflächen (Fußbodenheizung und/oder Heizkörper) in einer für die vorgesehene Nutzung geeigneten Auslegung.</w:t>
      </w:r>
    </w:p>
    <w:p>
      <w:pPr>
        <w:pStyle w:val="BodyText"/>
      </w:pPr>
      <w:r>
        <w:rPr>
          <w:b/>
          <w:bCs/>
        </w:rPr>
        <w:t xml:space="preserve">11.2</w:t>
      </w:r>
      <w:r>
        <w:t xml:space="preserve"> </w:t>
      </w:r>
      <w:r>
        <w:t xml:space="preserve">Die Wärme- und Warmwasserlieferung kann über einen Wärmeliefer-/Contractingvertrag erfolgen. Die hieraus entstehenden Kosten tragen die Erwerber nach Maßgabe der Teilungserklärung.</w:t>
      </w:r>
    </w:p>
    <w:bookmarkEnd w:id="43"/>
    <w:bookmarkStart w:id="44" w:name="lüftung"/>
    <w:p>
      <w:pPr>
        <w:pStyle w:val="Heading1"/>
      </w:pPr>
      <w:r>
        <w:t xml:space="preserve">12 Lüftung</w:t>
      </w:r>
    </w:p>
    <w:p>
      <w:pPr>
        <w:pStyle w:val="FirstParagraph"/>
      </w:pPr>
      <w:r>
        <w:rPr>
          <w:b/>
          <w:bCs/>
        </w:rPr>
        <w:t xml:space="preserve">12.1</w:t>
      </w:r>
      <w:r>
        <w:t xml:space="preserve"> </w:t>
      </w:r>
      <w:r>
        <w:t xml:space="preserve">Innenliegende Bäder und fensterlose Räume werden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wird nicht geschuldet, soweit diese Werte nicht in einer Übergabeunterlage ausdrücklich genannt sind.</w:t>
      </w:r>
    </w:p>
    <w:bookmarkEnd w:id="44"/>
    <w:bookmarkStart w:id="45" w:name="Xa8f621190aed3caf72187bd0552b9ced3adc76f"/>
    <w:p>
      <w:pPr>
        <w:pStyle w:val="Heading1"/>
      </w:pPr>
      <w:r>
        <w:t xml:space="preserve">13 Elektroinstallation, Medien, Lade- und PV-Infrastruktur</w:t>
      </w:r>
    </w:p>
    <w:p>
      <w:pPr>
        <w:pStyle w:val="FirstParagraph"/>
      </w:pPr>
      <w:r>
        <w:rPr>
          <w:b/>
          <w:bCs/>
        </w:rPr>
        <w:t xml:space="preserve">13.1</w:t>
      </w:r>
      <w:r>
        <w:t xml:space="preserve"> </w:t>
      </w:r>
      <w:r>
        <w:t xml:space="preserve">Die Elektroinstallation wird nach den einschlägigen technischen Regeln in einer für Wohnnutzung üblichen Ausstattungsdichte ausgeführt. Anzahl und Position von Steckdosen, Schaltern und Anschlüssen ergeben sich aus den Ausführungsplänen.</w:t>
      </w:r>
    </w:p>
    <w:p>
      <w:pPr>
        <w:pStyle w:val="BodyText"/>
      </w:pPr>
      <w:r>
        <w:rPr>
          <w:b/>
          <w:bCs/>
        </w:rPr>
        <w:t xml:space="preserve">13.2</w:t>
      </w:r>
      <w:r>
        <w:t xml:space="preserve"> </w:t>
      </w:r>
      <w:r>
        <w:t xml:space="preserve">Die Wohnung erhält einen Multimedia-/Datenanschluss in handelsüblicher Ausführung. Eine bestimmte Bandbreite oder ein bestimmter Anbieter wird nicht geschuldet.</w:t>
      </w:r>
    </w:p>
    <w:p>
      <w:pPr>
        <w:pStyle w:val="BodyText"/>
      </w:pPr>
      <w:r>
        <w:rPr>
          <w:b/>
          <w:bCs/>
        </w:rPr>
        <w:t xml:space="preserve">13.3</w:t>
      </w:r>
      <w:r>
        <w:t xml:space="preserve"> </w:t>
      </w:r>
      <w:r>
        <w:t xml:space="preserve">Ob die Tiefgarage mit Lade-Infrastruktur und ob das Gebäude mit einer Photovoltaikanlage ausgestattet wird, bestimmt der Verkäufer im Rahmen der Gesamtplanung. Ein Anspruch des einzelnen Erwerbers hierauf besteht nicht.</w:t>
      </w:r>
    </w:p>
    <w:bookmarkEnd w:id="45"/>
    <w:bookmarkStart w:id="46" w:name="aufzug"/>
    <w:p>
      <w:pPr>
        <w:pStyle w:val="Heading1"/>
      </w:pPr>
      <w:r>
        <w:t xml:space="preserve">14 Aufzug</w:t>
      </w:r>
    </w:p>
    <w:p>
      <w:pPr>
        <w:pStyle w:val="FirstParagraph"/>
      </w:pPr>
      <w:r>
        <w:rPr>
          <w:b/>
          <w:bCs/>
        </w:rPr>
        <w:t xml:space="preserve">14.1</w:t>
      </w:r>
      <w:r>
        <w:t xml:space="preserve"> </w:t>
      </w:r>
      <w:r>
        <w:t xml:space="preserve">Haus 4 erhält einen Personenaufzug in handelsüblicher Ausführung, der die Wohngeschosse und die Tiefgarage erschließt. Fabrikat, Förderhöhe und Kabinenausstattung wählt der Verkäufer.</w:t>
      </w:r>
    </w:p>
    <w:bookmarkEnd w:id="46"/>
    <w:bookmarkStart w:id="47" w:name="tiefgarage"/>
    <w:p>
      <w:pPr>
        <w:pStyle w:val="Heading1"/>
      </w:pPr>
      <w:r>
        <w:t xml:space="preserve">15 Tiefgarage</w:t>
      </w:r>
    </w:p>
    <w:p>
      <w:pPr>
        <w:pStyle w:val="FirstParagraph"/>
      </w:pPr>
      <w:r>
        <w:rPr>
          <w:b/>
          <w:bCs/>
        </w:rPr>
        <w:t xml:space="preserve">15.1</w:t>
      </w:r>
      <w:r>
        <w:t xml:space="preserve"> </w:t>
      </w:r>
      <w:r>
        <w:t xml:space="preserve">Die Tiefgarage wird in Stahlbeton ausgeführt und maschinell be- und entlüftet. Bodenbeschichtung, Markierung und technische Ausstattung erfolgen in für Tiefgaragen üblicher Qualität.</w:t>
      </w:r>
    </w:p>
    <w:p>
      <w:pPr>
        <w:pStyle w:val="BodyText"/>
      </w:pPr>
      <w:r>
        <w:rPr>
          <w:b/>
          <w:bCs/>
        </w:rPr>
        <w:t xml:space="preserve">15.2</w:t>
      </w:r>
      <w:r>
        <w:t xml:space="preserve"> </w:t>
      </w:r>
      <w:r>
        <w:t xml:space="preserve">Der dem Käufer zugeordnete Stellplatz TG-127 wird als Standard-Stellplatz hergestellt. Eine bestimmte Mindestbreite oder Mindesthöhe über das bauordnungsrechtlich Erforderliche hinaus wird nicht geschuldet.</w:t>
      </w:r>
    </w:p>
    <w:bookmarkEnd w:id="47"/>
    <w:bookmarkStart w:id="48" w:name="schall--wärme--feuchte--und-brandschutz"/>
    <w:p>
      <w:pPr>
        <w:pStyle w:val="Heading1"/>
      </w:pPr>
      <w:r>
        <w:t xml:space="preserve">16 Schall-, Wärme-, Feuchte- und Brandschutz</w:t>
      </w:r>
    </w:p>
    <w:p>
      <w:pPr>
        <w:pStyle w:val="FirstParagraph"/>
      </w:pPr>
      <w:r>
        <w:rPr>
          <w:b/>
          <w:bCs/>
        </w:rPr>
        <w:t xml:space="preserve">16.1</w:t>
      </w:r>
      <w:r>
        <w:t xml:space="preserve"> </w:t>
      </w:r>
      <w:r>
        <w:t xml:space="preserve">Schall-, Wärme-, Feuchte- und Brandschutz werden in dem öffentlich-rechtlich erforderlichen Umfang nachgewiesen und ausgeführt. Ein über die Mindestanforderungen hinausgehender, erhöhter Schallschutz wird nur geschuldet, soweit er nachstehend mit Zahlenwerten ausdrücklich vereinbart ist.</w:t>
      </w:r>
    </w:p>
    <w:p>
      <w:pPr>
        <w:pStyle w:val="BodyText"/>
      </w:pPr>
      <w:r>
        <w:rPr>
          <w:b/>
          <w:bCs/>
        </w:rPr>
        <w:t xml:space="preserve">16.2</w:t>
      </w:r>
      <w:r>
        <w:t xml:space="preserve"> </w:t>
      </w:r>
      <w:r>
        <w:t xml:space="preserve">Die schallschutztechnische Auslegung richtet sich nach dem projektbezogenen Nachweiskonzept und den öffentlich-rechtlich erforderlichen Mindestanforderungen. Ein erhöhter Schallschutz bedarf einer ausdrücklichen, zahlenmäßig bezeichneten Vereinbarung.</w:t>
      </w:r>
    </w:p>
    <w:bookmarkEnd w:id="48"/>
    <w:bookmarkStart w:id="49" w:name="energetischer-standard"/>
    <w:p>
      <w:pPr>
        <w:pStyle w:val="Heading1"/>
      </w:pPr>
      <w:r>
        <w:t xml:space="preserve">17 Energetischer Standard</w:t>
      </w:r>
    </w:p>
    <w:p>
      <w:pPr>
        <w:pStyle w:val="FirstParagraph"/>
      </w:pPr>
      <w:r>
        <w:rPr>
          <w:b/>
          <w:bCs/>
        </w:rPr>
        <w:t xml:space="preserve">17.1</w:t>
      </w:r>
      <w:r>
        <w:t xml:space="preserve"> </w:t>
      </w:r>
      <w:r>
        <w:t xml:space="preserve">Das Gebäude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oder eine bestimmte GEG-Stufe wird nicht geschuldet, soweit nicht ausdrücklich mit Zahlenwert vereinbart.</w:t>
      </w:r>
    </w:p>
    <w:bookmarkEnd w:id="49"/>
    <w:bookmarkStart w:id="50" w:name="außenanlagen-gemeinschaftsflächen"/>
    <w:p>
      <w:pPr>
        <w:pStyle w:val="Heading1"/>
      </w:pPr>
      <w:r>
        <w:t xml:space="preserve">18 Außenanlagen, Gemeinschaftsflächen</w:t>
      </w:r>
    </w:p>
    <w:p>
      <w:pPr>
        <w:pStyle w:val="FirstParagraph"/>
      </w:pPr>
      <w:r>
        <w:rPr>
          <w:b/>
          <w:bCs/>
        </w:rPr>
        <w:t xml:space="preserve">18.1</w:t>
      </w:r>
      <w:r>
        <w:t xml:space="preserve"> </w:t>
      </w:r>
      <w:r>
        <w:t xml:space="preserve">Die Außenanlagen (Wege, Zufahrten, Pflanzflächen, Spielplatz, Quartiersplatz, Müllstandorte) werden nach dem Freiflächenkonzept hergestellt. Art, Umfang und Zeitpunkt der Fertigstellung richten sich nach dem Bauablauf des Gesamtquartiers und können nach dem Übergabetag der Wohnung liegen.</w:t>
      </w:r>
    </w:p>
    <w:p>
      <w:pPr>
        <w:pStyle w:val="BodyText"/>
      </w:pPr>
      <w:r>
        <w:rPr>
          <w:b/>
          <w:bCs/>
        </w:rPr>
        <w:t xml:space="preserve">18.2</w:t>
      </w:r>
      <w:r>
        <w:t xml:space="preserve"> </w:t>
      </w:r>
      <w:r>
        <w:t xml:space="preserve">Die Terrasse T-4.27 wird mit einem Bodenbelag in für Außenflächen üblicher Qualität hergestellt.</w:t>
      </w:r>
    </w:p>
    <w:bookmarkEnd w:id="50"/>
    <w:bookmarkStart w:id="51" w:name="wohnflächen"/>
    <w:p>
      <w:pPr>
        <w:pStyle w:val="Heading1"/>
      </w:pPr>
      <w:r>
        <w:t xml:space="preserve">19 Wohnflächen</w:t>
      </w:r>
    </w:p>
    <w:p>
      <w:pPr>
        <w:pStyle w:val="FirstParagraph"/>
      </w:pPr>
      <w:r>
        <w:rPr>
          <w:b/>
          <w:bCs/>
        </w:rPr>
        <w:t xml:space="preserve">19.1</w:t>
      </w:r>
      <w:r>
        <w:t xml:space="preserve"> </w:t>
      </w:r>
      <w:r>
        <w:t xml:space="preserve">Die Wohnfläche der Wohnung 4.27 beträgt ca. 118,4 m². Die Ermittlung erfolgt nach DIN 277 anhand der Planungsstände. Maßgeblich ist die nach Fertigstellung tatsächlich erbrachte Ausführung; die ca.-Angabe dient der Objektbeschreibung und ist keine selbständige Garantie.</w:t>
      </w:r>
    </w:p>
    <w:bookmarkEnd w:id="51"/>
    <w:bookmarkStart w:id="52" w:name="bemusterung-sonderwünsche"/>
    <w:p>
      <w:pPr>
        <w:pStyle w:val="Heading1"/>
      </w:pPr>
      <w:r>
        <w:t xml:space="preserve">20 Bemusterung, Sonderwünsche</w:t>
      </w:r>
    </w:p>
    <w:p>
      <w:pPr>
        <w:pStyle w:val="FirstParagraph"/>
      </w:pPr>
      <w:r>
        <w:rPr>
          <w:b/>
          <w:bCs/>
        </w:rPr>
        <w:t xml:space="preserve">20.1</w:t>
      </w:r>
      <w:r>
        <w:t xml:space="preserve"> </w:t>
      </w:r>
      <w:r>
        <w:t xml:space="preserve">Der Käufer wählt im Rahmen der Bemusterung im vom Verkäufer benannten Bemusterungszentrum aus dem jeweils gültigen Standardsortiment. Drei Beratungsstunden sind im Kaufpreis enthalten; darüber hinausgehender Aufwand wird mit 180,00 EUR netto je angefangener Stunde vergütet.</w:t>
      </w:r>
    </w:p>
    <w:p>
      <w:pPr>
        <w:pStyle w:val="BodyText"/>
      </w:pPr>
      <w:r>
        <w:rPr>
          <w:b/>
          <w:bCs/>
        </w:rPr>
        <w:t xml:space="preserve">20.2</w:t>
      </w:r>
      <w:r>
        <w:t xml:space="preserve"> </w:t>
      </w:r>
      <w:r>
        <w:t xml:space="preserve">Die Bemusterung hat innerhalb von vier Wochen nach Aufforderung stattzufinden. Reagiert der Käufer nicht rechtzeitig, wählt der Verkäufer aus der Standardausstattung. Spätere Änderungen sind nur möglich, soweit der Baufortschritt es zulässt, und gesondert zu vergüten.</w:t>
      </w:r>
    </w:p>
    <w:p>
      <w:pPr>
        <w:pStyle w:val="BodyText"/>
      </w:pPr>
      <w:r>
        <w:rPr>
          <w:b/>
          <w:bCs/>
        </w:rPr>
        <w:t xml:space="preserve">20.3</w:t>
      </w:r>
      <w:r>
        <w:t xml:space="preserve"> </w:t>
      </w:r>
      <w:r>
        <w:t xml:space="preserve">Sonderwünsche außerhalb des Standardsortiments sind vor Beginn der betroffenen Bauleistung vollständig und im Voraus zu zahlen.</w:t>
      </w:r>
    </w:p>
    <w:p>
      <w:r>
        <w:br w:type="page"/>
      </w:r>
    </w:p>
    <w:bookmarkEnd w:id="52"/>
    <w:bookmarkStart w:id="53" w:name="schlussbestimmungen-der-baubeschreibung"/>
    <w:p>
      <w:pPr>
        <w:pStyle w:val="Heading1"/>
      </w:pPr>
      <w:r>
        <w:t xml:space="preserve">Schlussbestimmungen der Baubeschreibung</w:t>
      </w:r>
    </w:p>
    <w:p>
      <w:pPr>
        <w:pStyle w:val="FirstParagraph"/>
      </w:pPr>
      <w:r>
        <w:rPr>
          <w:b/>
          <w:bCs/>
        </w:rPr>
        <w:t xml:space="preserve">S.1</w:t>
      </w:r>
      <w:r>
        <w:t xml:space="preserve"> </w:t>
      </w:r>
      <w:r>
        <w:t xml:space="preserve">Bei Widersprüchen zwischen dieser Baubeschreibung, den Plänen, Bemusterungsunterlagen und dem Kaufvertrag ist zunächst eine technisch und wirtschaftlich sachgerechte Auslegung im Sinne einer einheitlichen Projektausführung vorzunehmen. Der Verkäufer trifft hierzu die erforderlichen Koordinierungsentscheidungen nach billigem Ermessen.</w:t>
      </w:r>
    </w:p>
    <w:p>
      <w:pPr>
        <w:pStyle w:val="BodyText"/>
      </w:pPr>
      <w:r>
        <w:rPr>
          <w:b/>
          <w:bCs/>
        </w:rPr>
        <w:t xml:space="preserve">S.2</w:t>
      </w:r>
      <w:r>
        <w:t xml:space="preserve"> </w:t>
      </w:r>
      <w:r>
        <w:t xml:space="preserve">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pStyle w:val="BodyText"/>
      </w:pPr>
      <w:r>
        <w:t xml:space="preserve">Berlin, im Februar 2026</w:t>
      </w:r>
    </w:p>
    <w:p>
      <w:pPr>
        <w:pStyle w:val="BodyText"/>
      </w:pPr>
      <w:r>
        <w:t xml:space="preserve">Hohenwartshofen Quartiersentwicklung GmbH &amp; Co. KG</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2026-06-16T22:26:12Z</dcterms:created>
  <dcterms:modified xsi:type="dcterms:W3CDTF">2026-06-16T22:26:12Z</dcterms:modified>
</cp:coreProperties>
</file>

<file path=docProps/custom.xml><?xml version="1.0" encoding="utf-8"?>
<Properties xmlns="http://schemas.openxmlformats.org/officeDocument/2006/custom-properties" xmlns:vt="http://schemas.openxmlformats.org/officeDocument/2006/docPropsVTypes"/>
</file>