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auträgervertrag"/>
    <w:p>
      <w:pPr>
        <w:pStyle w:val="Heading1"/>
      </w:pPr>
      <w:r>
        <w:t xml:space="preserve">Bauträgervertrag</w:t>
      </w:r>
    </w:p>
    <w:p>
      <w:r>
        <w:br w:type="page"/>
      </w:r>
    </w:p>
    <w:bookmarkEnd w:id="9"/>
    <w:bookmarkStart w:id="11" w:name="ur-nr.-1882026-kq"/>
    <w:p>
      <w:pPr>
        <w:pStyle w:val="Heading1"/>
      </w:pPr>
      <w:r>
        <w:t xml:space="preserve">UR-Nr. 188/2026 KQ</w:t>
      </w:r>
    </w:p>
    <w:bookmarkStart w:id="10" w:name="verhandelt"/>
    <w:p>
      <w:pPr>
        <w:pStyle w:val="Heading2"/>
      </w:pPr>
      <w:r>
        <w:t xml:space="preserve">Verhandelt</w:t>
      </w:r>
    </w:p>
    <w:p>
      <w:pPr>
        <w:pStyle w:val="FirstParagraph"/>
      </w:pPr>
      <w:r>
        <w:t xml:space="preserve">zu Berlin, am 14. März 2026</w:t>
      </w:r>
    </w:p>
    <w:p>
      <w:pPr>
        <w:pStyle w:val="BodyText"/>
      </w:pPr>
      <w:r>
        <w:t xml:space="preserve">Vor mir, dem unterzeichnenden Notar im Bezirk des Kammergerichts</w:t>
      </w:r>
    </w:p>
    <w:p>
      <w:pPr>
        <w:pStyle w:val="BodyText"/>
      </w:pPr>
      <w:r>
        <w:rPr>
          <w:b/>
          <w:bCs/>
        </w:rPr>
        <w:t xml:space="preserve">Dr. Adalbert von Sickingen-Querfurt</w:t>
      </w:r>
    </w:p>
    <w:p>
      <w:pPr>
        <w:pStyle w:val="BodyText"/>
      </w:pPr>
      <w:r>
        <w:t xml:space="preserve">Kurfürstendamm 211, 10719 Berlin</w:t>
      </w:r>
    </w:p>
    <w:p>
      <w:pPr>
        <w:pStyle w:val="BodyText"/>
      </w:pPr>
      <w:r>
        <w:t xml:space="preserve">erschienen heute:</w:t>
      </w:r>
    </w:p>
    <w:p>
      <w:pPr>
        <w:pStyle w:val="BodyText"/>
      </w:pPr>
      <w:r>
        <w:t xml:space="preserve">Frau</w:t>
      </w:r>
      <w:r>
        <w:t xml:space="preserve"> </w:t>
      </w:r>
      <w:r>
        <w:rPr>
          <w:b/>
          <w:bCs/>
        </w:rPr>
        <w:t xml:space="preserve">Roswitha Quendel-Bingenheimer</w:t>
      </w:r>
      <w:r>
        <w:t xml:space="preserve">, geboren am 11.08.1971,</w:t>
      </w:r>
    </w:p>
    <w:p>
      <w:pPr>
        <w:pStyle w:val="BodyText"/>
      </w:pPr>
      <w:r>
        <w:t xml:space="preserve">geschäftsansässig: Schloßstraße 88, 12163 Berlin,</w:t>
      </w:r>
    </w:p>
    <w:p>
      <w:pPr>
        <w:pStyle w:val="BodyText"/>
      </w:pPr>
      <w:r>
        <w:t xml:space="preserve">dem Notar von Person bekannt,</w:t>
      </w:r>
    </w:p>
    <w:p>
      <w:pPr>
        <w:pStyle w:val="BodyText"/>
      </w:pPr>
      <w:r>
        <w:t xml:space="preserve">handelnd nachfolgend nicht im eigenen Namen, sondern als Bevollmächtigte für die</w:t>
      </w:r>
    </w:p>
    <w:p>
      <w:pPr>
        <w:pStyle w:val="BodyText"/>
      </w:pPr>
      <w:r>
        <w:rPr>
          <w:b/>
          <w:bCs/>
        </w:rPr>
        <w:t xml:space="preserve">Hohenwartshofen Quartiersentwicklung GmbH &amp; Co. KG</w:t>
      </w:r>
    </w:p>
    <w:p>
      <w:pPr>
        <w:pStyle w:val="BodyText"/>
      </w:pPr>
      <w:r>
        <w:t xml:space="preserve">(vormals firmierend unter Hohenwartshofen-Drewitz Immobilien GmbH &amp; Co. KG; Amtsgericht Charlottenburg, HRA 52188 B; Komplementärin: Hohenwartshofen Verwaltungs GmbH, Amtsgericht Charlottenburg, HRB 187 552 B),</w:t>
      </w:r>
    </w:p>
    <w:p>
      <w:pPr>
        <w:pStyle w:val="BodyText"/>
      </w:pPr>
      <w:r>
        <w:t xml:space="preserve">Geschäftsanschrift: Schloßstraße 88, 12163 Berlin,</w:t>
      </w:r>
    </w:p>
    <w:p>
      <w:pPr>
        <w:pStyle w:val="BodyText"/>
      </w:pPr>
      <w:r>
        <w:t xml:space="preserve">— nachstehend auch „Verkäufer” genannt —,</w:t>
      </w:r>
    </w:p>
    <w:p>
      <w:pPr>
        <w:pStyle w:val="BodyText"/>
      </w:pPr>
      <w:r>
        <w:t xml:space="preserve">aufgrund notariell beglaubigter Vollmacht vom 22.10.2025, UR-Nr. 1402/2025 W des Notars Egmont Wachtelborn, Berlin. Das Original der Vollmacht lag bei Beurkundung vor; eine Fotokopie derselben wird in beglaubigter Fotokopie als Anhang a zu dieser Urkunde genommen.</w:t>
      </w:r>
    </w:p>
    <w:p>
      <w:pPr>
        <w:pStyle w:val="BodyText"/>
      </w:pPr>
      <w:r>
        <w:t xml:space="preserve">Herr</w:t>
      </w:r>
      <w:r>
        <w:t xml:space="preserve"> </w:t>
      </w:r>
      <w:r>
        <w:rPr>
          <w:b/>
          <w:bCs/>
        </w:rPr>
        <w:t xml:space="preserve">Dr. Eberwein Übelacker-Strohmeyer</w:t>
      </w:r>
      <w:r>
        <w:t xml:space="preserve">, geboren am 03.02.1968,</w:t>
      </w:r>
    </w:p>
    <w:p>
      <w:pPr>
        <w:pStyle w:val="BodyText"/>
      </w:pPr>
      <w:r>
        <w:t xml:space="preserve">wohnhaft: Königin-Luise-Straße 47, 14195 Berlin,</w:t>
      </w:r>
    </w:p>
    <w:p>
      <w:pPr>
        <w:pStyle w:val="BodyText"/>
      </w:pPr>
      <w:r>
        <w:t xml:space="preserve">ausgewiesen durch gültigen Personalausweis,</w:t>
      </w:r>
    </w:p>
    <w:p>
      <w:pPr>
        <w:pStyle w:val="BodyText"/>
      </w:pPr>
      <w:r>
        <w:t xml:space="preserve">— nachstehend auch „Käufer” genannt —.</w:t>
      </w:r>
    </w:p>
    <w:p>
      <w:pPr>
        <w:pStyle w:val="BodyText"/>
      </w:pPr>
      <w:r>
        <w:t xml:space="preserve">Auf Befragen des Notars erklärten die Erschienene zu 1. auf Rechnung des von ihr Vertretenen und der Erschienene zu 2. auf eigene Rechnung zu handeln.</w:t>
      </w:r>
    </w:p>
    <w:p>
      <w:pPr>
        <w:pStyle w:val="BodyText"/>
      </w:pPr>
      <w:r>
        <w:t xml:space="preserve">Der Notar hat darauf hingewiesen, dass er vor der Protokollierung die Beteiligten darüber zu befragen hat, ob bei der nachstehend zu beurkundenden Angelegenheit eine der mit ihm zur gemeinsamen Berufsausübung verbundenen Personen oder er selbst außerhalb seiner Amtstätigkeit bereits tätig war oder ist. Die Beteiligten erklärten, dass dies nicht der Fall sei.</w:t>
      </w:r>
    </w:p>
    <w:p>
      <w:pPr>
        <w:pStyle w:val="BodyText"/>
      </w:pPr>
      <w:r>
        <w:t xml:space="preserve">Der Käufer erklärte im Hinblick auf § 17 Abs. 2a BeurkG, dass ihm ein Entwurf des nachstehenden Kaufvertrages über das vom Verkäufer verwendete Unterlagenportal zur Verfügung gestellt wurde und dass ihm der wesentliche wirtschaftliche Inhalt des Geschäfts aufgrund der vorangegangenen Reservierung, der Vertriebsgespräche und der Einsichtnahme in das digitale Datenraumverzeichnis bekannt sei. Auf Wunsch des Käufers und im Hinblick auf die auslaufende Reservierungsbindung soll die heutige Beurkundung gleichwohl durchgeführt werden; der Käufer erklärte, derzeit keine weitere Bedenkzeit zu benötigen.</w:t>
      </w:r>
    </w:p>
    <w:p>
      <w:pPr>
        <w:pStyle w:val="BodyText"/>
      </w:pPr>
      <w:r>
        <w:t xml:space="preserve">Die Erschienenen baten sodann um die Beurkundung des nachstehenden</w:t>
      </w:r>
    </w:p>
    <w:bookmarkEnd w:id="10"/>
    <w:bookmarkEnd w:id="11"/>
    <w:bookmarkStart w:id="13" w:name="wohnungsbauträgervertrag-mit-auflassung"/>
    <w:p>
      <w:pPr>
        <w:pStyle w:val="Heading1"/>
      </w:pPr>
      <w:r>
        <w:t xml:space="preserve">Wohnungsbauträgervertrag mit Auflassung</w:t>
      </w:r>
    </w:p>
    <w:bookmarkStart w:id="12" w:name="vorbemerkungen"/>
    <w:p>
      <w:pPr>
        <w:pStyle w:val="Heading2"/>
      </w:pPr>
      <w:r>
        <w:t xml:space="preserve">Vorbemerkungen</w:t>
      </w:r>
    </w:p>
    <w:p>
      <w:pPr>
        <w:pStyle w:val="FirstParagraph"/>
      </w:pPr>
      <w:r>
        <w:rPr>
          <w:b/>
          <w:bCs/>
        </w:rPr>
        <w:t xml:space="preserve">0.1</w:t>
      </w:r>
      <w:r>
        <w:t xml:space="preserve"> </w:t>
      </w:r>
      <w:r>
        <w:t xml:space="preserve">Der Verkäufer beabsichtigt, nach derzeitiger Planung auf dem Grundstück</w:t>
      </w:r>
    </w:p>
    <w:p>
      <w:pPr>
        <w:pStyle w:val="BlockText"/>
      </w:pPr>
      <w:r>
        <w:t xml:space="preserve">Gemarkung Kannenberg-Niederwall, Flur 7, Flurstück 218/4, Gebäude- und Freifläche, „Am Birkenpfuhl”, mit einer grundbuchlichen Größe von insgesamt 11.840 m², nachstehend auch das „Grundstück” genannt,</w:t>
      </w:r>
    </w:p>
    <w:p>
      <w:pPr>
        <w:pStyle w:val="FirstParagraph"/>
      </w:pPr>
      <w:r>
        <w:t xml:space="preserve">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p>
      <w:pPr>
        <w:pStyle w:val="BodyText"/>
      </w:pPr>
      <w:r>
        <w:t xml:space="preserve">Da es sich um ein mehrabschnittiges Quartiersvorhaben handelt, können sich die vorstehende Anzahl der Wohn- und Teileigentumseinheiten, Stellplätze, Bauabschnitte und gemeinschaftlichen Flächen im Zuge der weiteren Abstimmung mit Behörden, Fachplanern, Finanzierungspartnern und Versorgungsunternehmen noch ändern. Änderungen bleiben vorbehalten, soweit der Vertragsgegenstand des Käufers im Kern erhalten bleibt und das Gesamtbild des Quartiers nicht wesentlich verändert wird; eine Anpassung des Kaufpreises erfolgt in diesem Fall nicht.</w:t>
      </w:r>
    </w:p>
    <w:p>
      <w:pPr>
        <w:pStyle w:val="BodyText"/>
      </w:pPr>
      <w:r>
        <w:t xml:space="preserve">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Baustellenverkehr und temporäre Abschaltungen technischer Medien) ergeben können. Solche quartiertypischen Einwirkungen gelten als bei der Preisbildung berücksichtigt, soweit sie die gewöhnliche Nutzbarkeit der Sondereigentumseinheit nicht dauerhaft aufheben.</w:t>
      </w:r>
    </w:p>
    <w:p>
      <w:pPr>
        <w:pStyle w:val="BodyText"/>
      </w:pPr>
      <w:r>
        <w:rPr>
          <w:b/>
          <w:bCs/>
        </w:rPr>
        <w:t xml:space="preserve">0.2</w:t>
      </w:r>
      <w:r>
        <w:t xml:space="preserve"> </w:t>
      </w:r>
      <w:r>
        <w:t xml:space="preserve">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p>
      <w:pPr>
        <w:pStyle w:val="BodyText"/>
      </w:pPr>
      <w:r>
        <w:t xml:space="preserve">— nachfolgend zusammen auch „Teilungserklärung” und/oder zusammen „Bezugsurkunde 1” genannt —.</w:t>
      </w:r>
    </w:p>
    <w:p>
      <w:pPr>
        <w:pStyle w:val="BodyText"/>
      </w:pPr>
      <w:r>
        <w:t xml:space="preserve">Der Kaufgegenstand wird nach näherer Maßgabe von § 5 grundsätzlich so errichtet, wie er sich aus der Baubeschreibung in der Fassung Februar 2026, Version 7.2 ergibt. Die Baubeschreibung wird dem Käufer mit Vertragsunterzeichnung in einer aktuellen, ungebundenen Druckfassung übergeben und war nach Angabe des Verkäufers im Unterlagenportal abrufbar.</w:t>
      </w:r>
    </w:p>
    <w:p>
      <w:pPr>
        <w:pStyle w:val="BodyText"/>
      </w:pPr>
      <w:r>
        <w:t xml:space="preserve">Der Käufer bestätigt mit Unterzeichnung dieses Vertrages, dass ihm die Baubeschreibung, die Teilungserklärung mit Nachträgen sowie die im Datenraum bezeichneten Unterlagen zugänglich waren und dass er Gelegenheit hatte, hierzu rechtlichen, technischen und steuerlichen Rat einzuholen. Die Beteiligten sind sich darüber einig, dass die vorgenannten Unterlagen bei der Kaufentscheidung berücksichtigt wurden.</w:t>
      </w:r>
    </w:p>
    <w:p>
      <w:pPr>
        <w:pStyle w:val="BodyText"/>
      </w:pPr>
      <w:r>
        <w:rPr>
          <w:b/>
          <w:bCs/>
        </w:rPr>
        <w:t xml:space="preserve">0.3</w:t>
      </w:r>
      <w:r>
        <w:t xml:space="preserve"> </w:t>
      </w:r>
      <w:r>
        <w:t xml:space="preserve">Gegenstand dieses Vertrages sind der in § 1 beschriebene Kaufgegenstand sowie die in § 5 beschriebene Herstellungsverpflichtung.</w:t>
      </w:r>
    </w:p>
    <w:p>
      <w:pPr>
        <w:pStyle w:val="BodyText"/>
      </w:pPr>
      <w:r>
        <w:rPr>
          <w:b/>
          <w:bCs/>
        </w:rPr>
        <w:t xml:space="preserve">0.4</w:t>
      </w:r>
      <w:r>
        <w:t xml:space="preserve"> </w:t>
      </w:r>
      <w:r>
        <w:t xml:space="preserve">Die Abgeschlossenheitsbescheinigung zur Teilungserklärung liegt vor.</w:t>
      </w:r>
    </w:p>
    <w:p>
      <w:pPr>
        <w:pStyle w:val="BodyText"/>
      </w:pPr>
      <w:r>
        <w:rPr>
          <w:b/>
          <w:bCs/>
        </w:rPr>
        <w:t xml:space="preserve">0.5</w:t>
      </w:r>
      <w:r>
        <w:t xml:space="preserve"> </w:t>
      </w:r>
      <w:r>
        <w:t xml:space="preserve">Nach Auskunft des Verkäufers liegen die erforderlichen Baugenehmigungen des Landkreises Potsdam-Mittelmark vor; eine Baugenehmigung für Haus 4, in dem die hier verkaufte Wohnung liegt, wird in Kürze erwartet.</w:t>
      </w:r>
    </w:p>
    <w:p>
      <w:pPr>
        <w:pStyle w:val="BodyText"/>
      </w:pPr>
      <w:r>
        <w:rPr>
          <w:b/>
          <w:bCs/>
        </w:rPr>
        <w:t xml:space="preserve">0.6</w:t>
      </w:r>
      <w:r>
        <w:t xml:space="preserve"> </w:t>
      </w:r>
      <w:r>
        <w:t xml:space="preserve">Der Verkäufer weist darauf hin, dass die Erschließung des Grundstücks teilweise noch nicht abgeschlossen ist.</w:t>
      </w:r>
    </w:p>
    <w:p>
      <w:pPr>
        <w:pStyle w:val="BodyText"/>
      </w:pPr>
      <w:r>
        <w:rPr>
          <w:b/>
          <w:bCs/>
        </w:rPr>
        <w:t xml:space="preserve">0.7</w:t>
      </w:r>
      <w:r>
        <w:t xml:space="preserve"> </w:t>
      </w:r>
      <w:r>
        <w:t xml:space="preserve">Der Verkäufer hat für das Bauvorhaben interne Projektunterlagen erstellen lassen, insbesondere den geotechnischen Kurzbericht „BQ-KNW-4/2026” der TerraSond GmbH vom 17.02.2026, die Terminlinie „Birkenpfuhl Q1, Haus 4, Stand 05.03.2026”, die Planliste Architektur B4-A-100 bis B4-A-612, die Fachplanerlisten TGA-B4-ELT/HLS 03/2026, das Brandschutz-Memo BSK-4-2, die Kostentrendblätter der Projektsteuerung sowie Baustellen- und Mängelverfolgungsberichte der Objektüberwachung. Diese Unterlagen dienen ausschließlich der internen Steuerung des Gesamtprojekts. Sie werden dem Käufer nur insoweit zugänglich gemacht, als dies für die Finanzierung der Einheit 4.27, die öffentlich-rechtliche Nachweisführung, die Abnahme oder die spätere Verwaltung nach zwingenden gesetzlichen Vorschriften erforderlich ist oder der Verkäufer dies für die Kommunikation im Bauabschnitt Haus 4 für angezeigt hält.</w:t>
      </w:r>
    </w:p>
    <w:p>
      <w:r>
        <w:br w:type="page"/>
      </w:r>
    </w:p>
    <w:bookmarkEnd w:id="12"/>
    <w:bookmarkEnd w:id="13"/>
    <w:bookmarkStart w:id="14" w:name="kaufgegenstand"/>
    <w:p>
      <w:pPr>
        <w:pStyle w:val="Heading1"/>
      </w:pPr>
      <w:r>
        <w:t xml:space="preserve">§ 1 Kaufgegenstand</w:t>
      </w:r>
    </w:p>
    <w:p>
      <w:pPr>
        <w:pStyle w:val="FirstParagraph"/>
      </w:pPr>
      <w:r>
        <w:rPr>
          <w:b/>
          <w:bCs/>
        </w:rPr>
        <w:t xml:space="preserve">1.1</w:t>
      </w:r>
      <w:r>
        <w:t xml:space="preserve"> </w:t>
      </w:r>
      <w:r>
        <w:t xml:space="preserve">Der Verkäufer ist eingetragener Alleineigentümer des folgenden, im Wohnungsgrundbuch des Amtsgerichts Potsdam für Kannenberg-Niederwall, Blatt 18 442, eingetragenen Wohnungseigentums:</w:t>
      </w:r>
    </w:p>
    <w:p>
      <w:pPr>
        <w:pStyle w:val="BlockText"/>
      </w:pPr>
      <w:r>
        <w:t xml:space="preserve">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p>
      <w:pPr>
        <w:pStyle w:val="FirstParagraph"/>
      </w:pPr>
      <w:r>
        <w:rPr>
          <w:b/>
          <w:bCs/>
        </w:rPr>
        <w:t xml:space="preserve">1.2</w:t>
      </w:r>
      <w:r>
        <w:t xml:space="preserve"> </w:t>
      </w:r>
      <w:r>
        <w:t xml:space="preserve">Die Sondereigentumseinheit und das dort näher bezeichnete Sondernutzungsrecht an dem Tiefgaragenstellplatz Nr. TG-127 nebst den unter § 5 dieses Vertrages beschriebenen Bauleistungen werden nachfolgend zusammen als „Kaufgegenstand” bezeichnet.</w:t>
      </w:r>
    </w:p>
    <w:p>
      <w:pPr>
        <w:pStyle w:val="BodyText"/>
      </w:pPr>
      <w:r>
        <w:rPr>
          <w:b/>
          <w:bCs/>
        </w:rPr>
        <w:t xml:space="preserve">1.3</w:t>
      </w:r>
      <w:r>
        <w:t xml:space="preserve"> </w:t>
      </w:r>
      <w:r>
        <w:t xml:space="preserve">Der Notar hat das Grundbuch gemäß § 1.1 — ohne die Grundakten — elektronisch am heutigen Tage eingesehen.</w:t>
      </w:r>
    </w:p>
    <w:p>
      <w:pPr>
        <w:pStyle w:val="BodyText"/>
      </w:pPr>
      <w:r>
        <w:t xml:space="preserve">In Abteilung II sind eingetragen: beschränkte persönliche Dienstbarkeiten zugunsten der Stadtwerke Kannenberg GmbH, der ENBW Netze AG sowie der Gemeinde Kannenberg-Niederwall. Diese Lasten werden vom Käufer übernommen und sind im Kaufpreis nicht abgegolten.</w:t>
      </w:r>
    </w:p>
    <w:p>
      <w:pPr>
        <w:pStyle w:val="BodyText"/>
      </w:pPr>
      <w:r>
        <w:t xml:space="preserve">In Abteilung III ist eine Gesamtgrundschuld in Höhe von 92 800 000,00 EUR zugunsten der Pommersche Hypotheken-Bank AG eingetragen.</w:t>
      </w:r>
    </w:p>
    <w:p>
      <w:r>
        <w:br w:type="page"/>
      </w:r>
    </w:p>
    <w:bookmarkEnd w:id="14"/>
    <w:bookmarkStart w:id="15" w:name="kaufpreis"/>
    <w:p>
      <w:pPr>
        <w:pStyle w:val="Heading1"/>
      </w:pPr>
      <w:r>
        <w:t xml:space="preserve">§ 2 Kaufpreis</w:t>
      </w:r>
    </w:p>
    <w:p>
      <w:pPr>
        <w:pStyle w:val="FirstParagraph"/>
      </w:pPr>
      <w:r>
        <w:rPr>
          <w:b/>
          <w:bCs/>
        </w:rPr>
        <w:t xml:space="preserve">2.1</w:t>
      </w:r>
      <w:r>
        <w:t xml:space="preserve"> </w:t>
      </w:r>
      <w:r>
        <w:t xml:space="preserve">Der Kaufpreis für den Kaufgegenstand beträgt insgesamt</w:t>
      </w:r>
    </w:p>
    <w:p>
      <w:pPr>
        <w:pStyle w:val="BlockText"/>
      </w:pPr>
      <w:r>
        <w:rPr>
          <w:b/>
          <w:bCs/>
        </w:rPr>
        <w:t xml:space="preserve">789.500,00 EUR</w:t>
      </w:r>
    </w:p>
    <w:p>
      <w:pPr>
        <w:pStyle w:val="FirstParagraph"/>
      </w:pPr>
      <w:r>
        <w:t xml:space="preserve">zzgl. eines Aufpreises für den Tiefgaragenstellplatz von 38 500,00 EUR. Der Gesamtkaufpreis beträgt damit 828 000,00 EUR.</w:t>
      </w:r>
    </w:p>
    <w:p>
      <w:pPr>
        <w:pStyle w:val="BodyText"/>
      </w:pPr>
      <w:r>
        <w:rPr>
          <w:b/>
          <w:bCs/>
        </w:rPr>
        <w:t xml:space="preserve">2.2</w:t>
      </w:r>
      <w:r>
        <w:t xml:space="preserve"> </w:t>
      </w:r>
      <w:r>
        <w:t xml:space="preserve">Der Kaufpreis ist ein Fest-Kaufpreis für die Wohnung 4.27, das Kellerabteil K-4.27, die Terrasse T-4.27 und den Tiefgaragenstellplatz TG-127. Er umfasst die Herstellung dieser Einheit in der Ausstattungslinie „Birkenpfuhl Komfort B4” nach § 5 und Anlage Baubeschreibung, soweit in diesem Vertrag nicht für Sonderwünsche, Erschließung, Hausanschlüsse, Medienanschlüsse, Ladeinfrastruktur, technische Nachsteuerungen in Haus 4 oder nachträgliche öffentlich-rechtliche Anforderungen eine gesonderte Kostentragung vorgesehen ist.</w:t>
      </w:r>
    </w:p>
    <w:p>
      <w:pPr>
        <w:pStyle w:val="BodyText"/>
      </w:pPr>
      <w:r>
        <w:rPr>
          <w:b/>
          <w:bCs/>
        </w:rPr>
        <w:t xml:space="preserve">2.3</w:t>
      </w:r>
      <w:r>
        <w:t xml:space="preserve"> </w:t>
      </w:r>
      <w:r>
        <w:t xml:space="preserve">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p>
      <w:r>
        <w:br w:type="page"/>
      </w:r>
    </w:p>
    <w:bookmarkEnd w:id="15"/>
    <w:bookmarkStart w:id="16" w:name="kaufpreiszahlung-fälligkeit"/>
    <w:p>
      <w:pPr>
        <w:pStyle w:val="Heading1"/>
      </w:pPr>
      <w:r>
        <w:t xml:space="preserve">§ 3 Kaufpreiszahlung, Fälligkeit</w:t>
      </w:r>
    </w:p>
    <w:p>
      <w:pPr>
        <w:pStyle w:val="FirstParagraph"/>
      </w:pPr>
      <w:r>
        <w:rPr>
          <w:b/>
          <w:bCs/>
        </w:rPr>
        <w:t xml:space="preserve">3.1</w:t>
      </w:r>
      <w:r>
        <w:t xml:space="preserve"> </w:t>
      </w:r>
      <w:r>
        <w:t xml:space="preserve">Die Kaufpreiszahlungen sind frühestens fällig und zahlbar, wenn</w:t>
      </w:r>
    </w:p>
    <w:p>
      <w:pPr>
        <w:pStyle w:val="BodyText"/>
      </w:pPr>
      <w:r>
        <w:t xml:space="preserve">3.1.1 der Notar den Parteien schriftlich mitgeteilt hat, dass</w:t>
      </w:r>
    </w:p>
    <w:p>
      <w:pPr>
        <w:numPr>
          <w:ilvl w:val="0"/>
          <w:numId w:val="1001"/>
        </w:numPr>
      </w:pPr>
      <w:r>
        <w:t xml:space="preserve">der Vertrag rechtswirksam zustande gekommen ist,</w:t>
      </w:r>
    </w:p>
    <w:p>
      <w:pPr>
        <w:numPr>
          <w:ilvl w:val="0"/>
          <w:numId w:val="1001"/>
        </w:numPr>
      </w:pPr>
      <w:r>
        <w:t xml:space="preserve">die Eintragung der Auflassungsvormerkung zugunsten des Käufers im Grundbuch eingetragen oder eintragungsbereit beantragt ist,</w:t>
      </w:r>
    </w:p>
    <w:p>
      <w:pPr>
        <w:numPr>
          <w:ilvl w:val="0"/>
          <w:numId w:val="1001"/>
        </w:numPr>
      </w:pPr>
      <w:r>
        <w:t xml:space="preserve">die Lastenfreistellungserklärung der Pommersche Hypotheken-Bank AG für den Kaufgegenstand vorliegt oder die Vorlage zugesichert ist,</w:t>
      </w:r>
    </w:p>
    <w:p>
      <w:pPr>
        <w:pStyle w:val="FirstParagraph"/>
      </w:pPr>
      <w:r>
        <w:t xml:space="preserve">3.1.2 sowie die Baugenehmigung für Haus 4 vorliegt oder, wenn eine Baugenehmigung nicht oder nicht rechtzeitig erforderlich ist, mit dem Bau begonnen werden darf.</w:t>
      </w:r>
    </w:p>
    <w:p>
      <w:pPr>
        <w:pStyle w:val="BodyText"/>
      </w:pPr>
      <w:r>
        <w:rPr>
          <w:b/>
          <w:bCs/>
        </w:rPr>
        <w:t xml:space="preserve">3.2</w:t>
      </w:r>
      <w:r>
        <w:t xml:space="preserve"> </w:t>
      </w:r>
      <w:r>
        <w:t xml:space="preserve">Der Käufer hat den Kaufpreis nach folgendem Ratenplan zu zahlen, wobei der Verkäufer die Raten entsprechend dem tatsächlichen Bauablauf in sieben Teilbeträgen anfordern wird: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Rate</w:t>
            </w:r>
          </w:p>
        </w:tc>
        <w:tc>
          <w:tcPr/>
          <w:p>
            <w:pPr>
              <w:pStyle w:val="Compact"/>
            </w:pPr>
            <w:r>
              <w:t xml:space="preserve">Stichmonat</w:t>
            </w:r>
          </w:p>
        </w:tc>
        <w:tc>
          <w:tcPr/>
          <w:p>
            <w:pPr>
              <w:pStyle w:val="Compact"/>
            </w:pPr>
            <w:r>
              <w:t xml:space="preserve">Anteil</w:t>
            </w:r>
          </w:p>
        </w:tc>
      </w:tr>
      <w:tr>
        <w:tc>
          <w:tcPr/>
          <w:p>
            <w:pPr>
              <w:pStyle w:val="Compact"/>
            </w:pPr>
            <w:r>
              <w:t xml:space="preserve">1. Rate</w:t>
            </w:r>
          </w:p>
        </w:tc>
        <w:tc>
          <w:tcPr/>
          <w:p>
            <w:pPr>
              <w:pStyle w:val="Compact"/>
            </w:pPr>
            <w:r>
              <w:t xml:space="preserve">nach Beginn der Erdarbeiten</w:t>
            </w:r>
          </w:p>
        </w:tc>
        <w:tc>
          <w:tcPr/>
          <w:p>
            <w:pPr>
              <w:pStyle w:val="Compact"/>
            </w:pPr>
            <w:r>
              <w:t xml:space="preserve">30,0 %</w:t>
            </w:r>
          </w:p>
        </w:tc>
      </w:tr>
      <w:tr>
        <w:tc>
          <w:tcPr/>
          <w:p>
            <w:pPr>
              <w:pStyle w:val="Compact"/>
            </w:pPr>
            <w:r>
              <w:t xml:space="preserve">2. Rate</w:t>
            </w:r>
          </w:p>
        </w:tc>
        <w:tc>
          <w:tcPr/>
          <w:p>
            <w:pPr>
              <w:pStyle w:val="Compact"/>
            </w:pPr>
            <w:r>
              <w:t xml:space="preserve">nach Rohbaufertigstellung einschließlich Zimmererarbeiten</w:t>
            </w:r>
          </w:p>
        </w:tc>
        <w:tc>
          <w:tcPr/>
          <w:p>
            <w:pPr>
              <w:pStyle w:val="Compact"/>
            </w:pPr>
            <w:r>
              <w:t xml:space="preserve">28,0 %</w:t>
            </w:r>
          </w:p>
        </w:tc>
      </w:tr>
      <w:tr>
        <w:tc>
          <w:tcPr/>
          <w:p>
            <w:pPr>
              <w:pStyle w:val="Compact"/>
            </w:pPr>
            <w:r>
              <w:t xml:space="preserve">3. Rate</w:t>
            </w:r>
          </w:p>
        </w:tc>
        <w:tc>
          <w:tcPr/>
          <w:p>
            <w:pPr>
              <w:pStyle w:val="Compact"/>
            </w:pPr>
            <w:r>
              <w:t xml:space="preserve">nach Herstellung der Dachflächen und Dachrinnen, Ausführung der Rohinstallation der Heizungs-, Sanitär- und Elektroanlagen sowie Fenstereinbau einschließlich Verglasung</w:t>
            </w:r>
          </w:p>
        </w:tc>
        <w:tc>
          <w:tcPr/>
          <w:p>
            <w:pPr>
              <w:pStyle w:val="Compact"/>
            </w:pPr>
            <w:r>
              <w:t xml:space="preserve">18,9 %</w:t>
            </w:r>
          </w:p>
        </w:tc>
      </w:tr>
      <w:tr>
        <w:tc>
          <w:tcPr/>
          <w:p>
            <w:pPr>
              <w:pStyle w:val="Compact"/>
            </w:pPr>
            <w:r>
              <w:t xml:space="preserve">4. Rate</w:t>
            </w:r>
          </w:p>
        </w:tc>
        <w:tc>
          <w:tcPr/>
          <w:p>
            <w:pPr>
              <w:pStyle w:val="Compact"/>
            </w:pPr>
            <w:r>
              <w:t xml:space="preserve">nach Innenputz, Estrich und Fliesenarbeiten im Sanitärbereich</w:t>
            </w:r>
          </w:p>
        </w:tc>
        <w:tc>
          <w:tcPr/>
          <w:p>
            <w:pPr>
              <w:pStyle w:val="Compact"/>
            </w:pPr>
            <w:r>
              <w:t xml:space="preserve">9,1 %</w:t>
            </w:r>
          </w:p>
        </w:tc>
      </w:tr>
      <w:tr>
        <w:tc>
          <w:tcPr/>
          <w:p>
            <w:pPr>
              <w:pStyle w:val="Compact"/>
            </w:pPr>
            <w:r>
              <w:t xml:space="preserve">5. Rate</w:t>
            </w:r>
          </w:p>
        </w:tc>
        <w:tc>
          <w:tcPr/>
          <w:p>
            <w:pPr>
              <w:pStyle w:val="Compact"/>
            </w:pPr>
            <w:r>
              <w:t xml:space="preserve">nach Bezugsfertigkeit Zug um Zug gegen Besitzübergabe</w:t>
            </w:r>
          </w:p>
        </w:tc>
        <w:tc>
          <w:tcPr/>
          <w:p>
            <w:pPr>
              <w:pStyle w:val="Compact"/>
            </w:pPr>
            <w:r>
              <w:t xml:space="preserve">8,4 %</w:t>
            </w:r>
          </w:p>
        </w:tc>
      </w:tr>
      <w:tr>
        <w:tc>
          <w:tcPr/>
          <w:p>
            <w:pPr>
              <w:pStyle w:val="Compact"/>
            </w:pPr>
            <w:r>
              <w:t xml:space="preserve">6. Rate</w:t>
            </w:r>
          </w:p>
        </w:tc>
        <w:tc>
          <w:tcPr/>
          <w:p>
            <w:pPr>
              <w:pStyle w:val="Compact"/>
            </w:pPr>
            <w:r>
              <w:t xml:space="preserve">nach Fassadenarbeiten</w:t>
            </w:r>
          </w:p>
        </w:tc>
        <w:tc>
          <w:tcPr/>
          <w:p>
            <w:pPr>
              <w:pStyle w:val="Compact"/>
            </w:pPr>
            <w:r>
              <w:t xml:space="preserve">2,1 %</w:t>
            </w:r>
          </w:p>
        </w:tc>
      </w:tr>
      <w:tr>
        <w:tc>
          <w:tcPr/>
          <w:p>
            <w:pPr>
              <w:pStyle w:val="Compact"/>
            </w:pPr>
            <w:r>
              <w:t xml:space="preserve">7. Rate</w:t>
            </w:r>
          </w:p>
        </w:tc>
        <w:tc>
          <w:tcPr/>
          <w:p>
            <w:pPr>
              <w:pStyle w:val="Compact"/>
            </w:pPr>
            <w:r>
              <w:t xml:space="preserve">nach vollständiger Fertigstellung</w:t>
            </w:r>
          </w:p>
        </w:tc>
        <w:tc>
          <w:tcPr/>
          <w:p>
            <w:pPr>
              <w:pStyle w:val="Compact"/>
            </w:pPr>
            <w:r>
              <w:t xml:space="preserve">3,5 %</w:t>
            </w:r>
          </w:p>
        </w:tc>
      </w:tr>
    </w:tbl>
    <w:p>
      <w:pPr>
        <w:pStyle w:val="BodyText"/>
      </w:pPr>
      <w:r>
        <w:t xml:space="preserve">Die Raten sind jeweils zur Zahlung fällig, wenn der Verkäufer den Käufer unter Vorlage einer Bestätigung des für Haus 4 eingesetzten Bauleiters, des Projektcontrollers „BQ-Controlling” oder eines mit der Objektüberwachung befassten Planungsbeteiligten über den erreichten Baufortschritt schriftlich zur Zahlung auffordert. Die Bestätigung darf sich auf den Bauabschnitt Haus 4, die Tiefgaragenspange Nord und die für die Einheit 4.27 relevanten Ausbaugewerke beziehen; eine bauteilgenaue Einzelaufstellung zu fremden Einheiten ist nicht geschuldet. Eine ergänzende Prüfung des Bautenstandes durch den Käufer oder eine von ihm beauftragte Person bleibt nach Maßgabe von § 8 möglich. Einwendungen gegen den bestätigten Bautenstand sind innerhalb von fünf Bankarbeitstagen nach Zugang der Zahlungsaufforderung unter Vorlage eines prüffähigen, auf den konkreten Ratenmeilenstein bezogenen Sachverständigenvermerks in Textform geltend zu machen.</w:t>
      </w:r>
    </w:p>
    <w:p>
      <w:pPr>
        <w:pStyle w:val="BodyText"/>
      </w:pPr>
      <w:r>
        <w:t xml:space="preserve">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p>
      <w:pPr>
        <w:pStyle w:val="BodyText"/>
      </w:pPr>
      <w:r>
        <w:t xml:space="preserve">Im Verzugsfall hat der Käufer diejenigen Umstände darzulegen und nachzuweisen, aus denen sich eine fehlende Verantwortlichkeit für die Nichtzahlung oder ein nicht vom Verkäufer zu vertretendes Ausbleiben der Zahlung ergeben soll. Der Verkäufer ist nach Eintritt eines länger als 45 Kalendertage andauernden Zahlungsverzuges berechtigt, den amtierenden Notar unter Vorlage einer Verzugsaufstellung und einer Rücktritts- oder Aufhebungsanzeige um Vollzug der in § 10 geregelten Vormerkungsfreigabe zu ersuchen.</w:t>
      </w:r>
    </w:p>
    <w:p>
      <w:pPr>
        <w:pStyle w:val="BodyText"/>
      </w:pPr>
      <w:r>
        <w:rPr>
          <w:b/>
          <w:bCs/>
        </w:rPr>
        <w:t xml:space="preserve">3.3</w:t>
      </w:r>
      <w:r>
        <w:t xml:space="preserve"> </w:t>
      </w:r>
      <w:r>
        <w:t xml:space="preserve">Sicherungsmechanik</w:t>
      </w:r>
    </w:p>
    <w:p>
      <w:pPr>
        <w:pStyle w:val="BodyText"/>
      </w:pPr>
      <w:r>
        <w:t xml:space="preserve">Die Parteien gehen davon aus, dass die in dieser Urkunde vorgesehene Abwicklung über Auflassungsvormerkung für Blatt 18 442, die Lastenfreistellung der Pommersche Hypotheken-Bank AG, den siebenstufigen MaBV-Ratenplan und die Baufortschrittsbestätigung für Haus 4 die Interessen des Käufers wahrt. Eine gesonderte Vertragserfüllungssicherheit für die rechtzeitige Herstellung der Einheit 4.27 ohne wesentliche Mängel wird nicht vereinbart. Soweit zwingende gesetzliche Sicherungsrechte bestehen, bleiben diese unberührt; ihre praktische Abwicklung erfolgt im Rahmen der ersten für Haus 4 fälligen Rate nach Abstimmung mit dem Verkäufer und der globalfinanzierenden Bank.</w:t>
      </w:r>
    </w:p>
    <w:p>
      <w:pPr>
        <w:pStyle w:val="BodyText"/>
      </w:pPr>
      <w:r>
        <w:rPr>
          <w:b/>
          <w:bCs/>
        </w:rPr>
        <w:t xml:space="preserve">3.4</w:t>
      </w:r>
      <w:r>
        <w:t xml:space="preserve"> </w:t>
      </w:r>
      <w:r>
        <w:t xml:space="preserve">Reservierungsentgelt. Die Parteien erklären, dass der Käufer vor der Beurkundung an den Verkäufer ein Reservierungsentgelt in Höhe von 22 000,00 EUR gezahlt hat. Das Entgelt betrifft nach Angabe des Verkäufers die zeitweise Herausnahme der Einheit aus dem Vertrieb, die Datenraumbereitstellung, Koordination der Finanzierungsunterlagen und projektbezogene Bearbeitung. Eine Verrechnung mit Kaufpreisraten erfolgt nur, wenn der Verkäufer dies bei Fälligstellung der ersten Rate ausdrücklich bestätigt.</w:t>
      </w:r>
    </w:p>
    <w:p>
      <w:pPr>
        <w:pStyle w:val="BodyText"/>
      </w:pPr>
      <w:r>
        <w:rPr>
          <w:b/>
          <w:bCs/>
        </w:rPr>
        <w:t xml:space="preserve">3.5</w:t>
      </w:r>
      <w:r>
        <w:t xml:space="preserve"> </w:t>
      </w:r>
      <w:r>
        <w:t xml:space="preserve">Sonderwünsche. Sonderwünsche des Käufers außerhalb der Ausstattungslinie „Birkenpfuhl Komfort B4” — insbesondere abweichende Bodenbeläge, Sanitärserien, Duschabtrennungen, zusätzliche Elektropunkte, Medienanschlüsse, Küchenvorbereitungen, Änderungen an nichttragenden Innenwänden oder Sonderausstattung des Stellplatzes TG-127 — sind gesondert zu beauftragen und vor Beginn der jeweils betroffenen Bauleistung auf Grundlage des Nachtragsangebots vollständig zu zahlen. Die Vergütung für individuelle Beratungen im Bemusterungszentrum beträgt 180,00 EUR netto je angefangener Beratungsstunde ab der vierten Stunde. Die Parteien sind sich einig, dass Sonderwunschentgelte gesonderte Zusatzleistungen betreffen und nicht in den MaBV-Ratenplan einzustellen sind.</w:t>
      </w:r>
    </w:p>
    <w:p>
      <w:r>
        <w:br w:type="page"/>
      </w:r>
    </w:p>
    <w:bookmarkEnd w:id="16"/>
    <w:bookmarkStart w:id="17" w:name="Xacd27a9a0599f387afb098c717c3b96c90edba0"/>
    <w:p>
      <w:pPr>
        <w:pStyle w:val="Heading1"/>
      </w:pPr>
      <w:r>
        <w:t xml:space="preserve">§ 4 Belastungsvollmacht, Kaufpreisfinanzierung</w:t>
      </w:r>
    </w:p>
    <w:p>
      <w:pPr>
        <w:pStyle w:val="FirstParagraph"/>
      </w:pPr>
      <w:r>
        <w:rPr>
          <w:b/>
          <w:bCs/>
        </w:rPr>
        <w:t xml:space="preserve">4.1</w:t>
      </w:r>
      <w:r>
        <w:t xml:space="preserve"> </w:t>
      </w:r>
      <w:r>
        <w:t xml:space="preserve">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p>
      <w:pPr>
        <w:pStyle w:val="BodyText"/>
      </w:pPr>
      <w:r>
        <w:rPr>
          <w:b/>
          <w:bCs/>
        </w:rPr>
        <w:t xml:space="preserve">4.2</w:t>
      </w:r>
      <w:r>
        <w:t xml:space="preserve"> </w:t>
      </w:r>
      <w:r>
        <w:t xml:space="preserve">Eine persönliche Haftung des Käufers darf dabei bis zu einem Grundschuldbetrag von 1 050 000,00 EUR nebst bis zu 18 % Jahreszinsen und 10 % einmaliger Nebenleistung begründet werden, wenn die finanzierende Bank dies nach ihren Beleihungs- und Auszahlungsvorgaben verlangt. Die Beteiligten gehen davon aus, dass die persönliche Haftungsübernahme der Finanzierung der Wohnung 4.27, des Kellerabteils K-4.27, der Terrasse T-4.27 und des Stellplatzes TG-127 dient.</w:t>
      </w:r>
    </w:p>
    <w:p>
      <w:pPr>
        <w:pStyle w:val="BodyText"/>
      </w:pPr>
      <w:r>
        <w:rPr>
          <w:b/>
          <w:bCs/>
        </w:rPr>
        <w:t xml:space="preserve">4.3</w:t>
      </w:r>
      <w:r>
        <w:t xml:space="preserve"> </w:t>
      </w:r>
      <w:r>
        <w:t xml:space="preserve">Die Grundpfandrechte können einschließlich Zinsen, Nebenleistungen, sofortiger Zwangsvollstreckungsunterwerfung in das belastete Wohnungseigentum und persönlicher Zwangsvollstreckungsunterwerfung des Käufers bestellt werden. Eine interne Begrenzung auf den Finanzierungszweck bleibt dem Käufer und seiner Bank vorbehalten. Der Käufer trägt sämtliche mit Bestellung, Rangbeschaffung hinter der Globalgrundschuld, Treuhandabwicklung und Löschung verbundenen Kosten.</w:t>
      </w:r>
    </w:p>
    <w:p>
      <w:r>
        <w:br w:type="page"/>
      </w:r>
    </w:p>
    <w:bookmarkEnd w:id="17"/>
    <w:bookmarkStart w:id="18" w:name="baupflicht-baubeschreibung"/>
    <w:p>
      <w:pPr>
        <w:pStyle w:val="Heading1"/>
      </w:pPr>
      <w:r>
        <w:t xml:space="preserve">§ 5 Baupflicht, Baubeschreibung</w:t>
      </w:r>
    </w:p>
    <w:p>
      <w:pPr>
        <w:pStyle w:val="FirstParagraph"/>
      </w:pPr>
      <w:r>
        <w:rPr>
          <w:b/>
          <w:bCs/>
        </w:rPr>
        <w:t xml:space="preserve">5.1</w:t>
      </w:r>
      <w:r>
        <w:t xml:space="preserve"> </w:t>
      </w:r>
      <w:r>
        <w:t xml:space="preserve">Der Verkäufer verpflichtet sich, den Kaufgegenstand nach Maßgabe der Baubeschreibung in der Fassung Februar 2026, Version 7.2, der Bezugsurkunden und der diesem Vertrag zugrunde liegenden Pläne herzustellen.</w:t>
      </w:r>
    </w:p>
    <w:p>
      <w:pPr>
        <w:pStyle w:val="BodyText"/>
      </w:pPr>
      <w:r>
        <w:rPr>
          <w:b/>
          <w:bCs/>
        </w:rPr>
        <w:t xml:space="preserve">5.2</w:t>
      </w:r>
      <w:r>
        <w:t xml:space="preserve"> </w:t>
      </w:r>
      <w:r>
        <w:t xml:space="preserve">Planung, Projektsteuerung und Objektüberwachung</w:t>
      </w:r>
    </w:p>
    <w:p>
      <w:pPr>
        <w:pStyle w:val="BodyText"/>
      </w:pPr>
      <w:r>
        <w:t xml:space="preserve">Der Verkäufer organisiert Planung, Fachplanung, Projektsteuerung und Objektüberwachung des Bauvorhabens in eigener Verantwortung. Für Haus 4 sind nach Angaben des Verkäufers die Objektplanung, die TGA-Planung Heizung/Lüftung/Sanitär/Elektro, die Tragwerksplanung, die Freianlagenplanung und die brandschutztechnische Begleitung jeweils projektbezogen beauftragt; die Einzelheiten der Beauftragung, Leistungsphasen, Honorierung und Berichtspflichten bleiben dem Innenverhältnis des Verkäufers vorbehalten. Soweit für das Bauvorhaben Leistungen erbracht werden, die ihrer Art nach Leistungsphasen der Honorarordnung für Architekten und Ingenieure entsprechen, dienen diese Leistungen ausschließlich dem Verhältnis des Verkäufers zu seinen Planern und Fachplanern. Aus der Beauftragung oder Nichtbeauftragung einzelner Leistungsphasen, insbesondere der Ausführungsplanung, der Mitwirkung bei der Vergabe, der Objektüberwachung oder der Objektbetreuung, werden keine eigenen Rechte des Käufers gegen Planer, Fachplaner, Projektsteuerer, Bauleiter oder sonstige Baubeteiligte begründet.</w:t>
      </w:r>
    </w:p>
    <w:p>
      <w:pPr>
        <w:pStyle w:val="BodyText"/>
      </w:pPr>
      <w:r>
        <w:t xml:space="preserve">Die laufenden Berichte der Objektüberwachung, Bautagebücher, Prüfvermerke, Mängellisten, Kostenberichte und Terminfortschreibungen sind interne Arbeitsunterlagen des Verkäufers. Der Käufer erhält hieraus Auszüge nur, soweit sie nach zwingendem Recht zur Finanzierung, Förderung, öffentlich-rechtlichen Nachweisführung oder Abnahme erforderlich sind oder der Verkäufer dies aus Gründen einer geordneten Projektkommunikation für zweckmäßig hält. Der Käufer erkennt an, dass die technische Qualitätssicherung des Verkäufers im Interesse einer einheitlichen Projektdurchführung zentralisiert erfolgt und nicht durch Einzelweisungen einzelner Erwerber ersetzt werden kann.</w:t>
      </w:r>
    </w:p>
    <w:p>
      <w:pPr>
        <w:pStyle w:val="BodyText"/>
      </w:pPr>
      <w:r>
        <w:rPr>
          <w:b/>
          <w:bCs/>
        </w:rPr>
        <w:t xml:space="preserve">5.3</w:t>
      </w:r>
      <w:r>
        <w:t xml:space="preserve"> </w:t>
      </w:r>
      <w:r>
        <w:t xml:space="preserve">Soweit die Baubeschreibung Wahlmöglichkeiten bei Material, Farbe oder Form vorsieht, erhält der Käufer im Rahmen einer Bemusterung die Möglichkeit, sofern der Baufortschritt es noch zulässt, eine entsprechende Auswahl zu treffen.</w:t>
      </w:r>
    </w:p>
    <w:p>
      <w:pPr>
        <w:pStyle w:val="BodyText"/>
      </w:pPr>
      <w:r>
        <w:t xml:space="preserve">Die Bemusterung erfolgt im Bemusterungszentrum „Birkenpfuhl Auswahlwelt”, Tempelhofer Weg 41, 10829 Berlin, Raum B4. Im Kaufpreis enthalten sind drei Beratungsstunden für Boden, Fliesen, Sanitär, Türen, Elektro-Mehrpunkte und Oberflächen der Einheit 4.27. Darüber hinausgehender Beratungsaufwand des Verkäufers ist durch den Käufer mit einem Stundensatz von 180,00 EUR netto zu vergüten.</w:t>
      </w:r>
    </w:p>
    <w:p>
      <w:pPr>
        <w:pStyle w:val="BodyText"/>
      </w:pPr>
      <w:r>
        <w:t xml:space="preserve">Die Bemusterung hat spätestens vier Wochen nach Aufforderung des Verkäufers stattzufinden. Reagiert der Käufer auf die Aufforderung nicht oder nicht rechtzeitig, wählt der Verkäufer für die Einheit 4.27 aus der Ausstattungslinie „Birkenpfuhl Komfort B4” diejenigen Boden-, Fliesen-, Sanitär-, Tür- und Beschlagsvarianten aus, die mit der laufenden Bestellung für Haus 4 gebündelt werden können; ein Anspruch auf nachträgliche Änderung besteht nicht.</w:t>
      </w:r>
    </w:p>
    <w:p>
      <w:pPr>
        <w:pStyle w:val="BodyText"/>
      </w:pPr>
      <w:r>
        <w:rPr>
          <w:b/>
          <w:bCs/>
        </w:rPr>
        <w:t xml:space="preserve">5.4</w:t>
      </w:r>
      <w:r>
        <w:t xml:space="preserve"> </w:t>
      </w:r>
      <w:r>
        <w:t xml:space="preserve">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p>
      <w:pPr>
        <w:pStyle w:val="BodyText"/>
      </w:pPr>
      <w:r>
        <w:rPr>
          <w:b/>
          <w:bCs/>
        </w:rPr>
        <w:t xml:space="preserve">5.5</w:t>
      </w:r>
      <w:r>
        <w:t xml:space="preserve"> </w:t>
      </w:r>
      <w:r>
        <w:t xml:space="preserve">Soweit die Baubeschreibung für Haus 4, Wohnung 4.27 oder TG-127 keine oder unbestimmte Angaben hinsichtlich notwendiger Leistungen enthält, ist der Verkäufer gemäß § 315 BGB zur Leistungsbestimmung berechtigt. Maßgeblich ist die Einordnung der Einheit in die Ausstattungslinie „Birkenpfuhl Komfort B4”, wobei die Schacht- und Fassadenlogik von Haus 4, die gebündelten Bestellungen für die Gewerke Boden/Fliese/Sanitär/Tür, die Wartbarkeit der TGA-Komponenten und das einheitliche Erscheinungsbild des Quartiers zu berücksichtigen sind.</w:t>
      </w:r>
    </w:p>
    <w:p>
      <w:pPr>
        <w:pStyle w:val="BodyText"/>
      </w:pPr>
      <w:r>
        <w:rPr>
          <w:b/>
          <w:bCs/>
        </w:rPr>
        <w:t xml:space="preserve">5.6</w:t>
      </w:r>
      <w:r>
        <w:t xml:space="preserve"> </w:t>
      </w:r>
      <w:r>
        <w:t xml:space="preserve">Der Verkäufer hat die Leistungen nach den anerkannten Regeln der Technik</w:t>
      </w:r>
      <w:r>
        <w:t xml:space="preserve"> </w:t>
      </w:r>
      <w:r>
        <w:rPr>
          <w:b/>
          <w:bCs/>
        </w:rPr>
        <w:t xml:space="preserve">zum Tag der Erteilung der Baugenehmigung</w:t>
      </w:r>
      <w:r>
        <w:t xml:space="preserve"> </w:t>
      </w:r>
      <w:r>
        <w:t xml:space="preserve">zu errichten. Spätere Änderungen der anerkannten Regeln der Technik wirken sich auf die geschuldete Leistung nicht aus.</w:t>
      </w:r>
    </w:p>
    <w:p>
      <w:pPr>
        <w:pStyle w:val="BodyText"/>
      </w:pPr>
      <w:r>
        <w:rPr>
          <w:b/>
          <w:bCs/>
        </w:rPr>
        <w:t xml:space="preserve">5.7</w:t>
      </w:r>
      <w:r>
        <w:t xml:space="preserve"> </w:t>
      </w:r>
      <w:r>
        <w:t xml:space="preserve">Änderungen in Planung und Ausführung durch den Verkäufer sind zulässig, wenn sie aufgrund behördlicher Vorgaben oder Auflagen, Gesetzesänderungen, statischer Notwendigkeit, Bauablauf-Erfordernissen oder sonstigen Rechtsgründen erforderlich sind.</w:t>
      </w:r>
    </w:p>
    <w:p>
      <w:pPr>
        <w:pStyle w:val="BodyText"/>
      </w:pPr>
      <w:r>
        <w:t xml:space="preserve">Änderungen sind ferner zulässig, wenn sie aufgrund der Fortschreibung der Ausführungsplanung für Haus 4, der Schacht- und Leitungskoordination in den Steigzonen B4-S1 bis B4-S4, der Anschlussplanung an die Tiefgaragenspange Nord, der Lieferbarkeit von Fenstern, Fliesen, Sanitärgegenständen oder technischen Komponenten oder der wirtschaftlichen Gesamtsteuerung des Quartiers zweckmäßig erscheinen und die gewöhnliche Nutzbarkeit des Kaufgegenstandes nicht wesentlich beeinträchtigen. Gleichwertige Ausführungen gelten nicht als Abweichung vom Bausoll.</w:t>
      </w:r>
    </w:p>
    <w:p>
      <w:pPr>
        <w:pStyle w:val="BodyText"/>
      </w:pPr>
      <w:r>
        <w:rPr>
          <w:b/>
          <w:bCs/>
        </w:rPr>
        <w:t xml:space="preserve">5.8</w:t>
      </w:r>
      <w:r>
        <w:t xml:space="preserve"> </w:t>
      </w:r>
      <w:r>
        <w:t xml:space="preserve">Termine</w:t>
      </w:r>
    </w:p>
    <w:p>
      <w:pPr>
        <w:pStyle w:val="BodyText"/>
      </w:pPr>
      <w:r>
        <w:t xml:space="preserve">5.8.1 Der Verkäufer wird die gemäß § 5.1 geschuldeten Bauleistungen voraussichtlich bis 30.09.2027 bezugsfertig herstellen.</w:t>
      </w:r>
    </w:p>
    <w:p>
      <w:pPr>
        <w:pStyle w:val="BodyText"/>
      </w:pPr>
      <w:r>
        <w:t xml:space="preserve">Behinderungen bei der Herstellung des Bauvorhabens aus Umständen, die vom Verkäufer nicht zu vertreten sind, z. B. höhere Gewalt, Pandemielagen, Lieferengpässe bei Aufzug, Fenstern, Wärmepumpenkomponenten oder Mittelspannungstechnik, Streik, Aussperrung, Witterungsverhältnisse einschließlich Hitze- und Kälteperioden, Wasserhaltung im Bereich der Tiefgaragenspange Nord, Wechselkursbewegungen bei Baustoffen, Personalengpässe bei Nachunternehmern oder verspätete Abstimmungen mit Versorgungsunternehmen, verlängern die jeweils betroffene Herstellungsfrist um die Dauer der Behinderung zuzüglich eines Zuschlags von bis zu sechs Wochen für Umplanung, Wiederanlauf und Neuabstimmung der Gewerke.</w:t>
      </w:r>
    </w:p>
    <w:p>
      <w:pPr>
        <w:pStyle w:val="BodyText"/>
      </w:pPr>
      <w:r>
        <w:t xml:space="preserve">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p>
      <w:pPr>
        <w:pStyle w:val="BodyText"/>
      </w:pPr>
      <w:r>
        <w:rPr>
          <w:b/>
          <w:bCs/>
        </w:rPr>
        <w:t xml:space="preserve">5.9</w:t>
      </w:r>
      <w:r>
        <w:t xml:space="preserve"> </w:t>
      </w:r>
      <w:r>
        <w:t xml:space="preserve">Wohnfläche</w:t>
      </w:r>
    </w:p>
    <w:p>
      <w:pPr>
        <w:pStyle w:val="BodyText"/>
      </w:pPr>
      <w:r>
        <w:t xml:space="preserve">5.9.1 Die nach Maßgabe des § 5.1 herzustellende Wohnfläche beträgt ca. 118,4 m². Die Flächenberechnung erfolgt nach DIN 277.</w:t>
      </w:r>
    </w:p>
    <w:p>
      <w:pPr>
        <w:pStyle w:val="BodyText"/>
      </w:pPr>
      <w:r>
        <w:t xml:space="preserve">5.9.2 Aus einer Unterschreitung der vorstehenden Wohnfläche kann der Käufer nur Rechte herleiten, wenn die Unterschreitung 8 % der vorstehenden Wohnfläche übersteigt.</w:t>
      </w:r>
    </w:p>
    <w:p>
      <w:pPr>
        <w:pStyle w:val="BodyText"/>
      </w:pPr>
      <w:r>
        <w:rPr>
          <w:b/>
          <w:bCs/>
        </w:rPr>
        <w:t xml:space="preserve">5.10</w:t>
      </w:r>
      <w:r>
        <w:t xml:space="preserve"> </w:t>
      </w:r>
      <w:r>
        <w:t xml:space="preserve">Energiestandard. Haus 4 wird nach den zum Tag der Baugenehmigung geltenden energetischen Anforderungen errichtet und an das für das Quartier vorgesehene Wärmeversorgungskonzept angeschlossen. Eine bestimmte KfW-Effizienzhausklasse, Förderfähigkeit, ein bestimmter Primärenergiebedarf oder ein bestimmter GEG-Standard über den öffentlich-rechtlich geschuldeten Mindeststandard hinaus wird nicht geschuldet.</w:t>
      </w:r>
    </w:p>
    <w:p>
      <w:pPr>
        <w:pStyle w:val="BodyText"/>
      </w:pPr>
      <w:r>
        <w:rPr>
          <w:b/>
          <w:bCs/>
        </w:rPr>
        <w:t xml:space="preserve">5.11</w:t>
      </w:r>
      <w:r>
        <w:t xml:space="preserve"> </w:t>
      </w:r>
      <w:r>
        <w:t xml:space="preserve">Baugrund, Grundwasser und Baugrube. Dem Verkäufer liegt der geotechnische Kurzbericht „BQ-KNW-4/2026” der TerraSond GmbH vom 17.02.2026 vor. Die darin enthaltenen Annahmen beruhen auf punktuellen Aufschlüssen im Bereich Haus 4, Tiefgaragenspange Nord und Baufeld Q1 und weisen wechselnde Auffüllungen, bindige Schichten, zeitweise Schichtenwasserführung sowie mögliche Entsorgungsmehrkosten aus. Abweichungen des tatsächlichen Baugrunds, Grundwasserstände, Wasserhaltungsmaßnahmen, Kampfmittel-, Altlasten- oder Entsorgungsbefunde sowie hierdurch erforderliche technische Anpassungen gelten nicht als Abweichung von der vereinbarten Beschaffenheit, sofern die Gebrauchstauglichkeit der Wohnung 4.27 nach Fertigstellung nicht wesentlich beeinträchtigt wird. Die hierdurch verursachten Bauzeitverlängerungen gelten als vom Verkäufer nicht zu vertreten.</w:t>
      </w:r>
    </w:p>
    <w:p>
      <w:pPr>
        <w:pStyle w:val="BodyText"/>
      </w:pPr>
      <w:r>
        <w:rPr>
          <w:b/>
          <w:bCs/>
        </w:rPr>
        <w:t xml:space="preserve">5.12</w:t>
      </w:r>
      <w:r>
        <w:t xml:space="preserve"> </w:t>
      </w:r>
      <w:r>
        <w:t xml:space="preserve">Schall-, Wärme-, Feuchte- und Brandschutz. Die öffentlich-rechtlich erforderlichen Nachweise werden durch den Verkäufer eingeholt. Eine darüberhinausgehende Beschaffenheit, insbesondere ein erhöhter Schallschutz, eine bestimmte Behaglichkeitsklasse, eine bestimmte Raumluftqualität oder eine bestimmte sommerliche Kühlleistung, wird nur geschuldet, soweit dies in der Baubeschreibung ausdrücklich mit Zahlenwerten vereinbart ist. Kondensat-, Schimmel- oder Feuchteschäden, die auf ein nicht den jeweiligen Nutzungshinweisen entsprechendes Heizungs-, Lüftungs- oder Möblierungsverhalten zurückzuführen sind, stellen keinen Mangel dar.</w:t>
      </w:r>
    </w:p>
    <w:p>
      <w:pPr>
        <w:pStyle w:val="BodyText"/>
      </w:pPr>
      <w:r>
        <w:rPr>
          <w:b/>
          <w:bCs/>
        </w:rPr>
        <w:t xml:space="preserve">5.13</w:t>
      </w:r>
      <w:r>
        <w:t xml:space="preserve"> </w:t>
      </w:r>
      <w:r>
        <w:t xml:space="preserve">Technische Anlagen, Wartung, Betrieb. Der Käufer nimmt zur Kenntnis, dass die beiden Aufzüge in Haus 4, die Dach- und Badlüfter, die Entwässerungs- und Hebeanlagen der Tiefgarage, die Tiefgaragenentlüftung, die Rauchabzugseinrichtungen, die Heizungs- und Warmwassertechnik, Zähler- und Messsysteme sowie etwaige Lade- oder Photovoltaikinfrastruktur regelmäßiger Wartung bedürfen. Der Verkäufer oder der Erstverwalter ist berechtigt, zur Sicherstellung der Erstbetriebsphase Wartungs-, Betriebsführungs-, Mess- und Energielieferungsverträge insbesondere mit der Kannenberg Wärme GmbH, der Lift &amp; Service Nordost GmbH, der ParkTec Garage GmbH und Messdienstleistern mit einer anfänglichen Laufzeit von bis zu sieben Jahren abzuschließen. Die daraus entstehenden Kosten tragen die Eigentümer nach Maßgabe der Teilungserklärung.</w:t>
      </w:r>
    </w:p>
    <w:p>
      <w:pPr>
        <w:pStyle w:val="BodyText"/>
      </w:pPr>
      <w:r>
        <w:rPr>
          <w:b/>
          <w:bCs/>
        </w:rPr>
        <w:t xml:space="preserve">5.14</w:t>
      </w:r>
      <w:r>
        <w:t xml:space="preserve"> </w:t>
      </w:r>
      <w:r>
        <w:t xml:space="preserve">Kostenanpassung bei nachträglichen Anforderungen. Werden nach Beurkundung aufgrund öffentlich-rechtlicher Vorgaben für Haus 4, Förderbedingungen, geänderter Anforderungen der Wärmeversorgung, Ladeinfrastruktur, Entwässerung, Brandschutztechnik, Tiefgaragenlüftung oder infolge der Fortschreibung der Fachplanung Maßnahmen erforderlich oder für die Fertigstellung von Haus 4 und TG-127 technisch veranlasst, die in der Kalkulation des Verkäufers nicht enthalten waren, kann der Verkäufer eine Anpassung der hierdurch betroffenen Kostenpositionen verlangen. Der Verkäufer wird dem Käufer die Anpassung in Textform bezogen auf das betroffene Gewerk erläutern; eine Offenlegung der Gesamtkalkulation des Projekts ist nicht geschuldet.</w:t>
      </w:r>
    </w:p>
    <w:p>
      <w:pPr>
        <w:pStyle w:val="BodyText"/>
      </w:pPr>
      <w:r>
        <w:rPr>
          <w:b/>
          <w:bCs/>
        </w:rPr>
        <w:t xml:space="preserve">5.15</w:t>
      </w:r>
      <w:r>
        <w:t xml:space="preserve"> </w:t>
      </w:r>
      <w:r>
        <w:t xml:space="preserve">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p>
      <w:r>
        <w:br w:type="page"/>
      </w:r>
    </w:p>
    <w:bookmarkEnd w:id="18"/>
    <w:bookmarkStart w:id="19" w:name="Xf95df7023395c5238d26d19148165edbf6ad5ae"/>
    <w:p>
      <w:pPr>
        <w:pStyle w:val="Heading1"/>
      </w:pPr>
      <w:r>
        <w:t xml:space="preserve">§ 6 Wirtschaftlicher Besitzübergang, Abnahme, Schlüsselübergabe</w:t>
      </w:r>
    </w:p>
    <w:p>
      <w:pPr>
        <w:pStyle w:val="FirstParagraph"/>
      </w:pPr>
      <w:r>
        <w:rPr>
          <w:b/>
          <w:bCs/>
        </w:rPr>
        <w:t xml:space="preserve">6.1</w:t>
      </w:r>
      <w:r>
        <w:t xml:space="preserve"> </w:t>
      </w:r>
      <w:r>
        <w:t xml:space="preserve">Besitz, Nutzen, Lasten, Steuern, Abgaben und Gefahren des Kaufgegenstandes gehen mit dem Tag der Übergabe der Sondereigentumseinheit auf den Käufer über. Die Schlüsselübergabe setzt voraus, dass die bis dahin fälligen Kaufpreis- und Sonderwunschbeträge ausgeglichen sind oder eine vom Verkäufer akzeptierte Treuhand- oder Sicherungsabrede vorliegt. Restarbeiten und Mängel, die der Wohnnutzung nicht entgegenstehen, werden im Übergabeprotokoll erfasst und nach Maßgabe der technischen Abläufe beseitigt.</w:t>
      </w:r>
    </w:p>
    <w:p>
      <w:pPr>
        <w:pStyle w:val="BodyText"/>
      </w:pPr>
      <w:r>
        <w:rPr>
          <w:b/>
          <w:bCs/>
        </w:rPr>
        <w:t xml:space="preserve">6.2</w:t>
      </w:r>
      <w:r>
        <w:t xml:space="preserve"> </w:t>
      </w:r>
      <w:r>
        <w:t xml:space="preserve">Abnahme der Sondereigentumseinheit</w:t>
      </w:r>
    </w:p>
    <w:p>
      <w:pPr>
        <w:pStyle w:val="BodyText"/>
      </w:pPr>
      <w:r>
        <w:t xml:space="preserve">6.2.1 Die Sondereigentumseinheit wird vor Bezug nach einer gemeinsamen Begehung abgenommen. Hierzu teilt der Verkäufer dem Käufer schriftlich die bezugsfertige Herstellung mit und fordert ihn unter Setzung einer Frist von zehn Tagen zur Begehung und Abnahme auf.</w:t>
      </w:r>
    </w:p>
    <w:p>
      <w:pPr>
        <w:pStyle w:val="BodyText"/>
      </w:pPr>
      <w:r>
        <w:t xml:space="preserve">Erscheint der Käufer zum mitgeteilten Termin nicht oder verweigert er die Unterzeichnung der Niederschrift, ohne in Textform mindestens einen wesentlichen, der Abnahme entgegenstehenden Mangel konkret zu bezeichnen, gilt die Sondereigentumseinheit mit Ablauf des Termins als abgenommen. Die Aufforderung zur Abnahme darf zur Vermeidung von Wiederholungen auf diese Regelung verweisen.</w:t>
      </w:r>
    </w:p>
    <w:p>
      <w:pPr>
        <w:pStyle w:val="BodyText"/>
      </w:pPr>
      <w:r>
        <w:t xml:space="preserve">6.2.2 Geringfügige Unregelmäßigkeiten, optische Abweichungen im Rahmen handwerklicher Toleranzen und Restpunkte, deren Beseitigung die Gebrauchstauglichkeit nicht spürbar beeinträchtigt, stehen der Abnahme nicht entgegen. Die Parteien gehen davon aus, dass solche Punkte im Rahmen der üblichen Nachlaufbearbeitung abgearbeitet werden.</w:t>
      </w:r>
    </w:p>
    <w:p>
      <w:pPr>
        <w:pStyle w:val="BodyText"/>
      </w:pPr>
      <w:r>
        <w:rPr>
          <w:b/>
          <w:bCs/>
        </w:rPr>
        <w:t xml:space="preserve">6.3</w:t>
      </w:r>
      <w:r>
        <w:t xml:space="preserve"> </w:t>
      </w:r>
      <w:r>
        <w:t xml:space="preserve">Abnahme des Gemeinschaftseigentums</w:t>
      </w:r>
    </w:p>
    <w:p>
      <w:pPr>
        <w:pStyle w:val="BodyText"/>
      </w:pPr>
      <w:r>
        <w:t xml:space="preserve">6.3.1 Zur Sicherstellung einer einheitlichen und fachlich koordinierten Abnahme des Gemeinschaftseigentums wird die vom Verkäufer bestellte Erstverwaltung die Abnahme organisatorisch vorbereiten und die Erwerber hierüber informieren. Sie ist berechtigt, die Abnahmeerklärung für die Gemeinschaft abzugeben, soweit die Erwerbergemeinschaft nicht vor dem Abnahmetermin einen abweichenden Vertreter benennt.</w:t>
      </w:r>
    </w:p>
    <w:p>
      <w:pPr>
        <w:pStyle w:val="BodyText"/>
      </w:pPr>
      <w:r>
        <w:t xml:space="preserve">6.3.2 Die Erstverwaltung wird hierzu einen öffentlich bestellten und vereidigten oder vergleichbar qualifizierten Sachverständigen hinzuziehen, der aus einer vom Verkäufer vorgeschlagenen Liste beauftragt wird. Die Kosten des Sachverständigen werden als Kosten der erstmaligen Inbetriebnahme des Gemeinschaftseigentums behandelt.</w:t>
      </w:r>
    </w:p>
    <w:p>
      <w:pPr>
        <w:pStyle w:val="BodyText"/>
      </w:pPr>
      <w:r>
        <w:t xml:space="preserve">6.3.3 Nach Übermittlung des Sachverständigenprotokolls und der Abnahmeerklärung an die Erstverwaltung gilt die Abnahme des Gemeinschaftseigentums gegenüber den Erwerbern als erfolgt, soweit nicht innerhalb von zehn Bankarbeitstagen schriftlich wesentliche, im Protokoll nicht berücksichtigte Abnahmehindernisse benannt werden.</w:t>
      </w:r>
    </w:p>
    <w:p>
      <w:r>
        <w:br w:type="page"/>
      </w:r>
    </w:p>
    <w:bookmarkEnd w:id="19"/>
    <w:bookmarkStart w:id="20" w:name="erschließungskosten"/>
    <w:p>
      <w:pPr>
        <w:pStyle w:val="Heading1"/>
      </w:pPr>
      <w:r>
        <w:t xml:space="preserve">§ 7 Erschließungskosten</w:t>
      </w:r>
    </w:p>
    <w:p>
      <w:pPr>
        <w:pStyle w:val="FirstParagraph"/>
      </w:pPr>
      <w:r>
        <w:rPr>
          <w:b/>
          <w:bCs/>
        </w:rPr>
        <w:t xml:space="preserve">7.1</w:t>
      </w:r>
      <w:r>
        <w:t xml:space="preserve"> </w:t>
      </w:r>
      <w:r>
        <w:t xml:space="preserve">Sämtliche Kosten der Erschließung sowie der erstmaligen Anschlüsse des Kaufgegenstandes an Ver- und Entsorgungsanlagen einschließlich Trinkwasser, Schmutzwasser, Niederschlagswasser, Strom, Wärmeversorgung, Telekommunikation, Zufahrt „Am Birkenpfuhl”, Gehwegwiederherstellung, Straßenbeleuchtung, Herstellungsbeiträge und Abgaben nach den einschlägigen kommunalen Satzungen und landesrechtlichen Abgabenvorschriften trägt der Käufer anteilig nach seinem Miteigentumsanteil von 184/100 000.</w:t>
      </w:r>
    </w:p>
    <w:p>
      <w:pPr>
        <w:pStyle w:val="BodyText"/>
      </w:pPr>
      <w:r>
        <w:rPr>
          <w:b/>
          <w:bCs/>
        </w:rPr>
        <w:t xml:space="preserve">7.2</w:t>
      </w:r>
      <w:r>
        <w:t xml:space="preserve"> </w:t>
      </w:r>
      <w:r>
        <w:t xml:space="preserve">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p>
      <w:r>
        <w:br w:type="page"/>
      </w:r>
    </w:p>
    <w:bookmarkEnd w:id="20"/>
    <w:bookmarkStart w:id="21" w:name="zutritt-zur-baustelle"/>
    <w:p>
      <w:pPr>
        <w:pStyle w:val="Heading1"/>
      </w:pPr>
      <w:r>
        <w:t xml:space="preserve">§ 8 Zutritt zur Baustelle</w:t>
      </w:r>
    </w:p>
    <w:p>
      <w:pPr>
        <w:pStyle w:val="FirstParagraph"/>
      </w:pPr>
      <w:r>
        <w:rPr>
          <w:b/>
          <w:bCs/>
        </w:rPr>
        <w:t xml:space="preserve">8.1</w:t>
      </w:r>
      <w:r>
        <w:t xml:space="preserve"> </w:t>
      </w:r>
      <w:r>
        <w:t xml:space="preserve">Der Käufer darf das Grundstück während der Bauzeit aus Gründen der Verkehrssicherheit, des Arbeitsschutzes und der geordneten Bauabwicklung nur nach vorheriger Abstimmung mit dem Verkäufer über den Zugang „Bauzaun Tor West” betreten. Der Verkäufer bietet dem Käufer bis zu zwei begleitete Besichtigungstermine vor Bezugsfertigkeit von Haus 4 sowie einen Termin zur Abnahme der Sondereigentumseinheit an; Regelzeitfenster sind dienstags und donnerstags zwischen 09:00 Uhr und 12:00 Uhr, soweit Kran- und Lieferverkehr dies zulassen. Weitere Termine können insbesondere bei den Ratenmeilensteinen Rohbau, Fenstereinbau, Estrich und Bezugsfertigkeit ermöglicht werden, sofern Bauablauf, Kran- und Lieferverkehr, Sicherheitsvorgaben, Nachunternehmerinteressen, Datenschutz und der Vertrieb anderer Einheiten nicht beeinträchtigt werden.</w:t>
      </w:r>
    </w:p>
    <w:p>
      <w:pPr>
        <w:pStyle w:val="BodyText"/>
      </w:pPr>
      <w:r>
        <w:rPr>
          <w:b/>
          <w:bCs/>
        </w:rPr>
        <w:t xml:space="preserve">8.2</w:t>
      </w:r>
      <w:r>
        <w:t xml:space="preserve"> </w:t>
      </w:r>
      <w:r>
        <w:t xml:space="preserve">Der Käufer kann zu den nach § 8.1 zugelassenen Terminen einen privaten Sachverständigen hinzuziehen, sofern dieser dem Verkäufer spätestens fünf Bankarbeitstage vor dem Termin benannt wird, einen geeigneten Versicherungsschutz nachweist und sich verpflichtet, keine Weisungen an Baubeteiligte zu erteilen, keine Bauteilöffnungen vorzunehmen und keine Fotos von fremden Einheiten, Beschäftigten, Nachunternehmerleistungen oder sicherheitsrelevanten Einrichtungen anzufertigen. Feststellungen des privaten Sachverständigen werden vom Verkäufer geprüft, entfalten jedoch keine Bindungswirkung für die Objektüberwachung des Verkäufers und berühren die Fälligkeit angeforderter Raten nur bei rechtzeitigem, prüffähigem und auf den konkreten Ratenmeilenstein bezogenem Gegenvermerk.</w:t>
      </w:r>
    </w:p>
    <w:p>
      <w:pPr>
        <w:pStyle w:val="BodyText"/>
      </w:pPr>
      <w:r>
        <w:rPr>
          <w:b/>
          <w:bCs/>
        </w:rPr>
        <w:t xml:space="preserve">8.3</w:t>
      </w:r>
      <w:r>
        <w:t xml:space="preserve"> </w:t>
      </w:r>
      <w:r>
        <w:t xml:space="preserve">Bei Verstößen gegen die Zutritts- und Verhaltensregelungen kann der Verkäufer weitere Baustellentermine von zusätzlichen Sicherheitsauflagen abhängig machen und für jeden schuldhaften Verstoß eine pauschale Bearbeitungs- und Sicherheitskostenbeteiligung in Höhe von 2 500,00 EUR geltend machen. Dem Käufer bleibt der Nachweis eines geringeren Aufwandes vorbehalten.</w:t>
      </w:r>
    </w:p>
    <w:p>
      <w:r>
        <w:br w:type="page"/>
      </w:r>
    </w:p>
    <w:bookmarkEnd w:id="21"/>
    <w:bookmarkStart w:id="22" w:name="haftung-mängelrechte-verzug-verjährung"/>
    <w:p>
      <w:pPr>
        <w:pStyle w:val="Heading1"/>
      </w:pPr>
      <w:r>
        <w:t xml:space="preserve">§ 9 Haftung, Mängelrechte, Verzug, Verjährung</w:t>
      </w:r>
    </w:p>
    <w:p>
      <w:pPr>
        <w:pStyle w:val="FirstParagraph"/>
      </w:pPr>
      <w:r>
        <w:rPr>
          <w:b/>
          <w:bCs/>
        </w:rPr>
        <w:t xml:space="preserve">9.1</w:t>
      </w:r>
      <w:r>
        <w:t xml:space="preserve"> </w:t>
      </w:r>
      <w:r>
        <w:t xml:space="preserve">Der Verkäufer schuldet den lastenfreien Besitz- und Eigentumsübergang des Vertragsgegenstandes, soweit nicht Lasten und Rechte ausdrücklich übernommen werden.</w:t>
      </w:r>
    </w:p>
    <w:p>
      <w:pPr>
        <w:pStyle w:val="BodyText"/>
      </w:pPr>
      <w:r>
        <w:rPr>
          <w:b/>
          <w:bCs/>
        </w:rPr>
        <w:t xml:space="preserve">9.2</w:t>
      </w:r>
      <w:r>
        <w:t xml:space="preserve"> </w:t>
      </w:r>
      <w:r>
        <w:t xml:space="preserve">Der Verkäufer schuldet weder die Verwendbarkeit des Kaufgegenstandes für Zwecke des Käufers noch dessen Eignung zur Erreichung steuerlicher Ziele des Käufers.</w:t>
      </w:r>
    </w:p>
    <w:p>
      <w:pPr>
        <w:pStyle w:val="BodyText"/>
      </w:pPr>
      <w:r>
        <w:rPr>
          <w:b/>
          <w:bCs/>
        </w:rPr>
        <w:t xml:space="preserve">9.3</w:t>
      </w:r>
      <w:r>
        <w:t xml:space="preserve"> </w:t>
      </w:r>
      <w:r>
        <w:t xml:space="preserve">Alle Ansprüche und Rechte des Käufers wegen eines Sachmangels des Grundstücks sind ausgeschlossen, ausgenommen Schadensersatzansprüche wegen Vorsatzes.</w:t>
      </w:r>
    </w:p>
    <w:p>
      <w:pPr>
        <w:pStyle w:val="BodyText"/>
      </w:pPr>
      <w:r>
        <w:rPr>
          <w:b/>
          <w:bCs/>
        </w:rPr>
        <w:t xml:space="preserve">9.4</w:t>
      </w:r>
      <w:r>
        <w:t xml:space="preserve"> </w:t>
      </w:r>
      <w:r>
        <w:t xml:space="preserve">Hinsichtlich des herzustellenden Bauwerks gelten die Regelungen des Werkvertragsrechts gem. §§ 633 ff. BGB mit folgender Maßgabe und zur Sicherung einer geordneten Gewährleistungsabwicklung:</w:t>
      </w:r>
    </w:p>
    <w:p>
      <w:pPr>
        <w:pStyle w:val="Compact"/>
        <w:numPr>
          <w:ilvl w:val="0"/>
          <w:numId w:val="1002"/>
        </w:numPr>
      </w:pPr>
      <w:r>
        <w:t xml:space="preserve">Mängelanzeigen sind mit konkreter Beschreibung, Lageangabe innerhalb der Wohnung 4.27, Foto und gewünschter Kontaktaufnahme an die vom Verkäufer benannte Gewährleistungsstelle</w:t>
      </w:r>
      <w:r>
        <w:t xml:space="preserve"> </w:t>
      </w:r>
      <w:r>
        <w:rPr>
          <w:rStyle w:val="VerbatimChar"/>
        </w:rPr>
        <w:t xml:space="preserve">gewaehrleistung-birkenpfuhl@hq-projekt.de</w:t>
      </w:r>
      <w:r>
        <w:t xml:space="preserve"> </w:t>
      </w:r>
      <w:r>
        <w:t xml:space="preserve">zu richten.</w:t>
      </w:r>
    </w:p>
    <w:p>
      <w:pPr>
        <w:pStyle w:val="Compact"/>
        <w:numPr>
          <w:ilvl w:val="0"/>
          <w:numId w:val="1002"/>
        </w:numPr>
      </w:pPr>
      <w:r>
        <w:t xml:space="preserve">Der Käufer wird dem Verkäufer zunächst Gelegenheit zur Prüfung und Nacherfüllung geben; Ersatzvornahmen vor Abschluss dieser Prüfung sind nur bei Gefahr im Verzug oder nach schriftlicher Freigabe des Verkäufers erstattungsfähig.</w:t>
      </w:r>
    </w:p>
    <w:p>
      <w:pPr>
        <w:pStyle w:val="Compact"/>
        <w:numPr>
          <w:ilvl w:val="0"/>
          <w:numId w:val="1002"/>
        </w:numPr>
      </w:pPr>
      <w:r>
        <w:t xml:space="preserve">Zur Vermeidung von Folgeschäden sollen Mängel binnen 14 Kalendertagen nach Entdeckung in Textform angezeigt werden. Später angezeigte Punkte werden im Rahmen der Gewährleistungsbearbeitung berücksichtigt, soweit eine Zuordnung zum Verantwortungsbereich des Verkäufers noch möglich ist.</w:t>
      </w:r>
    </w:p>
    <w:p>
      <w:pPr>
        <w:pStyle w:val="Compact"/>
        <w:numPr>
          <w:ilvl w:val="0"/>
          <w:numId w:val="1002"/>
        </w:numPr>
      </w:pPr>
      <w:r>
        <w:t xml:space="preserve">Für Verschleißteile, einstellungsbedürftige Anlagen und wartungsabhängige Bauteile gelten die jeweiligen Wartungs- und Bedienungshinweise. Unterbleibt die nach den Hersteller- oder Betreiberunterlagen vorgesehene Wartung, wird vermutet, dass hierauf beruhende Funktionsstörungen nicht vom Verkäufer zu vertreten sind.</w:t>
      </w:r>
    </w:p>
    <w:p>
      <w:pPr>
        <w:pStyle w:val="Compact"/>
        <w:numPr>
          <w:ilvl w:val="0"/>
          <w:numId w:val="1002"/>
        </w:numPr>
      </w:pPr>
      <w:r>
        <w:t xml:space="preserve">Die Verjährungsfrist für Mängelansprüche beträgt zwei Jahre ab der vom Verkäufer dokumentierten Abnahmebestätigung, soweit zwingendes Recht keine längere Frist vorschreibt.</w:t>
      </w:r>
    </w:p>
    <w:p>
      <w:pPr>
        <w:pStyle w:val="FirstParagraph"/>
      </w:pPr>
      <w:r>
        <w:rPr>
          <w:b/>
          <w:bCs/>
        </w:rPr>
        <w:t xml:space="preserve">9.5</w:t>
      </w:r>
      <w:r>
        <w:t xml:space="preserve"> </w:t>
      </w:r>
      <w:r>
        <w:t xml:space="preserve">Schäden an Gebrauchsteilen und sonstigen Bauteilen, die aufgrund bestimmungsgemäßen Gebrauches über eine nur begrenzte Nutzungsdauer verfügen und/oder ständiger Wartung bedürfen, stellen keinen Mangel dar.</w:t>
      </w:r>
    </w:p>
    <w:p>
      <w:pPr>
        <w:pStyle w:val="BodyText"/>
      </w:pPr>
      <w:r>
        <w:rPr>
          <w:b/>
          <w:bCs/>
        </w:rPr>
        <w:t xml:space="preserve">9.6</w:t>
      </w:r>
      <w:r>
        <w:t xml:space="preserve"> </w:t>
      </w:r>
      <w:r>
        <w:t xml:space="preserve">Werden bei Übergabe oder Abnahme unwesentliche Mängel oder Restarbeiten festgestellt, kann der Verkäufer zur Beschleunigung der Übergabe einen Restarbeitenplan für die Wohnung 4.27 mit Kostenbewertung je Position oder eine Bürgschaft eines Bürgen gemäß § 2 Abs. 2 MaBV stellen. Die Parteien werden den Einbehalt auf den nach dem Restarbeitenplan verbleibenden voraussichtlichen Aufwand begrenzen; nach Anzeige der Abarbeitung ist eine gestellte Sicherheit freizugeben, sofern der Käufer nicht binnen zehn Bankarbeitstagen substantiiert widerspricht.</w:t>
      </w:r>
    </w:p>
    <w:p>
      <w:r>
        <w:br w:type="page"/>
      </w:r>
    </w:p>
    <w:bookmarkEnd w:id="22"/>
    <w:bookmarkStart w:id="23" w:name="vormerkung"/>
    <w:p>
      <w:pPr>
        <w:pStyle w:val="Heading1"/>
      </w:pPr>
      <w:r>
        <w:t xml:space="preserve">§ 10 Vormerkung</w:t>
      </w:r>
    </w:p>
    <w:p>
      <w:pPr>
        <w:pStyle w:val="FirstParagraph"/>
      </w:pPr>
      <w:r>
        <w:rPr>
          <w:b/>
          <w:bCs/>
        </w:rPr>
        <w:t xml:space="preserve">10.1</w:t>
      </w:r>
      <w:r>
        <w:t xml:space="preserve"> </w:t>
      </w:r>
      <w:r>
        <w:t xml:space="preserve">Zur Sicherung des Anspruchs des Käufers auf Verschaffung des Eigentums an dem Kaufgegenstand wird die Eintragung einer Eigentumsvormerkung nach § 883 BGB zugunsten des Käufers im Wohnungsgrundbuch durch den Verkäufer bewilligt und durch die Parteien beantragt.</w:t>
      </w:r>
    </w:p>
    <w:p>
      <w:pPr>
        <w:pStyle w:val="BodyText"/>
      </w:pPr>
      <w:r>
        <w:rPr>
          <w:b/>
          <w:bCs/>
        </w:rPr>
        <w:t xml:space="preserve">10.2</w:t>
      </w:r>
      <w:r>
        <w:t xml:space="preserve"> </w:t>
      </w:r>
      <w:r>
        <w:t xml:space="preserve">Zur Vermeidung grundbuchlicher Blockaden bewilligt der Käufer bereits heute die Löschung der Vormerkung für den Fall, dass der gesicherte Anspruch infolge Rücktritts, einvernehmlicher Aufhebung, endgültiger Kaufpreisnichtzahlung oder sonstiger Erledigung nicht mehr besteht. Der Notar darf von dieser Bewilligung Gebrauch machen, wenn ihm der Verkäufer die Erledigung des gesicherten Anspruchs in Textform anzeigt und der Käufer nicht binnen zehn Bankarbeitstagen nach notarieller Anhörung widerspricht.</w:t>
      </w:r>
    </w:p>
    <w:p>
      <w:pPr>
        <w:pStyle w:val="BodyText"/>
      </w:pPr>
      <w:r>
        <w:rPr>
          <w:b/>
          <w:bCs/>
        </w:rPr>
        <w:t xml:space="preserve">10.3</w:t>
      </w:r>
      <w:r>
        <w:t xml:space="preserve"> </w:t>
      </w:r>
      <w:r>
        <w:t xml:space="preserve">Der Käufer beantragt schon heute die Löschung der Eigentumsvormerkung Zug um Zug mit Vollzug der Auflassung.</w:t>
      </w:r>
    </w:p>
    <w:p>
      <w:r>
        <w:br w:type="page"/>
      </w:r>
    </w:p>
    <w:bookmarkEnd w:id="23"/>
    <w:bookmarkStart w:id="24" w:name="auflassung"/>
    <w:p>
      <w:pPr>
        <w:pStyle w:val="Heading1"/>
      </w:pPr>
      <w:r>
        <w:t xml:space="preserve">§ 11 Auflassung</w:t>
      </w:r>
    </w:p>
    <w:p>
      <w:pPr>
        <w:pStyle w:val="FirstParagraph"/>
      </w:pPr>
      <w:r>
        <w:t xml:space="preserve">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p>
      <w:r>
        <w:br w:type="page"/>
      </w:r>
    </w:p>
    <w:bookmarkEnd w:id="24"/>
    <w:bookmarkStart w:id="25" w:name="vollmachten"/>
    <w:p>
      <w:pPr>
        <w:pStyle w:val="Heading1"/>
      </w:pPr>
      <w:r>
        <w:t xml:space="preserve">§ 12 Vollmachten</w:t>
      </w:r>
    </w:p>
    <w:p>
      <w:pPr>
        <w:pStyle w:val="FirstParagraph"/>
      </w:pPr>
      <w:r>
        <w:rPr>
          <w:b/>
          <w:bCs/>
        </w:rPr>
        <w:t xml:space="preserve">12.1</w:t>
      </w:r>
      <w:r>
        <w:t xml:space="preserve"> </w:t>
      </w:r>
      <w:r>
        <w:t xml:space="preserve">Der Käufer bevollmächtigt den Verkäufer, die Teilungserklärung einschließlich Gemeinschaftsordnung ohne weitere Mitwirkung des Käufers zu ändern, soweit dies zur Durchführung des Gesamtprojekts, zur Anpassung der Aufteilungspläne, zur Berichtigung offenbarer Unrichtigkeiten, zur Bildung oder Anpassung von Untergemeinschaften, zur Verschiebung oder Konkretisierung von Sondernutzungsrechten, zur Änderung technischer Gemeinschaftsflächen oder zur sachgerechten Kostenverteilung erforderlich oder zweckmäßig ist. Die Vollmacht erstreckt sich auch auf die Sondereigentumseinheit des Käufers, soweit deren wirtschaftlicher Zuschnitt nicht wesentlich verändert wird.</w:t>
      </w:r>
    </w:p>
    <w:p>
      <w:pPr>
        <w:pStyle w:val="BodyText"/>
      </w:pPr>
      <w:r>
        <w:rPr>
          <w:b/>
          <w:bCs/>
        </w:rPr>
        <w:t xml:space="preserve">12.2</w:t>
      </w:r>
      <w:r>
        <w:t xml:space="preserve"> </w:t>
      </w:r>
      <w:r>
        <w:t xml:space="preserve">Die Vollmacht ist im Außenverhältnis unbeschränkt und von den Beschränkungen des § 181 BGB befreit. Im Innenverhältnis soll sie nur projektbezogen und unter Wahrung der berechtigten Interessen des Käufers ausgeübt werden. Ein Widerruf ist nur aus wichtigem Grund zulässig.</w:t>
      </w:r>
    </w:p>
    <w:p>
      <w:pPr>
        <w:pStyle w:val="BodyText"/>
      </w:pPr>
      <w:r>
        <w:rPr>
          <w:b/>
          <w:bCs/>
        </w:rPr>
        <w:t xml:space="preserve">12.3</w:t>
      </w:r>
      <w:r>
        <w:t xml:space="preserve"> </w:t>
      </w:r>
      <w:r>
        <w:t xml:space="preserve">Der Käufer bevollmächtigt den Verkäufer ferner, sämtliche zur Durchführung dieses Vertrages erforderlichen Anträge, Erklärungen und Verzichte beim Grundbuchamt, bei Behörden und gegenüber Dritten abzugeben.</w:t>
      </w:r>
    </w:p>
    <w:p>
      <w:r>
        <w:br w:type="page"/>
      </w:r>
    </w:p>
    <w:bookmarkEnd w:id="25"/>
    <w:bookmarkStart w:id="26" w:name="schlussbestimmungen"/>
    <w:p>
      <w:pPr>
        <w:pStyle w:val="Heading1"/>
      </w:pPr>
      <w:r>
        <w:t xml:space="preserve">§ 13 Schlussbestimmungen</w:t>
      </w:r>
    </w:p>
    <w:p>
      <w:pPr>
        <w:pStyle w:val="FirstParagraph"/>
      </w:pPr>
      <w:r>
        <w:rPr>
          <w:b/>
          <w:bCs/>
        </w:rPr>
        <w:t xml:space="preserve">13.1</w:t>
      </w:r>
      <w:r>
        <w:t xml:space="preserve"> </w:t>
      </w:r>
      <w:r>
        <w:t xml:space="preserve">Mündliche Nebenabreden bestehen nicht. Änderungen und Ergänzungen dieses Vertrages bedürfen der notariellen Beurkundung, soweit gesetzlich vorgeschrieben, im Übrigen der Schriftform.</w:t>
      </w:r>
    </w:p>
    <w:p>
      <w:pPr>
        <w:pStyle w:val="BodyText"/>
      </w:pPr>
      <w:r>
        <w:rPr>
          <w:b/>
          <w:bCs/>
        </w:rPr>
        <w:t xml:space="preserve">13.2</w:t>
      </w:r>
      <w:r>
        <w:t xml:space="preserve"> </w:t>
      </w:r>
      <w:r>
        <w:t xml:space="preserve">Sollte eine Bestimmung dieses Vertrages unwirksam sein oder werden, so wird die Wirksamkeit der übrigen Bestimmungen davon nicht berührt.</w:t>
      </w:r>
    </w:p>
    <w:p>
      <w:pPr>
        <w:pStyle w:val="BodyText"/>
      </w:pPr>
      <w:r>
        <w:rPr>
          <w:b/>
          <w:bCs/>
        </w:rPr>
        <w:t xml:space="preserve">13.3</w:t>
      </w:r>
      <w:r>
        <w:t xml:space="preserve"> </w:t>
      </w:r>
      <w:r>
        <w:t xml:space="preserve">Gerichtsstand für sämtliche Streitigkeiten aus diesem Vertrag ist Berlin, soweit dies rechtlich zulässig ist.</w:t>
      </w:r>
    </w:p>
    <w:p>
      <w:pPr>
        <w:pStyle w:val="BodyText"/>
      </w:pPr>
      <w:r>
        <w:rPr>
          <w:b/>
          <w:bCs/>
        </w:rPr>
        <w:t xml:space="preserve">13.4</w:t>
      </w:r>
      <w:r>
        <w:t xml:space="preserve"> </w:t>
      </w:r>
      <w:r>
        <w:t xml:space="preserve">Die Kosten dieser Urkunde und ihres Vollzugs trägt der Käufer.</w:t>
      </w:r>
    </w:p>
    <w:p>
      <w:pPr>
        <w:pStyle w:val="BodyText"/>
      </w:pPr>
      <w:r>
        <w:rPr>
          <w:b/>
          <w:bCs/>
        </w:rPr>
        <w:t xml:space="preserve">13.5</w:t>
      </w:r>
      <w:r>
        <w:t xml:space="preserve"> </w:t>
      </w:r>
      <w:r>
        <w:t xml:space="preserve">Der Käufer trägt die auf die Einheit 4.27 und den Stellplatz TG-127 entfallenden Kosten der erstmaligen Einrichtung und Übergabe der WEG-Verwaltung, der technischen Betriebsführung, der Einweisung in Aufzug, Tiefgarage, Wärmeversorgung, Rauchabzug und Messsysteme sowie der für die Erstbetriebsphase abgeschlossenen Wartungs- und Dienstleistungsverträge. Eine Überprüfung der Wirtschaftlichkeit dieser Verträge durch einzelne Erwerber ist vor Übergabe des Gemeinschaftseigentums nicht geschuldet.</w:t>
      </w:r>
    </w:p>
    <w:p>
      <w:r>
        <w:br w:type="page"/>
      </w:r>
    </w:p>
    <w:bookmarkEnd w:id="26"/>
    <w:bookmarkStart w:id="27" w:name="belehrungen"/>
    <w:p>
      <w:pPr>
        <w:pStyle w:val="Heading1"/>
      </w:pPr>
      <w:r>
        <w:t xml:space="preserve">§ 14 Belehrungen</w:t>
      </w:r>
    </w:p>
    <w:p>
      <w:pPr>
        <w:pStyle w:val="FirstParagraph"/>
      </w:pPr>
      <w:r>
        <w:t xml:space="preserve">Der Notar hat die Beteiligten belehrt über:</w:t>
      </w:r>
    </w:p>
    <w:p>
      <w:pPr>
        <w:pStyle w:val="Compact"/>
        <w:numPr>
          <w:ilvl w:val="0"/>
          <w:numId w:val="1003"/>
        </w:numPr>
      </w:pPr>
      <w:r>
        <w:t xml:space="preserve">den Inhalt und die Bedeutung dieses Vertrages,</w:t>
      </w:r>
    </w:p>
    <w:p>
      <w:pPr>
        <w:pStyle w:val="Compact"/>
        <w:numPr>
          <w:ilvl w:val="0"/>
          <w:numId w:val="1003"/>
        </w:numPr>
      </w:pPr>
      <w:r>
        <w:t xml:space="preserve">die Bedeutung der Bezugnahme nach § 13a BeurkG,</w:t>
      </w:r>
    </w:p>
    <w:p>
      <w:pPr>
        <w:pStyle w:val="Compact"/>
        <w:numPr>
          <w:ilvl w:val="0"/>
          <w:numId w:val="1003"/>
        </w:numPr>
      </w:pPr>
      <w:r>
        <w:t xml:space="preserve">die Eigentumsübertragung erst mit Eintragung im Grundbuch,</w:t>
      </w:r>
    </w:p>
    <w:p>
      <w:pPr>
        <w:pStyle w:val="Compact"/>
        <w:numPr>
          <w:ilvl w:val="0"/>
          <w:numId w:val="1003"/>
        </w:numPr>
      </w:pPr>
      <w:r>
        <w:t xml:space="preserve">die Bedeutung der Auflassungsvormerkung,</w:t>
      </w:r>
    </w:p>
    <w:p>
      <w:pPr>
        <w:pStyle w:val="Compact"/>
        <w:numPr>
          <w:ilvl w:val="0"/>
          <w:numId w:val="1003"/>
        </w:numPr>
      </w:pPr>
      <w:r>
        <w:t xml:space="preserve">die Bedeutung der Belastungsvollmacht,</w:t>
      </w:r>
    </w:p>
    <w:p>
      <w:pPr>
        <w:pStyle w:val="Compact"/>
        <w:numPr>
          <w:ilvl w:val="0"/>
          <w:numId w:val="1003"/>
        </w:numPr>
      </w:pPr>
      <w:r>
        <w:t xml:space="preserve">die gesetzliche Verjährungsfrist für Mängelansprüche im Werkvertragsrecht,</w:t>
      </w:r>
    </w:p>
    <w:p>
      <w:pPr>
        <w:pStyle w:val="Compact"/>
        <w:numPr>
          <w:ilvl w:val="0"/>
          <w:numId w:val="1003"/>
        </w:numPr>
      </w:pPr>
      <w:r>
        <w:t xml:space="preserve">die Möglichkeit, eigene technische Berater hinzuzuziehen, wobei der Notar keine technische Prüfung des Baugrunds, der Bauüberwachung, der Fachplanung oder der Wirtschaftlichkeit von Betriebs- und Wartungsverträgen vorgenommen hat.</w:t>
      </w:r>
    </w:p>
    <w:p>
      <w:pPr>
        <w:pStyle w:val="FirstParagraph"/>
      </w:pPr>
      <w:r>
        <w:t xml:space="preserve">Der Notar hat darauf hingewiesen, dass er als unparteiischer Amtsträger keine wirtschaftliche, steuerliche oder bautechnische Beratung übernimmt und keine Interessenvertretung einer Partei leistet. Fragen der Finanzierung, Rentabilität, technischen Zweckmäßigkeit, Wartungskosten, Förderfähigkeit und individuellen steuerlichen Auswirkungen waren nicht Gegenstand der notariellen Prüfung.</w:t>
      </w:r>
    </w:p>
    <w:p>
      <w:r>
        <w:br w:type="page"/>
      </w:r>
    </w:p>
    <w:bookmarkEnd w:id="27"/>
    <w:bookmarkStart w:id="28" w:name="X4f67cac4119bae2ce85a655d240d61c8e478a46"/>
    <w:p>
      <w:pPr>
        <w:pStyle w:val="Heading1"/>
      </w:pPr>
      <w:r>
        <w:t xml:space="preserve">Bezugsurkunden, Anlagen und Vollzugshinweise</w:t>
      </w:r>
    </w:p>
    <w:p>
      <w:pPr>
        <w:pStyle w:val="FirstParagraph"/>
      </w:pPr>
      <w:r>
        <w:rPr>
          <w:b/>
          <w:bCs/>
        </w:rPr>
        <w:t xml:space="preserve">Bezugsurkunde 1</w:t>
      </w:r>
      <w:r>
        <w:t xml:space="preserve"> </w:t>
      </w:r>
      <w:r>
        <w:t xml:space="preserve">— Teilungserklärung einschließlich Gemeinschaftsordnung vom 18. Juli 2024, UR-Nr. 612/2024 W des Notars Egmont Wachtelborn, Berlin, in der Fassung des 1. bis 7. Nachtrags (UR-Nrn. 731/2024 W, 942/2024 W, 28/2025 W, 412/2025 W, 698/2025 W, 1108/2025 W und 187/2026 W). Auf das Verlesen wird gemäß § 13a BeurkG verzichtet (siehe Unterschriftenvermerk).</w:t>
      </w:r>
    </w:p>
    <w:p>
      <w:pPr>
        <w:pStyle w:val="BodyText"/>
      </w:pPr>
      <w:r>
        <w:rPr>
          <w:b/>
          <w:bCs/>
        </w:rPr>
        <w:t xml:space="preserve">Anhang a</w:t>
      </w:r>
      <w:r>
        <w:t xml:space="preserve"> </w:t>
      </w:r>
      <w:r>
        <w:t xml:space="preserve">— beglaubigte Fotokopie der Vollmacht der Erschienenen zu 1. vom 22.10.2025, UR-Nr. 1402/2025 W des Notars Egmont Wachtelborn, Berlin.</w:t>
      </w:r>
    </w:p>
    <w:p>
      <w:pPr>
        <w:pStyle w:val="BodyText"/>
      </w:pPr>
      <w:r>
        <w:rPr>
          <w:b/>
          <w:bCs/>
        </w:rPr>
        <w:t xml:space="preserve">Lose übergebene Unterlagen (nicht Gegenstand der Beurkundung):</w:t>
      </w:r>
      <w:r>
        <w:t xml:space="preserve"> </w:t>
      </w:r>
      <w:r>
        <w:t xml:space="preserve">Baubeschreibung in der Fassung Februar 2026, Version 7.2; Abgeschlossenheitsbescheinigung; Aufteilungsplan-Auszug zur Einheit 4.27. Diese Unterlagen wurden dem Käufer mit Vertragsunterzeichnung in Druckfassung ausgehändigt.</w:t>
      </w:r>
    </w:p>
    <w:p>
      <w:pPr>
        <w:pStyle w:val="BodyText"/>
      </w:pPr>
      <w:r>
        <w:t xml:space="preserve">Der Notar wird mit dem Vollzug beauftragt. Er soll Anträge erst stellen, wenn die hierfür erforderlichen Erklärungen und Nachweise vorliegen. Mitteilungen über den Eintritt der Fälligkeitsvoraussetzungen nach § 3 erfolgen schriftlich an beide Parteien.</w:t>
      </w:r>
    </w:p>
    <w:p>
      <w:r>
        <w:br w:type="page"/>
      </w:r>
    </w:p>
    <w:bookmarkEnd w:id="28"/>
    <w:bookmarkStart w:id="29" w:name="geschäftswert-und-kosten"/>
    <w:p>
      <w:pPr>
        <w:pStyle w:val="Heading1"/>
      </w:pPr>
      <w:r>
        <w:t xml:space="preserve">Geschäftswert und Kosten</w:t>
      </w:r>
    </w:p>
    <w:p>
      <w:pPr>
        <w:pStyle w:val="FirstParagraph"/>
      </w:pPr>
      <w:r>
        <w:t xml:space="preserve">Der Geschäftswert dieser Urkunde wird mit dem Gesamtkaufpreis von 828.000,00 EUR angegeben. Die Kosten dieser Urkunde und ihres Vollzugs trägt nach § 13.4 der Käufer. Auf die zusätzlich anfallende Grunderwerbsteuer sowie die Erschließungs- und Anschlusskosten nach § 7 wurde hingewiesen.</w:t>
      </w:r>
    </w:p>
    <w:p>
      <w:r>
        <w:br w:type="page"/>
      </w:r>
    </w:p>
    <w:bookmarkEnd w:id="29"/>
    <w:bookmarkStart w:id="30" w:name="unterschriften"/>
    <w:p>
      <w:pPr>
        <w:pStyle w:val="Heading1"/>
      </w:pPr>
      <w:r>
        <w:t xml:space="preserve">Unterschriften</w:t>
      </w:r>
    </w:p>
    <w:p>
      <w:pPr>
        <w:pStyle w:val="FirstParagraph"/>
      </w:pPr>
      <w:r>
        <w:t xml:space="preserve">Die Erschienenen erklärten, dass sie auf das Verlesen der Bezugsurkunden verzichten, da ihnen deren Inhalt bekannt ist. Diese Niederschrift wurde den Erschienenen vom Notar vorgelesen, von ihnen genehmigt und sodann eigenhändig wie folgt unterschrieben:</w:t>
      </w:r>
    </w:p>
    <w:p>
      <w:pPr>
        <w:pStyle w:val="BodyText"/>
      </w:pPr>
      <w:r>
        <w:br/>
      </w:r>
    </w:p>
    <w:p>
      <w:pPr>
        <w:pStyle w:val="BodyText"/>
      </w:pPr>
      <w:r>
        <w:br/>
      </w:r>
    </w:p>
    <w:p>
      <w:pPr>
        <w:pStyle w:val="BodyText"/>
      </w:pPr>
      <w:r>
        <w:t xml:space="preserve">——————————————————————————</w:t>
      </w:r>
    </w:p>
    <w:p>
      <w:pPr>
        <w:pStyle w:val="BodyText"/>
      </w:pPr>
      <w:r>
        <w:t xml:space="preserve">Roswitha Quendel-Bingenheimer (für Verkäufer)</w:t>
      </w:r>
    </w:p>
    <w:p>
      <w:pPr>
        <w:pStyle w:val="BodyText"/>
      </w:pPr>
      <w:r>
        <w:br/>
      </w:r>
    </w:p>
    <w:p>
      <w:pPr>
        <w:pStyle w:val="BodyText"/>
      </w:pPr>
      <w:r>
        <w:br/>
      </w:r>
    </w:p>
    <w:p>
      <w:pPr>
        <w:pStyle w:val="BodyText"/>
      </w:pPr>
      <w:r>
        <w:t xml:space="preserve">——————————————————————————</w:t>
      </w:r>
    </w:p>
    <w:p>
      <w:pPr>
        <w:pStyle w:val="BodyText"/>
      </w:pPr>
      <w:r>
        <w:t xml:space="preserve">Dr. Eberwein Übelacker-Strohmeyer (Käufer)</w:t>
      </w:r>
    </w:p>
    <w:p>
      <w:pPr>
        <w:pStyle w:val="BodyText"/>
      </w:pPr>
      <w:r>
        <w:br/>
      </w:r>
    </w:p>
    <w:p>
      <w:pPr>
        <w:pStyle w:val="BodyText"/>
      </w:pPr>
      <w:r>
        <w:br/>
      </w:r>
    </w:p>
    <w:p>
      <w:pPr>
        <w:pStyle w:val="BodyText"/>
      </w:pPr>
      <w:r>
        <w:t xml:space="preserve">——————————————————————————</w:t>
      </w:r>
    </w:p>
    <w:p>
      <w:pPr>
        <w:pStyle w:val="BodyText"/>
      </w:pPr>
      <w:r>
        <w:t xml:space="preserve">Dr. Adalbert von Sickingen-Querfurt, Notar</w:t>
      </w:r>
    </w:p>
    <w:p>
      <w:r>
        <w:br w:type="page"/>
      </w:r>
    </w:p>
    <w:bookmarkEnd w:id="30"/>
    <w:bookmarkStart w:id="32" w:name="anlage-baubeschreibung"/>
    <w:p>
      <w:pPr>
        <w:pStyle w:val="Heading1"/>
      </w:pPr>
      <w:r>
        <w:t xml:space="preserve">Anlage: Baubeschreibung</w:t>
      </w:r>
    </w:p>
    <w:p>
      <w:pPr>
        <w:pStyle w:val="FirstParagraph"/>
      </w:pPr>
      <w:r>
        <w:t xml:space="preserve">Bauvorhaben: Wohnquartier „Am Birkenpfuhl”, Gemarkung Kannenberg-Niederwall, Flur 7, Flurstück 218/4</w:t>
      </w:r>
    </w:p>
    <w:p>
      <w:pPr>
        <w:pStyle w:val="BodyText"/>
      </w:pPr>
      <w:r>
        <w:t xml:space="preserve">Bauträgerin: Hohenwartshofen Quartiersentwicklung GmbH &amp; Co. KG, Schloßstraße 88, 12163 Berlin</w:t>
      </w:r>
    </w:p>
    <w:p>
      <w:pPr>
        <w:pStyle w:val="BodyText"/>
      </w:pPr>
      <w:r>
        <w:t xml:space="preserve">Fassung: Februar 2026 — Version 7.2</w:t>
      </w:r>
    </w:p>
    <w:p>
      <w:pPr>
        <w:pStyle w:val="BodyText"/>
      </w:pPr>
      <w:r>
        <w:t xml:space="preserve">Bezug: Haus 4, Wohnung 4.27 (3. Obergeschoss) nebst Kellerabteil K-4.27, Terrasse T-4.27 und Tiefgaragenstellplatz TG-127</w:t>
      </w:r>
    </w:p>
    <w:bookmarkStart w:id="31" w:name="vorbemerkungen-zur-baubeschreibung"/>
    <w:p>
      <w:pPr>
        <w:pStyle w:val="Heading2"/>
      </w:pPr>
      <w:r>
        <w:t xml:space="preserve">Vorbemerkungen zur Baubeschreibung</w:t>
      </w:r>
    </w:p>
    <w:p>
      <w:pPr>
        <w:pStyle w:val="FirstParagraph"/>
      </w:pPr>
      <w:r>
        <w:rPr>
          <w:b/>
          <w:bCs/>
        </w:rPr>
        <w:t xml:space="preserve">V.1</w:t>
      </w:r>
      <w:r>
        <w:t xml:space="preserve"> </w:t>
      </w:r>
      <w:r>
        <w:t xml:space="preserve">Diese Baubeschreibung beschreibt das Bausoll für Haus 4, Wohnung 4.27, Keller K-4.27, Terrasse T-4.27 und Stellplatz TG-127 in der für die Kaufentscheidung maßgeblichen Fassung. Verkaufsunterlagen, Exposés, Visualisierungen des Quartiersplatzes, Renderings der Häuser 4 bis 6, Grundrissdarstellungen mit Möblierung sowie die Musterwohnung in Haus 5 dienen der Veranschaulichung des Quartiers- und Ausstattungskonzepts „Birkenpfuhl Komfort B4” und werden nur insoweit Vertragsbestandteil, als diese Baubeschreibung oder der Kaufvertrag ausdrücklich darauf Bezug nehmen.</w:t>
      </w:r>
    </w:p>
    <w:p>
      <w:pPr>
        <w:pStyle w:val="BodyText"/>
      </w:pPr>
      <w:r>
        <w:rPr>
          <w:b/>
          <w:bCs/>
        </w:rPr>
        <w:t xml:space="preserve">V.2</w:t>
      </w:r>
      <w:r>
        <w:t xml:space="preserve"> </w:t>
      </w:r>
      <w:r>
        <w:t xml:space="preserve">Die in dieser Baubeschreibung genannten Fabrikate, Hersteller, Typen und Modelle für Boden, Fliesen, Sanitär, Türen, Beschläge, Fensterprofile, Aufzug, Lüftung, Messsysteme und Tiefgaragentechnik sind, soweit überhaupt benannt, beispielhaft zu verstehen. Der Verkäufer ist berechtigt, gleichwertige oder gleichartige Produkte anderer Hersteller einzusetzen, wenn dies wegen Lieferterminen der Haus-4-Gewerke, Bemusterungsbündelung, Schnittstellen zur TGA-Planung oder Serienbestellung für die Häuser 4 bis 6 in den Bauablauf eingepasst werden soll. Ein Anspruch auf ein bestimmtes Fabrikat besteht nicht.</w:t>
      </w:r>
    </w:p>
    <w:p>
      <w:pPr>
        <w:pStyle w:val="BodyText"/>
      </w:pPr>
      <w:r>
        <w:rPr>
          <w:b/>
          <w:bCs/>
        </w:rPr>
        <w:t xml:space="preserve">V.3</w:t>
      </w:r>
      <w:r>
        <w:t xml:space="preserve"> </w:t>
      </w:r>
      <w:r>
        <w:t xml:space="preserve">Soweit Ausführungen, Materialien, Farben oder Oberflächen nicht im Einzelnen festgelegt sind, bestimmt der Verkäufer die Ausführung innerhalb der Materialfamilie „Birkenpfuhl Komfort B4” unter Berücksichtigung der Fassadenfarben von Haus 4, der Bemusterungsserien B4-Boden/B4-Bad/B4-Tür, der TGA-Schnittstellen und der späteren Wartbarkeit.</w:t>
      </w:r>
    </w:p>
    <w:p>
      <w:pPr>
        <w:pStyle w:val="BodyText"/>
      </w:pPr>
      <w:r>
        <w:rPr>
          <w:b/>
          <w:bCs/>
        </w:rPr>
        <w:t xml:space="preserve">V.4</w:t>
      </w:r>
      <w:r>
        <w:t xml:space="preserve"> </w:t>
      </w:r>
      <w:r>
        <w:t xml:space="preserve">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p>
      <w:r>
        <w:br w:type="page"/>
      </w:r>
    </w:p>
    <w:bookmarkEnd w:id="31"/>
    <w:bookmarkEnd w:id="32"/>
    <w:bookmarkStart w:id="33" w:name="allgemeines-gebäudekonzept"/>
    <w:p>
      <w:pPr>
        <w:pStyle w:val="Heading1"/>
      </w:pPr>
      <w:r>
        <w:t xml:space="preserve">1 Allgemeines, Gebäudekonzept</w:t>
      </w:r>
    </w:p>
    <w:p>
      <w:pPr>
        <w:pStyle w:val="FirstParagraph"/>
      </w:pPr>
      <w:r>
        <w:rPr>
          <w:b/>
          <w:bCs/>
        </w:rPr>
        <w:t xml:space="preserve">1.1</w:t>
      </w:r>
      <w:r>
        <w:t xml:space="preserve"> </w:t>
      </w:r>
      <w:r>
        <w:t xml:space="preserve">Das Quartier umfasst nach derzeitiger Planung zwölf Mehrfamilienhäuser nebst Stadtvilla-Cluster, eine zweigeschossige Tiefgarage sowie Gemeinschafts- und Freiflächen. Haus 4 ist als Mehrfamilienhaus mit Staffelgeschoss konzipiert.</w:t>
      </w:r>
    </w:p>
    <w:p>
      <w:pPr>
        <w:pStyle w:val="BodyText"/>
      </w:pPr>
      <w:r>
        <w:rPr>
          <w:b/>
          <w:bCs/>
        </w:rPr>
        <w:t xml:space="preserve">1.2</w:t>
      </w:r>
      <w:r>
        <w:t xml:space="preserve"> </w:t>
      </w:r>
      <w:r>
        <w:t xml:space="preserve">Die Ausstattung der Wohnung 4.27 entspricht der Linie „Birkenpfuhl Komfort B4” mit zurückhaltenden Oberflächen, hellen Sanitärobjekten, großformatigen Fliesen in Bad und Gäste-WC, designorientierten Bodenbelägen in Wohn- und Schlafräumen sowie einheitlichen Tür- und Beschlagsserien. Die konkrete Ausgestaltung der einzelnen Gewerke ergibt sich aus den nachstehenden Abschnitten und den im Zuge der Ausführungsplanung für Haus 4 fortgeschriebenen Detailfestlegungen.</w:t>
      </w:r>
    </w:p>
    <w:p>
      <w:pPr>
        <w:pStyle w:val="BodyText"/>
      </w:pPr>
      <w:r>
        <w:rPr>
          <w:b/>
          <w:bCs/>
        </w:rPr>
        <w:t xml:space="preserve">1.3</w:t>
      </w:r>
      <w:r>
        <w:t xml:space="preserve"> </w:t>
      </w:r>
      <w:r>
        <w:t xml:space="preserve">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bookmarkEnd w:id="33"/>
    <w:bookmarkStart w:id="34" w:name="baugrund-gründung-baugrube"/>
    <w:p>
      <w:pPr>
        <w:pStyle w:val="Heading1"/>
      </w:pPr>
      <w:r>
        <w:t xml:space="preserve">2 Baugrund, Gründung, Baugrube</w:t>
      </w:r>
    </w:p>
    <w:p>
      <w:pPr>
        <w:pStyle w:val="FirstParagraph"/>
      </w:pPr>
      <w:r>
        <w:rPr>
          <w:b/>
          <w:bCs/>
        </w:rPr>
        <w:t xml:space="preserve">2.1</w:t>
      </w:r>
      <w:r>
        <w:t xml:space="preserve"> </w:t>
      </w:r>
      <w:r>
        <w:t xml:space="preserve">Der Gründung liegen die orientierenden Baugrunderkundungen „BQ-KNW-4/2026” zugrunde. Art und Tiefe der Gründung von Haus 4 und der Tiefgaragenspange Nord (Flachgründung, Tiefgründung, Bodenaustausch, Bodenverbesserung oder Kombination) werden im Zuge der Ausführungsplanung durch den Tragwerksplaner festgelegt.</w:t>
      </w:r>
    </w:p>
    <w:p>
      <w:pPr>
        <w:pStyle w:val="BodyText"/>
      </w:pPr>
      <w:r>
        <w:rPr>
          <w:b/>
          <w:bCs/>
        </w:rPr>
        <w:t xml:space="preserve">2.2</w:t>
      </w:r>
      <w:r>
        <w:t xml:space="preserve"> </w:t>
      </w:r>
      <w:r>
        <w:t xml:space="preserve">Maßnahmen der Wasserhaltung, des Baugrubenverbaus entlang der nördlichen Tiefgaragenkante,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von Haus 4, Kellerzone und Tiefgarage erfolgt nach den einschlägigen technischen Regelwerken in einer für Wohnhaus, Kellerabteile und Tiefgaragennutzung geeigneten Ausführung.</w:t>
      </w:r>
    </w:p>
    <w:bookmarkEnd w:id="34"/>
    <w:bookmarkStart w:id="35" w:name="rohbau-und-konstruktion"/>
    <w:p>
      <w:pPr>
        <w:pStyle w:val="Heading1"/>
      </w:pPr>
      <w:r>
        <w:t xml:space="preserve">3 Rohbau und Konstruktion</w:t>
      </w:r>
    </w:p>
    <w:p>
      <w:pPr>
        <w:pStyle w:val="FirstParagraph"/>
      </w:pPr>
      <w:r>
        <w:rPr>
          <w:b/>
          <w:bCs/>
        </w:rPr>
        <w:t xml:space="preserve">3.1</w:t>
      </w:r>
      <w:r>
        <w:t xml:space="preserve"> </w:t>
      </w:r>
      <w:r>
        <w:t xml:space="preserve">Gründung, Kelleraußenwände und Tiefgarage werden in Stahlbeton bzw. wasserundurchlässigem Beton hergestellt, soweit es die Tragwerksplanung vorsieht. Wohnungstrennwände und tragende Innenwände werden in Massivbauweise (Beton oder Mauerwerk) ausgeführt.</w:t>
      </w:r>
    </w:p>
    <w:p>
      <w:pPr>
        <w:pStyle w:val="BodyText"/>
      </w:pPr>
      <w:r>
        <w:rPr>
          <w:b/>
          <w:bCs/>
        </w:rPr>
        <w:t xml:space="preserve">3.2</w:t>
      </w:r>
      <w:r>
        <w:t xml:space="preserve"> </w:t>
      </w:r>
      <w:r>
        <w:t xml:space="preserve">Nichttragende Trennwände innerhalb der Wohnung 4.27 werden entsprechend der Ausführungsplanung als Trockenbau- oder Mauerwerkswände erstellt. Die genaue Ausführung legt der Verkäufer anhand von Schachtlage, Installationsführung, Schallschutzkonzept und Bauablauf fest.</w:t>
      </w:r>
    </w:p>
    <w:p>
      <w:pPr>
        <w:pStyle w:val="BodyText"/>
      </w:pPr>
      <w:r>
        <w:rPr>
          <w:b/>
          <w:bCs/>
        </w:rPr>
        <w:t xml:space="preserve">3.3</w:t>
      </w:r>
      <w:r>
        <w:t xml:space="preserve"> </w:t>
      </w:r>
      <w:r>
        <w:t xml:space="preserve">Die lichte Raumhöhe der Wohnräume beträgt ca. 2,60 m, im Bereich von Unterzügen, abgehängten Decken und Installationsführungen entsprechend weniger.</w:t>
      </w:r>
    </w:p>
    <w:bookmarkEnd w:id="35"/>
    <w:bookmarkStart w:id="36" w:name="fassade-außenwände-wärmedämmung"/>
    <w:p>
      <w:pPr>
        <w:pStyle w:val="Heading1"/>
      </w:pPr>
      <w:r>
        <w:t xml:space="preserve">4 Fassade, Außenwände, Wärmedämmung</w:t>
      </w:r>
    </w:p>
    <w:p>
      <w:pPr>
        <w:pStyle w:val="FirstParagraph"/>
      </w:pPr>
      <w:r>
        <w:rPr>
          <w:b/>
          <w:bCs/>
        </w:rPr>
        <w:t xml:space="preserve">4.1</w:t>
      </w:r>
      <w:r>
        <w:t xml:space="preserve"> </w:t>
      </w:r>
      <w:r>
        <w:t xml:space="preserve">Die Außenwände von Haus 4 erhalten ein Wärmedämmverbundsystem oder eine gleichwertige Dämmkonstruktion mit heller Putzoberfläche, akzentuierten Fassadenfeldern und im Erdgeschoss bereichsweise widerstandsfähiger Sockelausbildung. Farbgebung und Materialität der Fassade legt der Verkäufer im Rahmen des Gestaltungskonzepts „Birkenpfuhl Q1” fest.</w:t>
      </w:r>
    </w:p>
    <w:p>
      <w:pPr>
        <w:pStyle w:val="BodyText"/>
      </w:pPr>
      <w:r>
        <w:rPr>
          <w:b/>
          <w:bCs/>
        </w:rPr>
        <w:t xml:space="preserve">4.2</w:t>
      </w:r>
      <w:r>
        <w:t xml:space="preserve"> </w:t>
      </w:r>
      <w:r>
        <w:t xml:space="preserve">Dämmstärken und Dämmstoffe werden nach den energetischen Nachweisen bemessen (vgl. Abschnitt 17).</w:t>
      </w:r>
    </w:p>
    <w:bookmarkEnd w:id="36"/>
    <w:bookmarkStart w:id="37" w:name="dach"/>
    <w:p>
      <w:pPr>
        <w:pStyle w:val="Heading1"/>
      </w:pPr>
      <w:r>
        <w:t xml:space="preserve">5 Dach</w:t>
      </w:r>
    </w:p>
    <w:p>
      <w:pPr>
        <w:pStyle w:val="FirstParagraph"/>
      </w:pPr>
      <w:r>
        <w:rPr>
          <w:b/>
          <w:bCs/>
        </w:rPr>
        <w:t xml:space="preserve">5.1</w:t>
      </w:r>
      <w:r>
        <w:t xml:space="preserve"> </w:t>
      </w:r>
      <w:r>
        <w:t xml:space="preserve">Die Dachflächen werden als Flachdach bzw. flach geneigtes Dach ausgeführt und abgedichtet. Dachbegrünung, Bekiesung oder Belegung erfolgt nach dem Freiflächen- und Entwässerungskonzept.</w:t>
      </w:r>
    </w:p>
    <w:p>
      <w:pPr>
        <w:pStyle w:val="BodyText"/>
      </w:pPr>
      <w:r>
        <w:rPr>
          <w:b/>
          <w:bCs/>
        </w:rPr>
        <w:t xml:space="preserve">5.2</w:t>
      </w:r>
      <w:r>
        <w:t xml:space="preserve"> </w:t>
      </w:r>
      <w:r>
        <w:t xml:space="preserve">Eine Nutzung der Dachflächen durch die Erwerber des Hauses 4 ist nicht geschuldet, soweit nicht in der Teilungserklärung ausdrücklich ein Sondernutzungsrecht zugewiesen ist.</w:t>
      </w:r>
    </w:p>
    <w:bookmarkEnd w:id="37"/>
    <w:bookmarkStart w:id="38" w:name="fenster-außentüren-verglasung"/>
    <w:p>
      <w:pPr>
        <w:pStyle w:val="Heading1"/>
      </w:pPr>
      <w:r>
        <w:t xml:space="preserve">6 Fenster, Außentüren, Verglasung</w:t>
      </w:r>
    </w:p>
    <w:p>
      <w:pPr>
        <w:pStyle w:val="FirstParagraph"/>
      </w:pPr>
      <w:r>
        <w:rPr>
          <w:b/>
          <w:bCs/>
        </w:rPr>
        <w:t xml:space="preserve">6.1</w:t>
      </w:r>
      <w:r>
        <w:t xml:space="preserve"> </w:t>
      </w:r>
      <w:r>
        <w:t xml:space="preserve">Die Fenster der Wohnung 4.27 werden als Kunststoff-, Kunststoff-Aluminium- oder Aluminiumfenster mit Mehrscheiben-Isolierverglasung ausgeführt; Profilwahl, Standardbeschlag, Öffnungsart und Farbton trifft der Verkäufer im Rahmen des Fassaden- und Energiekonzepts für Haus 4. Außenfarbton, Rahmenbreite und Teilungen folgen dem Fassadenraster B4-F-03; innen ist eine helle Standardoberfläche vorgesehen.</w:t>
      </w:r>
    </w:p>
    <w:p>
      <w:pPr>
        <w:pStyle w:val="BodyText"/>
      </w:pPr>
      <w:r>
        <w:rPr>
          <w:b/>
          <w:bCs/>
        </w:rPr>
        <w:t xml:space="preserve">6.2</w:t>
      </w:r>
      <w:r>
        <w:t xml:space="preserve"> </w:t>
      </w:r>
      <w:r>
        <w:t xml:space="preserve">Ein Teil der Fenster und Fenstertüren wird mit außenliegendem Sonnenschutz ausgestattet. Welche Öffnungen der Wohnung 4.27 Sonnenschutz erhalten, richtet sich nach Fassadenlage, Windwächterkonzept, Verschattung der Nachbarbaukörper und technischer Durchführbarkeit; die Festlegung trifft der Verkäufer.</w:t>
      </w:r>
    </w:p>
    <w:p>
      <w:pPr>
        <w:pStyle w:val="BodyText"/>
      </w:pPr>
      <w:r>
        <w:rPr>
          <w:b/>
          <w:bCs/>
        </w:rPr>
        <w:t xml:space="preserve">6.3</w:t>
      </w:r>
      <w:r>
        <w:t xml:space="preserve"> </w:t>
      </w:r>
      <w:r>
        <w:t xml:space="preserve">Die Wohnungseingangstür der Einheit 4.27 wird als dichtschließende Tür mit Spion, Mehrfachverriegelung nach Verkäuferstandard, Edelstahl-Drückergarnitur und der im Treppenhaus Haus 4 verwendeten Oberflächenserie ausgeführt; weitergehende Widerstands- oder Schallschutzklassen werden nur geschuldet, wenn sie ausdrücklich mit Kennwert vereinbart sind.</w:t>
      </w:r>
    </w:p>
    <w:bookmarkEnd w:id="38"/>
    <w:bookmarkStart w:id="39" w:name="innenausbau-wände-decken-estrich"/>
    <w:p>
      <w:pPr>
        <w:pStyle w:val="Heading1"/>
      </w:pPr>
      <w:r>
        <w:t xml:space="preserve">7 Innenausbau, Wände, Decken, Estrich</w:t>
      </w:r>
    </w:p>
    <w:p>
      <w:pPr>
        <w:pStyle w:val="FirstParagraph"/>
      </w:pPr>
      <w:r>
        <w:rPr>
          <w:b/>
          <w:bCs/>
        </w:rPr>
        <w:t xml:space="preserve">7.1</w:t>
      </w:r>
      <w:r>
        <w:t xml:space="preserve"> </w:t>
      </w:r>
      <w:r>
        <w:t xml:space="preserve">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p>
      <w:pPr>
        <w:pStyle w:val="BodyText"/>
      </w:pPr>
      <w:r>
        <w:rPr>
          <w:b/>
          <w:bCs/>
        </w:rPr>
        <w:t xml:space="preserve">7.2</w:t>
      </w:r>
      <w:r>
        <w:t xml:space="preserve"> </w:t>
      </w:r>
      <w:r>
        <w:t xml:space="preserve">In den Wohnräumen wird ein schwimmender Estrich auf Dämmung eingebracht. Der Estrich wird für die in Abschnitt 8 vorgesehenen Bodenbeläge vorbereitet.</w:t>
      </w:r>
    </w:p>
    <w:bookmarkEnd w:id="39"/>
    <w:bookmarkStart w:id="40" w:name="bodenbeläge"/>
    <w:p>
      <w:pPr>
        <w:pStyle w:val="Heading1"/>
      </w:pPr>
      <w:r>
        <w:t xml:space="preserve">8 Bodenbeläge</w:t>
      </w:r>
    </w:p>
    <w:p>
      <w:pPr>
        <w:pStyle w:val="FirstParagraph"/>
      </w:pPr>
      <w:r>
        <w:rPr>
          <w:b/>
          <w:bCs/>
        </w:rPr>
        <w:t xml:space="preserve">8.1</w:t>
      </w:r>
      <w:r>
        <w:t xml:space="preserve"> </w:t>
      </w:r>
      <w:r>
        <w:t xml:space="preserve">Die Wohn- und Schlafräume der Wohnung 4.27 erhalten einen Bodenbelag aus der Bemusterungslinie „Birkenpfuhl Komfort B4” (Design-Vinyl oder Mehrschichtboden in Eiche-, Sand- oder Greigetönen aus den Serien B4-01 bis B4-06). Bad und Gäste-WC erhalten Fliesenbeläge aus der Serie B4-Bad in den Formaten 30 x 60 cm oder 60 x 60 cm; Verlegebild, Sockelausbildung und Fugenfarbe richten sich nach der Bemusterung und den technischen Erfordernissen.</w:t>
      </w:r>
    </w:p>
    <w:p>
      <w:pPr>
        <w:pStyle w:val="BodyText"/>
      </w:pPr>
      <w:r>
        <w:rPr>
          <w:b/>
          <w:bCs/>
        </w:rPr>
        <w:t xml:space="preserve">8.2</w:t>
      </w:r>
      <w:r>
        <w:t xml:space="preserve"> </w:t>
      </w:r>
      <w:r>
        <w:t xml:space="preserve">Der Käufer kann im Rahmen der Bemusterung aus den zum Bemusterungstermin verfügbaren Serien B4-01 bis B4-06 und B4-Bad auswählen, soweit der Baufortschritt dies noch zulässt. Eine Auswahl außerhalb dieser Serien ist als Sonderwunsch gesondert zu vereinbaren und zu vergüten.</w:t>
      </w:r>
    </w:p>
    <w:bookmarkEnd w:id="40"/>
    <w:bookmarkStart w:id="41" w:name="innentüren"/>
    <w:p>
      <w:pPr>
        <w:pStyle w:val="Heading1"/>
      </w:pPr>
      <w:r>
        <w:t xml:space="preserve">9 Innentüren</w:t>
      </w:r>
    </w:p>
    <w:p>
      <w:pPr>
        <w:pStyle w:val="FirstParagraph"/>
      </w:pPr>
      <w:r>
        <w:rPr>
          <w:b/>
          <w:bCs/>
        </w:rPr>
        <w:t xml:space="preserve">9.1</w:t>
      </w:r>
      <w:r>
        <w:t xml:space="preserve"> </w:t>
      </w:r>
      <w:r>
        <w:t xml:space="preserve">Die Innentüren der Wohnung 4.27 werden als glatte Zimmertüren mit CPL- oder Lackoberfläche in Weiß- bzw. Greigetönen eingebaut. Zargen, Bänder und Drückergarnituren richten sich nach der Türserie B4-Tür; abweichende Türhöhen, Glasausschnitte oder Sonderbeschläge sind Sonderwünsche.</w:t>
      </w:r>
    </w:p>
    <w:bookmarkEnd w:id="41"/>
    <w:bookmarkStart w:id="42" w:name="sanitärobjekte-und-sanitärausstattung"/>
    <w:p>
      <w:pPr>
        <w:pStyle w:val="Heading1"/>
      </w:pPr>
      <w:r>
        <w:t xml:space="preserve">10 Sanitärobjekte und Sanitärausstattung</w:t>
      </w:r>
    </w:p>
    <w:p>
      <w:pPr>
        <w:pStyle w:val="FirstParagraph"/>
      </w:pPr>
      <w:r>
        <w:rPr>
          <w:b/>
          <w:bCs/>
        </w:rPr>
        <w:t xml:space="preserve">10.1</w:t>
      </w:r>
      <w:r>
        <w:t xml:space="preserve"> </w:t>
      </w:r>
      <w:r>
        <w:t xml:space="preserve">Bad und Gäste-WC werden mit weißen Sanitärobjekten aus dem Sanitärprogramm B4 ausgestattet (Waschtisch, WC, bodengleiche Dusche und/oder Badewanne je nach Ausführungsplan). Armaturen werden als Einhebelmischer in verchromter Ausführung aus der vom Verkäufer geführten Standardserie geliefert; Unterputz- oder Sonderarmaturen sind nur als Sonderwunsch geschuldet.</w:t>
      </w:r>
    </w:p>
    <w:p>
      <w:pPr>
        <w:pStyle w:val="BodyText"/>
      </w:pPr>
      <w:r>
        <w:rPr>
          <w:b/>
          <w:bCs/>
        </w:rPr>
        <w:t xml:space="preserve">10.2</w:t>
      </w:r>
      <w:r>
        <w:t xml:space="preserve"> </w:t>
      </w:r>
      <w:r>
        <w:t xml:space="preserve">Anzahl, Anordnung und Art der Sanitärobjekte ergeben sich aus den Ausführungsplänen. Änderungen der Anordnung infolge der Haustechnik- und Schachtplanung bleiben vorbehalten.</w:t>
      </w:r>
    </w:p>
    <w:bookmarkEnd w:id="42"/>
    <w:bookmarkStart w:id="43" w:name="heizung-warmwasser"/>
    <w:p>
      <w:pPr>
        <w:pStyle w:val="Heading1"/>
      </w:pPr>
      <w:r>
        <w:t xml:space="preserve">11 Heizung, Warmwasser</w:t>
      </w:r>
    </w:p>
    <w:p>
      <w:pPr>
        <w:pStyle w:val="FirstParagraph"/>
      </w:pPr>
      <w:r>
        <w:rPr>
          <w:b/>
          <w:bCs/>
        </w:rPr>
        <w:t xml:space="preserve">11.1</w:t>
      </w:r>
      <w:r>
        <w:t xml:space="preserve"> </w:t>
      </w:r>
      <w:r>
        <w:t xml:space="preserve">Die Beheizung und Warmwasserbereitung von Haus 4 erfolgt über eine zentrale Anlage nach dem Quartiersversorgungskonzept (Fernwärme, Wärmepumpe, Brennwerttechnik oder eine Kombination hiervon). Die Wohnräume der Wohnung 4.27 erhalten Heizflächen als Fußbodenheizung und/oder Heizkörper nach Ausführungsplanung; Auslegung, Regelzonen und Verteilerlage richten sich nach TGA-Planung und Schachtführung.</w:t>
      </w:r>
    </w:p>
    <w:p>
      <w:pPr>
        <w:pStyle w:val="BodyText"/>
      </w:pPr>
      <w:r>
        <w:rPr>
          <w:b/>
          <w:bCs/>
        </w:rPr>
        <w:t xml:space="preserve">11.2</w:t>
      </w:r>
      <w:r>
        <w:t xml:space="preserve"> </w:t>
      </w:r>
      <w:r>
        <w:t xml:space="preserve">Die Wärme- und Warmwasserlieferung kann über einen Wärmeliefer-/Contractingvertrag erfolgen. Die hieraus entstehenden Kosten tragen die Erwerber nach Maßgabe der Teilungserklärung.</w:t>
      </w:r>
    </w:p>
    <w:bookmarkEnd w:id="43"/>
    <w:bookmarkStart w:id="44" w:name="lüftung"/>
    <w:p>
      <w:pPr>
        <w:pStyle w:val="Heading1"/>
      </w:pPr>
      <w:r>
        <w:t xml:space="preserve">12 Lüftung</w:t>
      </w:r>
    </w:p>
    <w:p>
      <w:pPr>
        <w:pStyle w:val="FirstParagraph"/>
      </w:pPr>
      <w:r>
        <w:rPr>
          <w:b/>
          <w:bCs/>
        </w:rPr>
        <w:t xml:space="preserve">12.1</w:t>
      </w:r>
      <w:r>
        <w:t xml:space="preserve"> </w:t>
      </w:r>
      <w:r>
        <w:t xml:space="preserve">Innenliegende Bäder, Gäste-WC und fensterlose Abstellbereiche der Wohnung 4.27 werden nach dem Lüftungskonzept Haus 4 be- und entlüftet. Ob und in welchem Umfang eine kontrollierte Wohnraumlüftung mit Wärmerückgewinnung ausgeführt wird, richtet sich nach den energetischen Nachweisen, dem Lüftungskonzept und der Festlegung des Verkäufers. Eine bestimmte Luftwechselrate, ein bestimmter Schallschutzwert der Lüftung oder eine bestimmte sommerliche Raumtemperatur in den nach Südwesten orientierten Wohnräumen wird nicht geschuldet, soweit diese Werte nicht in einer Übergabeunterlage ausdrücklich genannt sind.</w:t>
      </w:r>
    </w:p>
    <w:bookmarkEnd w:id="44"/>
    <w:bookmarkStart w:id="45" w:name="Xa8f621190aed3caf72187bd0552b9ced3adc76f"/>
    <w:p>
      <w:pPr>
        <w:pStyle w:val="Heading1"/>
      </w:pPr>
      <w:r>
        <w:t xml:space="preserve">13 Elektroinstallation, Medien, Lade- und PV-Infrastruktur</w:t>
      </w:r>
    </w:p>
    <w:p>
      <w:pPr>
        <w:pStyle w:val="FirstParagraph"/>
      </w:pPr>
      <w:r>
        <w:rPr>
          <w:b/>
          <w:bCs/>
        </w:rPr>
        <w:t xml:space="preserve">13.1</w:t>
      </w:r>
      <w:r>
        <w:t xml:space="preserve"> </w:t>
      </w:r>
      <w:r>
        <w:t xml:space="preserve">Die Elektroinstallation der Wohnung 4.27 wird nach den einschlägigen technischen Regeln und dem Ausstattungsraster B4-Elektro ausgeführt. Anzahl und Position von Steckdosen, Schaltern, Deckenauslässen, Netzwerk-/Medienanschlüssen und Anschlüssen für Küche und Waschmaschine ergeben sich aus den Ausführungsplänen; Mehrpunkte sind als Sonderwunsch zu beauftragen.</w:t>
      </w:r>
    </w:p>
    <w:p>
      <w:pPr>
        <w:pStyle w:val="BodyText"/>
      </w:pPr>
      <w:r>
        <w:rPr>
          <w:b/>
          <w:bCs/>
        </w:rPr>
        <w:t xml:space="preserve">13.2</w:t>
      </w:r>
      <w:r>
        <w:t xml:space="preserve"> </w:t>
      </w:r>
      <w:r>
        <w:t xml:space="preserve">Die Wohnung erhält einen Multimedia-/Datenanschluss im Wohnbereich sowie die nach Ausführungsplanung vorgesehenen Leitungswege zum Wohnungsverteiler. Eine bestimmte Bandbreite, Glasfaseraktivierung, Routerposition oder ein bestimmter Anbieter wird nicht geschuldet.</w:t>
      </w:r>
    </w:p>
    <w:p>
      <w:pPr>
        <w:pStyle w:val="BodyText"/>
      </w:pPr>
      <w:r>
        <w:rPr>
          <w:b/>
          <w:bCs/>
        </w:rPr>
        <w:t xml:space="preserve">13.3</w:t>
      </w:r>
      <w:r>
        <w:t xml:space="preserve"> </w:t>
      </w:r>
      <w:r>
        <w:t xml:space="preserve">Ob die Tiefgarage mit Lade-Infrastruktur und ob das Gebäude mit einer Photovoltaikanlage ausgestattet wird, bestimmt der Verkäufer im Rahmen der Gesamtplanung. Ein Anspruch des einzelnen Erwerbers hierauf besteht nicht.</w:t>
      </w:r>
    </w:p>
    <w:bookmarkEnd w:id="45"/>
    <w:bookmarkStart w:id="46" w:name="aufzug"/>
    <w:p>
      <w:pPr>
        <w:pStyle w:val="Heading1"/>
      </w:pPr>
      <w:r>
        <w:t xml:space="preserve">14 Aufzug</w:t>
      </w:r>
    </w:p>
    <w:p>
      <w:pPr>
        <w:pStyle w:val="FirstParagraph"/>
      </w:pPr>
      <w:r>
        <w:rPr>
          <w:b/>
          <w:bCs/>
        </w:rPr>
        <w:t xml:space="preserve">14.1</w:t>
      </w:r>
      <w:r>
        <w:t xml:space="preserve"> </w:t>
      </w:r>
      <w:r>
        <w:t xml:space="preserve">Haus 4 erhält einen Personenaufzug, der die Wohngeschosse, das Staffelgeschoss und die Tiefgarage erschließt. Fabrikat, Förderhöhe, Traglast, Türbreite, Kabinenoberflächen und Steuerung wählt der Verkäufer unter Berücksichtigung des Gebäudekonzepts und der Wartungsverträge der Erstbetriebsphase.</w:t>
      </w:r>
    </w:p>
    <w:bookmarkEnd w:id="46"/>
    <w:bookmarkStart w:id="47" w:name="tiefgarage"/>
    <w:p>
      <w:pPr>
        <w:pStyle w:val="Heading1"/>
      </w:pPr>
      <w:r>
        <w:t xml:space="preserve">15 Tiefgarage</w:t>
      </w:r>
    </w:p>
    <w:p>
      <w:pPr>
        <w:pStyle w:val="FirstParagraph"/>
      </w:pPr>
      <w:r>
        <w:rPr>
          <w:b/>
          <w:bCs/>
        </w:rPr>
        <w:t xml:space="preserve">15.1</w:t>
      </w:r>
      <w:r>
        <w:t xml:space="preserve"> </w:t>
      </w:r>
      <w:r>
        <w:t xml:space="preserve">Die zweigeschossige Tiefgarage wird in Stahlbeton ausgeführt und maschinell be- und entlüftet. Bodenbeschichtung, Entwässerungsrinnen, Markierung, Beschilderung, CO-Warnanlage, Brandschutztore und technische Ausstattung richten sich nach dem Garagen- und Brandschutzkonzept.</w:t>
      </w:r>
    </w:p>
    <w:p>
      <w:pPr>
        <w:pStyle w:val="BodyText"/>
      </w:pPr>
      <w:r>
        <w:rPr>
          <w:b/>
          <w:bCs/>
        </w:rPr>
        <w:t xml:space="preserve">15.2</w:t>
      </w:r>
      <w:r>
        <w:t xml:space="preserve"> </w:t>
      </w:r>
      <w:r>
        <w:t xml:space="preserve">Der dem Käufer zugeordnete Stellplatz TG-127 wird als Stellplatz in der Tiefgaragenspange Nord hergestellt. Stützen, Wandscheiben, Leitungsführungen, Lüftungskanäle, Gefälle und Entwässerungsrinnen können seine Benutzung beeinflussen. Eine bestimmte Mindestbreite oder Mindesthöhe über das bauordnungsrechtlich Erforderliche hinaus wird nicht geschuldet.</w:t>
      </w:r>
    </w:p>
    <w:bookmarkEnd w:id="47"/>
    <w:bookmarkStart w:id="48" w:name="schall--wärme--feuchte--und-brandschutz"/>
    <w:p>
      <w:pPr>
        <w:pStyle w:val="Heading1"/>
      </w:pPr>
      <w:r>
        <w:t xml:space="preserve">16 Schall-, Wärme-, Feuchte- und Brandschutz</w:t>
      </w:r>
    </w:p>
    <w:p>
      <w:pPr>
        <w:pStyle w:val="FirstParagraph"/>
      </w:pPr>
      <w:r>
        <w:rPr>
          <w:b/>
          <w:bCs/>
        </w:rPr>
        <w:t xml:space="preserve">16.1</w:t>
      </w:r>
      <w:r>
        <w:t xml:space="preserve"> </w:t>
      </w:r>
      <w:r>
        <w:t xml:space="preserve">Schall-, Wärme-, Feuchte- und Brandschutz für Haus 4, Wohnung 4.27, Kellerzone und Tiefgarage werden in dem öffentlich-rechtlich erforderlichen Umfang nachgewiesen und ausgeführt. Ein über die Mindestanforderungen hinausgehender, erhöhter Schallschutz zwischen Wohnung, Treppenhaus, Aufzug, Tiefgarage und technischen Anlagen wird nur geschuldet, soweit er nachstehend mit Zahlenwerten ausdrücklich vereinbart ist.</w:t>
      </w:r>
    </w:p>
    <w:p>
      <w:pPr>
        <w:pStyle w:val="BodyText"/>
      </w:pPr>
      <w:r>
        <w:rPr>
          <w:b/>
          <w:bCs/>
        </w:rPr>
        <w:t xml:space="preserve">16.2</w:t>
      </w:r>
      <w:r>
        <w:t xml:space="preserve"> </w:t>
      </w:r>
      <w:r>
        <w:t xml:space="preserve">Die schallschutztechnische Auslegung richtet sich nach dem projektbezogenen Nachweiskonzept und den öffentlich-rechtlich erforderlichen Mindestanforderungen. Ein erhöhter Schallschutz bedarf einer ausdrücklichen, zahlenmäßig bezeichneten Vereinbarung.</w:t>
      </w:r>
    </w:p>
    <w:bookmarkEnd w:id="48"/>
    <w:bookmarkStart w:id="49" w:name="energetischer-standard"/>
    <w:p>
      <w:pPr>
        <w:pStyle w:val="Heading1"/>
      </w:pPr>
      <w:r>
        <w:t xml:space="preserve">17 Energetischer Standard</w:t>
      </w:r>
    </w:p>
    <w:p>
      <w:pPr>
        <w:pStyle w:val="FirstParagraph"/>
      </w:pPr>
      <w:r>
        <w:rPr>
          <w:b/>
          <w:bCs/>
        </w:rPr>
        <w:t xml:space="preserve">17.1</w:t>
      </w:r>
      <w:r>
        <w:t xml:space="preserve"> </w:t>
      </w:r>
      <w:r>
        <w:t xml:space="preserve">Haus 4 wird nach den zum Tag der Erteilung der Baugenehmigung geltenden energetischen Anforderungen errichtet. Energieausweis, Nachweise und etwaige Förderunterlagen werden nach Maßgabe der öffentlich-rechtlichen und finanzierungsbezogenen Erfordernisse erstellt. Eine bestimmte KfW-Effizienzhausklasse, ein bestimmter Primärenergiebedarf, eine bestimmte GEG-Stufe oder eine bestimmte Förderfähigkeit der Wohnung 4.27 wird nicht geschuldet, soweit nicht ausdrücklich mit Zahlenwert vereinbart.</w:t>
      </w:r>
    </w:p>
    <w:bookmarkEnd w:id="49"/>
    <w:bookmarkStart w:id="50" w:name="außenanlagen-gemeinschaftsflächen"/>
    <w:p>
      <w:pPr>
        <w:pStyle w:val="Heading1"/>
      </w:pPr>
      <w:r>
        <w:t xml:space="preserve">18 Außenanlagen, Gemeinschaftsflächen</w:t>
      </w:r>
    </w:p>
    <w:p>
      <w:pPr>
        <w:pStyle w:val="FirstParagraph"/>
      </w:pPr>
      <w:r>
        <w:rPr>
          <w:b/>
          <w:bCs/>
        </w:rPr>
        <w:t xml:space="preserve">18.1</w:t>
      </w:r>
      <w:r>
        <w:t xml:space="preserve"> </w:t>
      </w:r>
      <w:r>
        <w:t xml:space="preserve">Die Außenanlagen im Bereich Haus 4 (Zuwegung vom Quartiersplatz, Feuerwehr- und Lieferflächen, Pflanzflächen, Fahrradabstellbereiche, Müllstandorte, Beleuchtung und die Terrasse T-4.27) werden nach dem Freiflächenkonzept hergestellt. Art, Umfang und Zeitpunkt der Fertigstellung richten sich nach dem Bauablauf des Gesamtquartiers, insbesondere der angrenzenden Baufelder Q2 und Q3, und können nach dem Übergabetag der Wohnung liegen.</w:t>
      </w:r>
    </w:p>
    <w:p>
      <w:pPr>
        <w:pStyle w:val="BodyText"/>
      </w:pPr>
      <w:r>
        <w:rPr>
          <w:b/>
          <w:bCs/>
        </w:rPr>
        <w:t xml:space="preserve">18.2</w:t>
      </w:r>
      <w:r>
        <w:t xml:space="preserve"> </w:t>
      </w:r>
      <w:r>
        <w:t xml:space="preserve">Die Terrasse T-4.27 wird mit Betonplatten, keramischen Terrassenplatten oder einem vergleichbaren Belag aus der Außenanlagenserie Q1 auf Gefälle bzw. Unterkonstruktion hergestellt; Format, Farbe, Fuge und Entwässerungsdetail richten sich nach dem Freiflächenkonzept.</w:t>
      </w:r>
    </w:p>
    <w:bookmarkEnd w:id="50"/>
    <w:bookmarkStart w:id="51" w:name="wohnflächen"/>
    <w:p>
      <w:pPr>
        <w:pStyle w:val="Heading1"/>
      </w:pPr>
      <w:r>
        <w:t xml:space="preserve">19 Wohnflächen</w:t>
      </w:r>
    </w:p>
    <w:p>
      <w:pPr>
        <w:pStyle w:val="FirstParagraph"/>
      </w:pPr>
      <w:r>
        <w:rPr>
          <w:b/>
          <w:bCs/>
        </w:rPr>
        <w:t xml:space="preserve">19.1</w:t>
      </w:r>
      <w:r>
        <w:t xml:space="preserve"> </w:t>
      </w:r>
      <w:r>
        <w:t xml:space="preserve">Die Wohnfläche der Wohnung 4.27 beträgt ca. 118,4 m² einschließlich der nach Planungsstand angesetzten Flächenanteile der Terrasse T-4.27. Die Ermittlung erfolgt nach DIN 277 anhand der Planungsstände. Maßgeblich ist die nach Fertigstellung tatsächlich erbrachte Ausführung; die ca.-Angabe dient der Objektbeschreibung und ist keine selbständige Garantie.</w:t>
      </w:r>
    </w:p>
    <w:bookmarkEnd w:id="51"/>
    <w:bookmarkStart w:id="52" w:name="bemusterung-sonderwünsche"/>
    <w:p>
      <w:pPr>
        <w:pStyle w:val="Heading1"/>
      </w:pPr>
      <w:r>
        <w:t xml:space="preserve">20 Bemusterung, Sonderwünsche</w:t>
      </w:r>
    </w:p>
    <w:p>
      <w:pPr>
        <w:pStyle w:val="FirstParagraph"/>
      </w:pPr>
      <w:r>
        <w:rPr>
          <w:b/>
          <w:bCs/>
        </w:rPr>
        <w:t xml:space="preserve">20.1</w:t>
      </w:r>
      <w:r>
        <w:t xml:space="preserve"> </w:t>
      </w:r>
      <w:r>
        <w:t xml:space="preserve">Der Käufer wählt im Rahmen der Bemusterung im Bemusterungszentrum „Birkenpfuhl Auswahlwelt” aus dem jeweils gültigen Sortiment der Linie B4 für Boden, Fliesen, Sanitärobjekte, Armaturen, Innentüren, Beschläge, Schalterprogramm und Elektro-Mehrpunkte. Drei Beratungsstunden sind im Kaufpreis enthalten; darüber hinausgehender Aufwand wird mit 180,00 EUR netto je angefangener Stunde vergütet.</w:t>
      </w:r>
    </w:p>
    <w:p>
      <w:pPr>
        <w:pStyle w:val="BodyText"/>
      </w:pPr>
      <w:r>
        <w:rPr>
          <w:b/>
          <w:bCs/>
        </w:rPr>
        <w:t xml:space="preserve">20.2</w:t>
      </w:r>
      <w:r>
        <w:t xml:space="preserve"> </w:t>
      </w:r>
      <w:r>
        <w:t xml:space="preserve">Die Bemusterung hat innerhalb von vier Wochen nach Aufforderung stattzufinden. Reagiert der Käufer nicht rechtzeitig, wählt der Verkäufer für Wohnung 4.27 aus den Serien B4-01 bis B4-06, B4-Bad und B4-Tür. Spätere Änderungen sind nur möglich, soweit Bestellung, Lieferung und Einbau im Bauablauf Haus 4 noch ohne Umplanung möglich sind, und gesondert zu vergüten.</w:t>
      </w:r>
    </w:p>
    <w:p>
      <w:pPr>
        <w:pStyle w:val="BodyText"/>
      </w:pPr>
      <w:r>
        <w:rPr>
          <w:b/>
          <w:bCs/>
        </w:rPr>
        <w:t xml:space="preserve">20.3</w:t>
      </w:r>
      <w:r>
        <w:t xml:space="preserve"> </w:t>
      </w:r>
      <w:r>
        <w:t xml:space="preserve">Sonderwünsche außerhalb der Serien B4-01 bis B4-06, B4-Bad, B4-Tür und B4-Elektro sind vor Beginn der betroffenen Bauleistung vollständig und im Voraus zu zahlen.</w:t>
      </w:r>
    </w:p>
    <w:p>
      <w:r>
        <w:br w:type="page"/>
      </w:r>
    </w:p>
    <w:bookmarkEnd w:id="52"/>
    <w:bookmarkStart w:id="53" w:name="schlussbestimmungen-der-baubeschreibung"/>
    <w:p>
      <w:pPr>
        <w:pStyle w:val="Heading1"/>
      </w:pPr>
      <w:r>
        <w:t xml:space="preserve">Schlussbestimmungen der Baubeschreibung</w:t>
      </w:r>
    </w:p>
    <w:p>
      <w:pPr>
        <w:pStyle w:val="FirstParagraph"/>
      </w:pPr>
      <w:r>
        <w:rPr>
          <w:b/>
          <w:bCs/>
        </w:rPr>
        <w:t xml:space="preserve">S.1</w:t>
      </w:r>
      <w:r>
        <w:t xml:space="preserve"> </w:t>
      </w:r>
      <w:r>
        <w:t xml:space="preserve">Bei Widersprüchen zwischen dieser Baubeschreibung, den Plänen B4-A-100 bis B4-A-612, Bemusterungsunterlagen und dem Kaufvertrag ist zunächst eine technisch und wirtschaftlich sachgerechte Auslegung im Sinne einer einheitlichen Projektausführung für Haus 4 und die Tiefgaragenspange Nord vorzunehmen. Der Verkäufer trifft hierzu die erforderlichen Koordinierungsentscheidungen für Schachtlagen, Fassadenanschlüsse, TGA-Schnittstellen, Bemusterungsserien und Außenanlagenanschlüsse.</w:t>
      </w:r>
    </w:p>
    <w:p>
      <w:pPr>
        <w:pStyle w:val="BodyText"/>
      </w:pPr>
      <w:r>
        <w:rPr>
          <w:b/>
          <w:bCs/>
        </w:rPr>
        <w:t xml:space="preserve">S.2</w:t>
      </w:r>
      <w:r>
        <w:t xml:space="preserve"> </w:t>
      </w:r>
      <w:r>
        <w:t xml:space="preserve">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p>
      <w:pPr>
        <w:pStyle w:val="BodyText"/>
      </w:pPr>
      <w:r>
        <w:t xml:space="preserve">Berlin, im Februar 2026</w:t>
      </w:r>
    </w:p>
    <w:p>
      <w:pPr>
        <w:pStyle w:val="BodyText"/>
      </w:pPr>
      <w:r>
        <w:t xml:space="preserve">Hohenwartshofen Quartiersentwicklung GmbH &amp; Co. KG</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2026-06-20T06:54:17Z</dcterms:created>
  <dcterms:modified xsi:type="dcterms:W3CDTF">2026-06-20T06:54:17Z</dcterms:modified>
</cp:coreProperties>
</file>

<file path=docProps/custom.xml><?xml version="1.0" encoding="utf-8"?>
<Properties xmlns="http://schemas.openxmlformats.org/officeDocument/2006/custom-properties" xmlns:vt="http://schemas.openxmlformats.org/officeDocument/2006/docPropsVTypes"/>
</file>