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doc-title"/>
        <w:bidi w:val="0"/>
        <w:spacing w:before="240" w:after="283"/>
        <w:rPr/>
      </w:pPr>
      <w:r>
        <w:rPr/>
        <w:t>Wohnungsbauträgervertrag mit Auflassung — Deutsch/English</w:t>
      </w:r>
    </w:p>
    <w:p>
      <w:pPr>
        <w:pStyle w:val="BodyTextdoc-note"/>
        <w:bidi w:val="0"/>
        <w:rPr/>
      </w:pPr>
      <w:r>
        <w:rPr/>
        <w:t>Deutsch-englische Lesefassung. Bei Abweichungen ist die deutsche Sprachfassung maßgeblich.</w:t>
      </w:r>
    </w:p>
    <w:tbl>
      <w:tblPr>
        <w:tblW w:w="15534" w:type="dxa"/>
        <w:jc w:val="start"/>
        <w:tblInd w:w="0" w:type="dxa"/>
        <w:tblLayout w:type="fixed"/>
        <w:tblCellMar>
          <w:top w:w="28" w:type="dxa"/>
          <w:start w:w="28" w:type="dxa"/>
          <w:bottom w:w="28" w:type="dxa"/>
          <w:end w:w="28" w:type="dxa"/>
        </w:tblCellMar>
      </w:tblPr>
      <w:tblGrid>
        <w:gridCol w:w="7914"/>
        <w:gridCol w:w="7620"/>
      </w:tblGrid>
      <w:tr>
        <w:trPr>
          <w:tblHeader w:val="true"/>
        </w:trPr>
        <w:tc>
          <w:tcPr>
            <w:tcW w:w="7914" w:type="dxa"/>
            <w:tcBorders/>
            <w:vAlign w:val="center"/>
          </w:tcPr>
          <w:p>
            <w:pPr>
              <w:pStyle w:val="TableHeading"/>
              <w:suppressLineNumbers/>
              <w:bidi w:val="0"/>
              <w:spacing w:before="0" w:after="283"/>
              <w:jc w:val="center"/>
              <w:rPr/>
            </w:pPr>
            <w:r>
              <w:rPr/>
              <w:t>Deutsche Fassung</w:t>
            </w:r>
          </w:p>
        </w:tc>
        <w:tc>
          <w:tcPr>
            <w:tcW w:w="7620" w:type="dxa"/>
            <w:tcBorders/>
            <w:vAlign w:val="center"/>
          </w:tcPr>
          <w:p>
            <w:pPr>
              <w:pStyle w:val="TableHeading"/>
              <w:suppressLineNumbers/>
              <w:bidi w:val="0"/>
              <w:spacing w:before="0" w:after="283"/>
              <w:jc w:val="center"/>
              <w:rPr/>
            </w:pPr>
            <w:r>
              <w:rPr/>
              <w:t>English convenience translation</w:t>
            </w:r>
          </w:p>
        </w:tc>
      </w:tr>
      <w:tr>
        <w:trPr/>
        <w:tc>
          <w:tcPr>
            <w:tcW w:w="7914" w:type="dxa"/>
            <w:tcBorders/>
            <w:vAlign w:val="center"/>
          </w:tcPr>
          <w:p>
            <w:pPr>
              <w:pStyle w:val="Heading1"/>
              <w:bidi w:val="0"/>
              <w:spacing w:before="240" w:after="283"/>
              <w:ind w:hanging="0" w:start="0" w:end="0"/>
              <w:rPr/>
            </w:pPr>
            <w:bookmarkStart w:id="0" w:name="bauträgervertrag"/>
            <w:bookmarkEnd w:id="0"/>
            <w:r>
              <w:rPr/>
              <w:t>Bauträgervertrag</w:t>
            </w:r>
          </w:p>
        </w:tc>
        <w:tc>
          <w:tcPr>
            <w:tcW w:w="7620" w:type="dxa"/>
            <w:tcBorders/>
            <w:vAlign w:val="center"/>
          </w:tcPr>
          <w:p>
            <w:pPr>
              <w:pStyle w:val="Heading1"/>
              <w:bidi w:val="0"/>
              <w:spacing w:before="240" w:after="283"/>
              <w:ind w:hanging="0" w:start="0" w:end="0"/>
              <w:rPr/>
            </w:pPr>
            <w:bookmarkStart w:id="1" w:name="property-development-contract"/>
            <w:bookmarkEnd w:id="1"/>
            <w:r>
              <w:rPr/>
              <w:t>Property Development Contract</w:t>
            </w:r>
          </w:p>
        </w:tc>
      </w:tr>
      <w:tr>
        <w:trPr/>
        <w:tc>
          <w:tcPr>
            <w:tcW w:w="7914" w:type="dxa"/>
            <w:tcBorders/>
            <w:vAlign w:val="center"/>
          </w:tcPr>
          <w:p>
            <w:pPr>
              <w:pStyle w:val="Heading2"/>
              <w:bidi w:val="0"/>
              <w:spacing w:before="200" w:after="120"/>
              <w:ind w:hanging="0" w:start="0" w:end="0"/>
              <w:rPr/>
            </w:pPr>
            <w:bookmarkStart w:id="2" w:name="sprachfassung-verlesung-und-verständnish"/>
            <w:bookmarkEnd w:id="2"/>
            <w:r>
              <w:rPr/>
              <w:t>Sprachfassung, Verlesung und Verständnishilfe</w:t>
            </w:r>
          </w:p>
        </w:tc>
        <w:tc>
          <w:tcPr>
            <w:tcW w:w="7620" w:type="dxa"/>
            <w:tcBorders/>
            <w:vAlign w:val="center"/>
          </w:tcPr>
          <w:p>
            <w:pPr>
              <w:pStyle w:val="Heading2"/>
              <w:bidi w:val="0"/>
              <w:spacing w:before="200" w:after="120"/>
              <w:ind w:hanging="0" w:start="0" w:end="0"/>
              <w:rPr/>
            </w:pPr>
            <w:bookmarkStart w:id="3" w:name="language-version-reading-aloud-and-compr"/>
            <w:bookmarkEnd w:id="3"/>
            <w:r>
              <w:rPr/>
              <w:t>Language Version, Reading Aloud and Comprehension Aid</w:t>
            </w:r>
          </w:p>
        </w:tc>
      </w:tr>
      <w:tr>
        <w:trPr/>
        <w:tc>
          <w:tcPr>
            <w:tcW w:w="7914" w:type="dxa"/>
            <w:tcBorders/>
            <w:vAlign w:val="center"/>
          </w:tcPr>
          <w:p>
            <w:pPr>
              <w:pStyle w:val="TableContents"/>
              <w:bidi w:val="0"/>
              <w:spacing w:before="0" w:after="283"/>
              <w:rPr/>
            </w:pPr>
            <w:r>
              <w:rPr>
                <w:rStyle w:val="Strong"/>
              </w:rPr>
              <w:t>S.0</w:t>
            </w:r>
            <w:r>
              <w:rPr/>
              <w:t xml:space="preserve"> Diese Urkunde ist in einer deutsch-englischen Lesefassung erstellt. Die amtierende Notarin beurkundet und verliest im Beurkundungstermin ausschließlich die deutsche Sprachfassung. Die englische Sprachfassung ist keine selbständige Vertragssprache, wird nicht verlesen und dient allein dem besseren Verständnis des Käufers; sie begründet keine von der deutschen Sprachfassung abweichenden Rechte, Pflichten, Fälligkeiten, Fristen, Beschaffenheiten oder Rechtsfolgen.</w:t>
            </w:r>
          </w:p>
        </w:tc>
        <w:tc>
          <w:tcPr>
            <w:tcW w:w="7620" w:type="dxa"/>
            <w:tcBorders/>
            <w:vAlign w:val="center"/>
          </w:tcPr>
          <w:p>
            <w:pPr>
              <w:pStyle w:val="TableContents"/>
              <w:bidi w:val="0"/>
              <w:spacing w:before="0" w:after="283"/>
              <w:rPr/>
            </w:pPr>
            <w:r>
              <w:rPr>
                <w:rStyle w:val="Strong"/>
              </w:rPr>
              <w:t>S.0</w:t>
            </w:r>
            <w:r>
              <w:rPr/>
              <w:t xml:space="preserve"> This deed has been prepared as a German/English reading version. At the notarisation appointment, the acting notary records and reads aloud only the German language version. The English language version is not an independent contractual language, is not read aloud and serves solely to assist the Buyer in understanding the deed; it does not create any rights, obligations, due dates, time limits, qualities or legal consequences differing from the German language version.</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Heading1"/>
              <w:bidi w:val="0"/>
              <w:spacing w:before="240" w:after="283"/>
              <w:ind w:hanging="0" w:start="0" w:end="0"/>
              <w:rPr/>
            </w:pPr>
            <w:bookmarkStart w:id="4" w:name="ur-nr.-7442026-bs"/>
            <w:bookmarkEnd w:id="4"/>
            <w:r>
              <w:rPr/>
              <w:t>UR-Nr. 744/2026 BS</w:t>
            </w:r>
          </w:p>
        </w:tc>
        <w:tc>
          <w:tcPr>
            <w:tcW w:w="7620" w:type="dxa"/>
            <w:tcBorders/>
            <w:vAlign w:val="center"/>
          </w:tcPr>
          <w:p>
            <w:pPr>
              <w:pStyle w:val="Heading1"/>
              <w:bidi w:val="0"/>
              <w:spacing w:before="240" w:after="283"/>
              <w:ind w:hanging="0" w:start="0" w:end="0"/>
              <w:rPr/>
            </w:pPr>
            <w:bookmarkStart w:id="5" w:name="ur-no-7442026-bs"/>
            <w:bookmarkEnd w:id="5"/>
            <w:r>
              <w:rPr/>
              <w:t>UR No 744/2026 BS</w:t>
            </w:r>
          </w:p>
        </w:tc>
      </w:tr>
      <w:tr>
        <w:trPr/>
        <w:tc>
          <w:tcPr>
            <w:tcW w:w="7914" w:type="dxa"/>
            <w:tcBorders/>
            <w:vAlign w:val="center"/>
          </w:tcPr>
          <w:p>
            <w:pPr>
              <w:pStyle w:val="Heading2"/>
              <w:bidi w:val="0"/>
              <w:spacing w:before="200" w:after="120"/>
              <w:ind w:hanging="0" w:start="0" w:end="0"/>
              <w:rPr/>
            </w:pPr>
            <w:bookmarkStart w:id="6" w:name="verhandelt"/>
            <w:bookmarkEnd w:id="6"/>
            <w:r>
              <w:rPr/>
              <w:t>Verhandelt</w:t>
            </w:r>
          </w:p>
        </w:tc>
        <w:tc>
          <w:tcPr>
            <w:tcW w:w="7620" w:type="dxa"/>
            <w:tcBorders/>
            <w:vAlign w:val="center"/>
          </w:tcPr>
          <w:p>
            <w:pPr>
              <w:pStyle w:val="Heading2"/>
              <w:bidi w:val="0"/>
              <w:spacing w:before="200" w:after="120"/>
              <w:ind w:hanging="0" w:start="0" w:end="0"/>
              <w:rPr/>
            </w:pPr>
            <w:bookmarkStart w:id="7" w:name="negotiated"/>
            <w:bookmarkEnd w:id="7"/>
            <w:r>
              <w:rPr/>
              <w:t>Negotiated</w:t>
            </w:r>
          </w:p>
        </w:tc>
      </w:tr>
      <w:tr>
        <w:trPr/>
        <w:tc>
          <w:tcPr>
            <w:tcW w:w="7914" w:type="dxa"/>
            <w:tcBorders/>
            <w:vAlign w:val="center"/>
          </w:tcPr>
          <w:p>
            <w:pPr>
              <w:pStyle w:val="TableContents"/>
              <w:bidi w:val="0"/>
              <w:spacing w:before="0" w:after="283"/>
              <w:rPr/>
            </w:pPr>
            <w:r>
              <w:rPr/>
              <w:t>zu Hamburg, am 12. Juni 2026</w:t>
            </w:r>
          </w:p>
        </w:tc>
        <w:tc>
          <w:tcPr>
            <w:tcW w:w="7620" w:type="dxa"/>
            <w:tcBorders/>
            <w:vAlign w:val="center"/>
          </w:tcPr>
          <w:p>
            <w:pPr>
              <w:pStyle w:val="TableContents"/>
              <w:bidi w:val="0"/>
              <w:spacing w:before="0" w:after="283"/>
              <w:rPr/>
            </w:pPr>
            <w:r>
              <w:rPr/>
              <w:t>in Hamburg, on 12 June 2026</w:t>
            </w:r>
          </w:p>
        </w:tc>
      </w:tr>
      <w:tr>
        <w:trPr/>
        <w:tc>
          <w:tcPr>
            <w:tcW w:w="7914" w:type="dxa"/>
            <w:tcBorders/>
            <w:vAlign w:val="center"/>
          </w:tcPr>
          <w:p>
            <w:pPr>
              <w:pStyle w:val="TableContents"/>
              <w:bidi w:val="0"/>
              <w:spacing w:before="0" w:after="283"/>
              <w:rPr/>
            </w:pPr>
            <w:r>
              <w:rPr/>
              <w:t>Vor mir, der unterzeichnenden Notarin im Bezirk des Hanseatischen Oberlandesgerichts</w:t>
            </w:r>
          </w:p>
        </w:tc>
        <w:tc>
          <w:tcPr>
            <w:tcW w:w="7620" w:type="dxa"/>
            <w:tcBorders/>
            <w:vAlign w:val="center"/>
          </w:tcPr>
          <w:p>
            <w:pPr>
              <w:pStyle w:val="TableContents"/>
              <w:bidi w:val="0"/>
              <w:spacing w:before="0" w:after="283"/>
              <w:rPr/>
            </w:pPr>
            <w:r>
              <w:rPr/>
              <w:t>Before me, the undersigned Notary in the district of the Hanseatic Higher Regional Court</w:t>
            </w:r>
          </w:p>
        </w:tc>
      </w:tr>
      <w:tr>
        <w:trPr/>
        <w:tc>
          <w:tcPr>
            <w:tcW w:w="7914" w:type="dxa"/>
            <w:tcBorders/>
            <w:vAlign w:val="center"/>
          </w:tcPr>
          <w:p>
            <w:pPr>
              <w:pStyle w:val="TableContents"/>
              <w:bidi w:val="0"/>
              <w:spacing w:before="0" w:after="283"/>
              <w:rPr/>
            </w:pPr>
            <w:r>
              <w:rPr>
                <w:rStyle w:val="Strong"/>
              </w:rPr>
              <w:t>Dr. Cornelia Brakelmann-Stüve</w:t>
            </w:r>
          </w:p>
        </w:tc>
        <w:tc>
          <w:tcPr>
            <w:tcW w:w="7620" w:type="dxa"/>
            <w:tcBorders/>
            <w:vAlign w:val="center"/>
          </w:tcPr>
          <w:p>
            <w:pPr>
              <w:pStyle w:val="TableContents"/>
              <w:bidi w:val="0"/>
              <w:spacing w:before="0" w:after="283"/>
              <w:rPr/>
            </w:pPr>
            <w:r>
              <w:rPr>
                <w:rStyle w:val="Strong"/>
              </w:rPr>
              <w:t>Dr. Cornelia Brakelmann-Stüve</w:t>
            </w:r>
          </w:p>
        </w:tc>
      </w:tr>
      <w:tr>
        <w:trPr/>
        <w:tc>
          <w:tcPr>
            <w:tcW w:w="7914" w:type="dxa"/>
            <w:tcBorders/>
            <w:vAlign w:val="center"/>
          </w:tcPr>
          <w:p>
            <w:pPr>
              <w:pStyle w:val="TableContents"/>
              <w:bidi w:val="0"/>
              <w:spacing w:before="0" w:after="283"/>
              <w:rPr/>
            </w:pPr>
            <w:r>
              <w:rPr/>
              <w:t>Ballindamm 17, 20095 Hamburg</w:t>
            </w:r>
          </w:p>
        </w:tc>
        <w:tc>
          <w:tcPr>
            <w:tcW w:w="7620" w:type="dxa"/>
            <w:tcBorders/>
            <w:vAlign w:val="center"/>
          </w:tcPr>
          <w:p>
            <w:pPr>
              <w:pStyle w:val="TableContents"/>
              <w:bidi w:val="0"/>
              <w:spacing w:before="0" w:after="283"/>
              <w:rPr/>
            </w:pPr>
            <w:r>
              <w:rPr/>
              <w:t>Ballindamm 17, 20095 Hamburg</w:t>
            </w:r>
          </w:p>
        </w:tc>
      </w:tr>
      <w:tr>
        <w:trPr/>
        <w:tc>
          <w:tcPr>
            <w:tcW w:w="7914" w:type="dxa"/>
            <w:tcBorders/>
            <w:vAlign w:val="center"/>
          </w:tcPr>
          <w:p>
            <w:pPr>
              <w:pStyle w:val="TableContents"/>
              <w:bidi w:val="0"/>
              <w:spacing w:before="0" w:after="283"/>
              <w:rPr/>
            </w:pPr>
            <w:r>
              <w:rPr/>
              <w:t>erschienen heute:</w:t>
            </w:r>
          </w:p>
        </w:tc>
        <w:tc>
          <w:tcPr>
            <w:tcW w:w="7620" w:type="dxa"/>
            <w:tcBorders/>
            <w:vAlign w:val="center"/>
          </w:tcPr>
          <w:p>
            <w:pPr>
              <w:pStyle w:val="TableContents"/>
              <w:bidi w:val="0"/>
              <w:spacing w:before="0" w:after="283"/>
              <w:rPr/>
            </w:pPr>
            <w:r>
              <w:rPr/>
              <w:t>appeared today:</w:t>
            </w:r>
          </w:p>
        </w:tc>
      </w:tr>
      <w:tr>
        <w:trPr/>
        <w:tc>
          <w:tcPr>
            <w:tcW w:w="7914" w:type="dxa"/>
            <w:tcBorders/>
            <w:vAlign w:val="center"/>
          </w:tcPr>
          <w:p>
            <w:pPr>
              <w:pStyle w:val="TableContents"/>
              <w:bidi w:val="0"/>
              <w:spacing w:before="0" w:after="283"/>
              <w:rPr/>
            </w:pPr>
            <w:r>
              <w:rPr/>
              <w:t xml:space="preserve">Herr </w:t>
            </w:r>
            <w:r>
              <w:rPr>
                <w:rStyle w:val="Strong"/>
              </w:rPr>
              <w:t>Gisbert Tönnemann-Loose</w:t>
            </w:r>
            <w:r>
              <w:rPr/>
              <w:t>, geboren am 24.09.1972,</w:t>
            </w:r>
          </w:p>
        </w:tc>
        <w:tc>
          <w:tcPr>
            <w:tcW w:w="7620" w:type="dxa"/>
            <w:tcBorders/>
            <w:vAlign w:val="center"/>
          </w:tcPr>
          <w:p>
            <w:pPr>
              <w:pStyle w:val="TableContents"/>
              <w:bidi w:val="0"/>
              <w:spacing w:before="0" w:after="283"/>
              <w:rPr/>
            </w:pPr>
            <w:r>
              <w:rPr/>
              <w:t>Mr Gisbert Tönnemann-Loose, born 24.09.1972,</w:t>
            </w:r>
          </w:p>
        </w:tc>
      </w:tr>
      <w:tr>
        <w:trPr/>
        <w:tc>
          <w:tcPr>
            <w:tcW w:w="7914" w:type="dxa"/>
            <w:tcBorders/>
            <w:vAlign w:val="center"/>
          </w:tcPr>
          <w:p>
            <w:pPr>
              <w:pStyle w:val="TableContents"/>
              <w:bidi w:val="0"/>
              <w:spacing w:before="0" w:after="283"/>
              <w:rPr/>
            </w:pPr>
            <w:r>
              <w:rPr/>
              <w:t>geschäftsansässig: Mundsburger Damm 5, 22087 Hamburg,</w:t>
            </w:r>
          </w:p>
        </w:tc>
        <w:tc>
          <w:tcPr>
            <w:tcW w:w="7620" w:type="dxa"/>
            <w:tcBorders/>
            <w:vAlign w:val="center"/>
          </w:tcPr>
          <w:p>
            <w:pPr>
              <w:pStyle w:val="TableContents"/>
              <w:bidi w:val="0"/>
              <w:spacing w:before="0" w:after="283"/>
              <w:rPr/>
            </w:pPr>
            <w:r>
              <w:rPr/>
              <w:t>business address: Mundsburger Damm 5, 22087 Hamburg,</w:t>
            </w:r>
          </w:p>
        </w:tc>
      </w:tr>
      <w:tr>
        <w:trPr/>
        <w:tc>
          <w:tcPr>
            <w:tcW w:w="7914" w:type="dxa"/>
            <w:tcBorders/>
            <w:vAlign w:val="center"/>
          </w:tcPr>
          <w:p>
            <w:pPr>
              <w:pStyle w:val="TableContents"/>
              <w:bidi w:val="0"/>
              <w:spacing w:before="0" w:after="283"/>
              <w:rPr/>
            </w:pPr>
            <w:r>
              <w:rPr/>
              <w:t>der Notarin von Person bekannt,</w:t>
            </w:r>
          </w:p>
        </w:tc>
        <w:tc>
          <w:tcPr>
            <w:tcW w:w="7620" w:type="dxa"/>
            <w:tcBorders/>
            <w:vAlign w:val="center"/>
          </w:tcPr>
          <w:p>
            <w:pPr>
              <w:pStyle w:val="TableContents"/>
              <w:bidi w:val="0"/>
              <w:spacing w:before="0" w:after="283"/>
              <w:rPr/>
            </w:pPr>
            <w:r>
              <w:rPr/>
              <w:t>personally known to the Notary,</w:t>
            </w:r>
          </w:p>
        </w:tc>
      </w:tr>
      <w:tr>
        <w:trPr/>
        <w:tc>
          <w:tcPr>
            <w:tcW w:w="7914" w:type="dxa"/>
            <w:tcBorders/>
            <w:vAlign w:val="center"/>
          </w:tcPr>
          <w:p>
            <w:pPr>
              <w:pStyle w:val="TableContents"/>
              <w:bidi w:val="0"/>
              <w:spacing w:before="0" w:after="283"/>
              <w:rPr/>
            </w:pPr>
            <w:r>
              <w:rPr/>
              <w:t>handelnd nicht im eigenen Namen, sondern als alleinvertretungsberechtigter, von den Beschränkungen des § 181 BGB befreiter Prokurist für die</w:t>
            </w:r>
          </w:p>
        </w:tc>
        <w:tc>
          <w:tcPr>
            <w:tcW w:w="7620" w:type="dxa"/>
            <w:tcBorders/>
            <w:vAlign w:val="center"/>
          </w:tcPr>
          <w:p>
            <w:pPr>
              <w:pStyle w:val="TableContents"/>
              <w:bidi w:val="0"/>
              <w:spacing w:before="0" w:after="283"/>
              <w:rPr/>
            </w:pPr>
            <w:r>
              <w:rPr/>
              <w:t>acting not in his own name, but as an authorized representative, exempted from the restrictions of § 181 BGB for the</w:t>
            </w:r>
          </w:p>
        </w:tc>
      </w:tr>
      <w:tr>
        <w:trPr/>
        <w:tc>
          <w:tcPr>
            <w:tcW w:w="7914" w:type="dxa"/>
            <w:tcBorders/>
            <w:vAlign w:val="center"/>
          </w:tcPr>
          <w:p>
            <w:pPr>
              <w:pStyle w:val="TableContents"/>
              <w:bidi w:val="0"/>
              <w:spacing w:before="0" w:after="283"/>
              <w:rPr/>
            </w:pPr>
            <w:r>
              <w:rPr>
                <w:rStyle w:val="Strong"/>
              </w:rPr>
              <w:t>Marewald Wohnbau GmbH &amp; Co. KG</w:t>
            </w:r>
          </w:p>
        </w:tc>
        <w:tc>
          <w:tcPr>
            <w:tcW w:w="7620" w:type="dxa"/>
            <w:tcBorders/>
            <w:vAlign w:val="center"/>
          </w:tcPr>
          <w:p>
            <w:pPr>
              <w:pStyle w:val="TableContents"/>
              <w:bidi w:val="0"/>
              <w:spacing w:before="0" w:after="283"/>
              <w:rPr/>
            </w:pPr>
            <w:r>
              <w:rPr>
                <w:rStyle w:val="Strong"/>
              </w:rPr>
              <w:t>Marewald Wohnbau GmbH &amp; Co. KG</w:t>
            </w:r>
          </w:p>
        </w:tc>
      </w:tr>
      <w:tr>
        <w:trPr/>
        <w:tc>
          <w:tcPr>
            <w:tcW w:w="7914" w:type="dxa"/>
            <w:tcBorders/>
            <w:vAlign w:val="center"/>
          </w:tcPr>
          <w:p>
            <w:pPr>
              <w:pStyle w:val="TableContents"/>
              <w:bidi w:val="0"/>
              <w:spacing w:before="0" w:after="283"/>
              <w:rPr/>
            </w:pPr>
            <w:r>
              <w:rPr/>
              <w:t>(Amtsgericht Hamburg, HRA 121 540; Komplementärin: Marewald Verwaltungs GmbH, Amtsgericht Hamburg, HRB 158 994),</w:t>
            </w:r>
          </w:p>
        </w:tc>
        <w:tc>
          <w:tcPr>
            <w:tcW w:w="7620" w:type="dxa"/>
            <w:tcBorders/>
            <w:vAlign w:val="center"/>
          </w:tcPr>
          <w:p>
            <w:pPr>
              <w:pStyle w:val="TableContents"/>
              <w:bidi w:val="0"/>
              <w:spacing w:before="0" w:after="283"/>
              <w:rPr/>
            </w:pPr>
            <w:r>
              <w:rPr/>
              <w:t>(Amtsgericht Hamburg, HRA 121 540); Complementary: Marewald Verwaltungs GmbH, District Court of Hamburg, HRB 158 994,</w:t>
            </w:r>
          </w:p>
        </w:tc>
      </w:tr>
      <w:tr>
        <w:trPr/>
        <w:tc>
          <w:tcPr>
            <w:tcW w:w="7914" w:type="dxa"/>
            <w:tcBorders/>
            <w:vAlign w:val="center"/>
          </w:tcPr>
          <w:p>
            <w:pPr>
              <w:pStyle w:val="TableContents"/>
              <w:bidi w:val="0"/>
              <w:spacing w:before="0" w:after="283"/>
              <w:rPr/>
            </w:pPr>
            <w:r>
              <w:rPr/>
              <w:t>Geschäftsanschrift: Mundsburger Damm 5, 22087 Hamburg,</w:t>
            </w:r>
          </w:p>
        </w:tc>
        <w:tc>
          <w:tcPr>
            <w:tcW w:w="7620" w:type="dxa"/>
            <w:tcBorders/>
            <w:vAlign w:val="center"/>
          </w:tcPr>
          <w:p>
            <w:pPr>
              <w:pStyle w:val="TableContents"/>
              <w:bidi w:val="0"/>
              <w:spacing w:before="0" w:after="283"/>
              <w:rPr/>
            </w:pPr>
            <w:r>
              <w:rPr/>
              <w:t>business address: Mundsburger Damm 5, 22087 Hamburg,</w:t>
            </w:r>
          </w:p>
        </w:tc>
      </w:tr>
      <w:tr>
        <w:trPr/>
        <w:tc>
          <w:tcPr>
            <w:tcW w:w="7914" w:type="dxa"/>
            <w:tcBorders/>
            <w:vAlign w:val="center"/>
          </w:tcPr>
          <w:p>
            <w:pPr>
              <w:pStyle w:val="TableContents"/>
              <w:bidi w:val="0"/>
              <w:spacing w:before="0" w:after="283"/>
              <w:rPr/>
            </w:pPr>
            <w:r>
              <w:rPr/>
              <w:t xml:space="preserve">— </w:t>
            </w:r>
            <w:r>
              <w:rPr/>
              <w:t>nachstehend auch „Verkäufer” genannt —.</w:t>
            </w:r>
          </w:p>
        </w:tc>
        <w:tc>
          <w:tcPr>
            <w:tcW w:w="7620" w:type="dxa"/>
            <w:tcBorders/>
            <w:vAlign w:val="center"/>
          </w:tcPr>
          <w:p>
            <w:pPr>
              <w:pStyle w:val="TableContents"/>
              <w:bidi w:val="0"/>
              <w:spacing w:before="0" w:after="283"/>
              <w:rPr/>
            </w:pPr>
            <w:r>
              <w:rPr/>
              <w:t>hereinafter referred to as ‘the Seller’.</w:t>
            </w:r>
          </w:p>
        </w:tc>
      </w:tr>
      <w:tr>
        <w:trPr/>
        <w:tc>
          <w:tcPr>
            <w:tcW w:w="7914" w:type="dxa"/>
            <w:tcBorders/>
            <w:vAlign w:val="center"/>
          </w:tcPr>
          <w:p>
            <w:pPr>
              <w:pStyle w:val="TableContents"/>
              <w:bidi w:val="0"/>
              <w:spacing w:before="0" w:after="283"/>
              <w:rPr/>
            </w:pPr>
            <w:r>
              <w:rPr/>
              <w:t>Die Vertretungsberechtigung wurde der Notarin durch Einsicht in das Handelsregister am heutigen Tage nachgewiesen.</w:t>
            </w:r>
          </w:p>
        </w:tc>
        <w:tc>
          <w:tcPr>
            <w:tcW w:w="7620" w:type="dxa"/>
            <w:tcBorders/>
            <w:vAlign w:val="center"/>
          </w:tcPr>
          <w:p>
            <w:pPr>
              <w:pStyle w:val="TableContents"/>
              <w:bidi w:val="0"/>
              <w:spacing w:before="0" w:after="283"/>
              <w:rPr/>
            </w:pPr>
            <w:r>
              <w:rPr/>
              <w:t>The authorization of representation was proven to the Notary by inspection of the commercial register today.</w:t>
            </w:r>
          </w:p>
        </w:tc>
      </w:tr>
      <w:tr>
        <w:trPr/>
        <w:tc>
          <w:tcPr>
            <w:tcW w:w="7914" w:type="dxa"/>
            <w:tcBorders/>
            <w:vAlign w:val="center"/>
          </w:tcPr>
          <w:p>
            <w:pPr>
              <w:pStyle w:val="TableContents"/>
              <w:bidi w:val="0"/>
              <w:spacing w:before="0" w:after="283"/>
              <w:rPr/>
            </w:pPr>
            <w:r>
              <w:rPr/>
              <w:t xml:space="preserve">Frau </w:t>
            </w:r>
            <w:r>
              <w:rPr>
                <w:rStyle w:val="Strong"/>
              </w:rPr>
              <w:t>Dr. Henrike Salentin-Voßkamp</w:t>
            </w:r>
            <w:r>
              <w:rPr/>
              <w:t>, geboren am 07.05.1979,</w:t>
            </w:r>
          </w:p>
        </w:tc>
        <w:tc>
          <w:tcPr>
            <w:tcW w:w="7620" w:type="dxa"/>
            <w:tcBorders/>
            <w:vAlign w:val="center"/>
          </w:tcPr>
          <w:p>
            <w:pPr>
              <w:pStyle w:val="TableContents"/>
              <w:bidi w:val="0"/>
              <w:spacing w:before="0" w:after="283"/>
              <w:rPr/>
            </w:pPr>
            <w:r>
              <w:rPr/>
              <w:t>Ms Dr Henrike Salentin-Voßkamp, born on 07.05.1979,</w:t>
            </w:r>
          </w:p>
        </w:tc>
      </w:tr>
      <w:tr>
        <w:trPr/>
        <w:tc>
          <w:tcPr>
            <w:tcW w:w="7914" w:type="dxa"/>
            <w:tcBorders/>
            <w:vAlign w:val="center"/>
          </w:tcPr>
          <w:p>
            <w:pPr>
              <w:pStyle w:val="TableContents"/>
              <w:bidi w:val="0"/>
              <w:spacing w:before="0" w:after="283"/>
              <w:rPr/>
            </w:pPr>
            <w:r>
              <w:rPr/>
              <w:t>wohnhaft: Wandsbeker Chaussee 162, 22089 Hamburg,</w:t>
            </w:r>
          </w:p>
        </w:tc>
        <w:tc>
          <w:tcPr>
            <w:tcW w:w="7620" w:type="dxa"/>
            <w:tcBorders/>
            <w:vAlign w:val="center"/>
          </w:tcPr>
          <w:p>
            <w:pPr>
              <w:pStyle w:val="TableContents"/>
              <w:bidi w:val="0"/>
              <w:spacing w:before="0" w:after="283"/>
              <w:rPr/>
            </w:pPr>
            <w:r>
              <w:rPr/>
              <w:t>resident at: Wandsbeker Chaussee 162, 22089 Hamburg,</w:t>
            </w:r>
          </w:p>
        </w:tc>
      </w:tr>
      <w:tr>
        <w:trPr/>
        <w:tc>
          <w:tcPr>
            <w:tcW w:w="7914" w:type="dxa"/>
            <w:tcBorders/>
            <w:vAlign w:val="center"/>
          </w:tcPr>
          <w:p>
            <w:pPr>
              <w:pStyle w:val="TableContents"/>
              <w:bidi w:val="0"/>
              <w:spacing w:before="0" w:after="283"/>
              <w:rPr/>
            </w:pPr>
            <w:r>
              <w:rPr/>
              <w:t>ausgewiesen durch gültigen Personalausweis,</w:t>
            </w:r>
          </w:p>
        </w:tc>
        <w:tc>
          <w:tcPr>
            <w:tcW w:w="7620" w:type="dxa"/>
            <w:tcBorders/>
            <w:vAlign w:val="center"/>
          </w:tcPr>
          <w:p>
            <w:pPr>
              <w:pStyle w:val="TableContents"/>
              <w:bidi w:val="0"/>
              <w:spacing w:before="0" w:after="283"/>
              <w:rPr/>
            </w:pPr>
            <w:r>
              <w:rPr/>
              <w:t>identified by a valid identity card,</w:t>
            </w:r>
          </w:p>
        </w:tc>
      </w:tr>
      <w:tr>
        <w:trPr/>
        <w:tc>
          <w:tcPr>
            <w:tcW w:w="7914" w:type="dxa"/>
            <w:tcBorders/>
            <w:vAlign w:val="center"/>
          </w:tcPr>
          <w:p>
            <w:pPr>
              <w:pStyle w:val="TableContents"/>
              <w:bidi w:val="0"/>
              <w:spacing w:before="0" w:after="283"/>
              <w:rPr/>
            </w:pPr>
            <w:r>
              <w:rPr/>
              <w:t xml:space="preserve">— </w:t>
            </w:r>
            <w:r>
              <w:rPr/>
              <w:t>nachstehend auch „Käufer” genannt —.</w:t>
            </w:r>
          </w:p>
        </w:tc>
        <w:tc>
          <w:tcPr>
            <w:tcW w:w="7620" w:type="dxa"/>
            <w:tcBorders/>
            <w:vAlign w:val="center"/>
          </w:tcPr>
          <w:p>
            <w:pPr>
              <w:pStyle w:val="TableContents"/>
              <w:bidi w:val="0"/>
              <w:spacing w:before="0" w:after="283"/>
              <w:rPr/>
            </w:pPr>
            <w:r>
              <w:rPr/>
              <w:t>hereinafter also referred to as ‘Buyer’.</w:t>
            </w:r>
          </w:p>
        </w:tc>
      </w:tr>
      <w:tr>
        <w:trPr/>
        <w:tc>
          <w:tcPr>
            <w:tcW w:w="7914" w:type="dxa"/>
            <w:tcBorders/>
            <w:vAlign w:val="center"/>
          </w:tcPr>
          <w:p>
            <w:pPr>
              <w:pStyle w:val="TableContents"/>
              <w:bidi w:val="0"/>
              <w:spacing w:before="0" w:after="283"/>
              <w:rPr/>
            </w:pPr>
            <w:r>
              <w:rPr/>
              <w:t>Auf Befragen der Notarin erklärten der Erschienene zu 1. auf Rechnung des von ihm Vertretenen und die Erschienene zu 2. auf eigene Rechnung zu handeln.</w:t>
            </w:r>
          </w:p>
        </w:tc>
        <w:tc>
          <w:tcPr>
            <w:tcW w:w="7620" w:type="dxa"/>
            <w:tcBorders/>
            <w:vAlign w:val="center"/>
          </w:tcPr>
          <w:p>
            <w:pPr>
              <w:pStyle w:val="TableContents"/>
              <w:bidi w:val="0"/>
              <w:spacing w:before="0" w:after="283"/>
              <w:rPr/>
            </w:pPr>
            <w:r>
              <w:rPr/>
              <w:t>At the inquiry of the Notary, the publication declared 1. to act on behalf of the person represented by him and 2. to act on his own account.</w:t>
            </w:r>
          </w:p>
        </w:tc>
      </w:tr>
      <w:tr>
        <w:trPr/>
        <w:tc>
          <w:tcPr>
            <w:tcW w:w="7914" w:type="dxa"/>
            <w:tcBorders/>
            <w:vAlign w:val="center"/>
          </w:tcPr>
          <w:p>
            <w:pPr>
              <w:pStyle w:val="TableContents"/>
              <w:bidi w:val="0"/>
              <w:spacing w:before="0" w:after="283"/>
              <w:rPr/>
            </w:pPr>
            <w:r>
              <w:rPr/>
              <w:t>Die Notarin hat die Beteiligten befragt, ob bei der nachstehend zu beurkundenden Angelegenheit eine der mit ihr zur gemeinsamen Berufsausübung verbundenen Personen oder sie selbst außerhalb der Amtstätigkeit bereits tätig war oder ist. Die Beteiligten erklärten, dass dies nicht der Fall sei.</w:t>
            </w:r>
          </w:p>
        </w:tc>
        <w:tc>
          <w:tcPr>
            <w:tcW w:w="7620" w:type="dxa"/>
            <w:tcBorders/>
            <w:vAlign w:val="center"/>
          </w:tcPr>
          <w:p>
            <w:pPr>
              <w:pStyle w:val="TableContents"/>
              <w:bidi w:val="0"/>
              <w:spacing w:before="0" w:after="283"/>
              <w:rPr/>
            </w:pPr>
            <w:r>
              <w:rPr/>
              <w:t>The Notary has asked the parties whether, in the case to be recorded below, one of the persons associated with him or her for the joint pursuit of the profession or himself or herself has already worked or is working outside the scope of his or her duties. The interested parties explained that this was not the case.</w:t>
            </w:r>
          </w:p>
        </w:tc>
      </w:tr>
      <w:tr>
        <w:trPr/>
        <w:tc>
          <w:tcPr>
            <w:tcW w:w="7914" w:type="dxa"/>
            <w:tcBorders/>
            <w:vAlign w:val="center"/>
          </w:tcPr>
          <w:p>
            <w:pPr>
              <w:pStyle w:val="TableContents"/>
              <w:bidi w:val="0"/>
              <w:spacing w:before="0" w:after="283"/>
              <w:rPr/>
            </w:pPr>
            <w:r>
              <w:rPr/>
              <w:t>Der Käufer erklärte im Hinblick auf § 17 Abs. 2a Satz 2 Nr. 2 BeurkG, dass ihm der beabsichtigte Text dieses Vertrages einschließlich der in Bezug genommenen Baubeschreibung und der Teilungserklärung am 26. Mai 2026 — somit mehr als zwei Wochen vor dem heutigen Beurkundungstag — von der Notarin zur Verfügung gestellt wurde und dass er ausreichend Gelegenheit zur Prüfung hatte.</w:t>
            </w:r>
          </w:p>
        </w:tc>
        <w:tc>
          <w:tcPr>
            <w:tcW w:w="7620" w:type="dxa"/>
            <w:tcBorders/>
            <w:vAlign w:val="center"/>
          </w:tcPr>
          <w:p>
            <w:pPr>
              <w:pStyle w:val="TableContents"/>
              <w:bidi w:val="0"/>
              <w:spacing w:before="0" w:after="283"/>
              <w:rPr/>
            </w:pPr>
            <w:r>
              <w:rPr/>
              <w:t>The Buyer stated with regard to § 17 Abs. 2a sentence 2 no. 2 BeurkG, that the intended text of this contract including the referenced Building Specification and the declaration of division on 26. was provided by the Notary more than two weeks before today’s notarisation day and that he had sufficient opportunity to be examined.</w:t>
            </w:r>
          </w:p>
        </w:tc>
      </w:tr>
      <w:tr>
        <w:trPr/>
        <w:tc>
          <w:tcPr>
            <w:tcW w:w="7914" w:type="dxa"/>
            <w:tcBorders/>
            <w:vAlign w:val="center"/>
          </w:tcPr>
          <w:p>
            <w:pPr>
              <w:pStyle w:val="TableContents"/>
              <w:bidi w:val="0"/>
              <w:spacing w:before="0" w:after="283"/>
              <w:rPr/>
            </w:pPr>
            <w:r>
              <w:rPr/>
              <w:t>Die Erschienenen baten sodann um die Beurkundung des nachstehenden</w:t>
            </w:r>
          </w:p>
        </w:tc>
        <w:tc>
          <w:tcPr>
            <w:tcW w:w="7620" w:type="dxa"/>
            <w:tcBorders/>
            <w:vAlign w:val="center"/>
          </w:tcPr>
          <w:p>
            <w:pPr>
              <w:pStyle w:val="TableContents"/>
              <w:bidi w:val="0"/>
              <w:spacing w:before="0" w:after="283"/>
              <w:rPr/>
            </w:pPr>
            <w:r>
              <w:rPr/>
              <w:t>The persons appearing then requested the notarisation of the following</w:t>
            </w:r>
          </w:p>
        </w:tc>
      </w:tr>
      <w:tr>
        <w:trPr/>
        <w:tc>
          <w:tcPr>
            <w:tcW w:w="7914" w:type="dxa"/>
            <w:tcBorders/>
            <w:vAlign w:val="center"/>
          </w:tcPr>
          <w:p>
            <w:pPr>
              <w:pStyle w:val="Heading1"/>
              <w:bidi w:val="0"/>
              <w:spacing w:before="240" w:after="283"/>
              <w:ind w:hanging="0" w:start="0" w:end="0"/>
              <w:rPr/>
            </w:pPr>
            <w:bookmarkStart w:id="8" w:name="wohnungsbauträgervertrag-mit-auflassung"/>
            <w:bookmarkEnd w:id="8"/>
            <w:r>
              <w:rPr/>
              <w:t>Wohnungsbauträgervertrag mit Auflassung</w:t>
            </w:r>
          </w:p>
        </w:tc>
        <w:tc>
          <w:tcPr>
            <w:tcW w:w="7620" w:type="dxa"/>
            <w:tcBorders/>
            <w:vAlign w:val="center"/>
          </w:tcPr>
          <w:p>
            <w:pPr>
              <w:pStyle w:val="Heading1"/>
              <w:bidi w:val="0"/>
              <w:spacing w:before="240" w:after="283"/>
              <w:ind w:hanging="0" w:start="0" w:end="0"/>
              <w:rPr/>
            </w:pPr>
            <w:bookmarkStart w:id="9" w:name="residential-property-development-contrac"/>
            <w:bookmarkEnd w:id="9"/>
            <w:r>
              <w:rPr/>
              <w:t>Residential Property Development Contract with Conveyance</w:t>
            </w:r>
          </w:p>
        </w:tc>
      </w:tr>
      <w:tr>
        <w:trPr/>
        <w:tc>
          <w:tcPr>
            <w:tcW w:w="7914" w:type="dxa"/>
            <w:tcBorders/>
            <w:vAlign w:val="center"/>
          </w:tcPr>
          <w:p>
            <w:pPr>
              <w:pStyle w:val="Heading2"/>
              <w:bidi w:val="0"/>
              <w:spacing w:before="200" w:after="120"/>
              <w:ind w:hanging="0" w:start="0" w:end="0"/>
              <w:rPr/>
            </w:pPr>
            <w:bookmarkStart w:id="10" w:name="vorbemerkungen"/>
            <w:bookmarkEnd w:id="10"/>
            <w:r>
              <w:rPr/>
              <w:t>Vorbemerkungen</w:t>
            </w:r>
          </w:p>
        </w:tc>
        <w:tc>
          <w:tcPr>
            <w:tcW w:w="7620" w:type="dxa"/>
            <w:tcBorders/>
            <w:vAlign w:val="center"/>
          </w:tcPr>
          <w:p>
            <w:pPr>
              <w:pStyle w:val="Heading2"/>
              <w:bidi w:val="0"/>
              <w:spacing w:before="200" w:after="120"/>
              <w:ind w:hanging="0" w:start="0" w:end="0"/>
              <w:rPr/>
            </w:pPr>
            <w:bookmarkStart w:id="11" w:name="preliminary-comments"/>
            <w:bookmarkEnd w:id="11"/>
            <w:r>
              <w:rPr/>
              <w:t>Preliminary comments</w:t>
            </w:r>
          </w:p>
        </w:tc>
      </w:tr>
      <w:tr>
        <w:trPr/>
        <w:tc>
          <w:tcPr>
            <w:tcW w:w="7914" w:type="dxa"/>
            <w:tcBorders/>
            <w:vAlign w:val="center"/>
          </w:tcPr>
          <w:p>
            <w:pPr>
              <w:pStyle w:val="TableContents"/>
              <w:bidi w:val="0"/>
              <w:spacing w:before="0" w:after="283"/>
              <w:rPr/>
            </w:pPr>
            <w:r>
              <w:rPr>
                <w:rStyle w:val="Strong"/>
              </w:rPr>
              <w:t>0.1</w:t>
            </w:r>
            <w:r>
              <w:rPr/>
              <w:t xml:space="preserve"> Der Verkäufer errichtet nach Maßgabe der erteilten Baugenehmigung auf dem Grundstück</w:t>
            </w:r>
          </w:p>
        </w:tc>
        <w:tc>
          <w:tcPr>
            <w:tcW w:w="7620" w:type="dxa"/>
            <w:tcBorders/>
            <w:vAlign w:val="center"/>
          </w:tcPr>
          <w:p>
            <w:pPr>
              <w:pStyle w:val="TableContents"/>
              <w:bidi w:val="0"/>
              <w:spacing w:before="0" w:after="283"/>
              <w:rPr/>
            </w:pPr>
            <w:r>
              <w:rPr>
                <w:rStyle w:val="Strong"/>
              </w:rPr>
              <w:t>0.1</w:t>
            </w:r>
            <w:r>
              <w:rPr/>
              <w:t xml:space="preserve"> The Seller builds on the property in accordance with the granted building permit</w:t>
            </w:r>
          </w:p>
        </w:tc>
      </w:tr>
      <w:tr>
        <w:trPr/>
        <w:tc>
          <w:tcPr>
            <w:tcW w:w="7914" w:type="dxa"/>
            <w:tcBorders/>
            <w:vAlign w:val="center"/>
          </w:tcPr>
          <w:p>
            <w:pPr>
              <w:pStyle w:val="BlockQuotation"/>
              <w:pBdr>
                <w:left w:val="single" w:sz="6" w:space="1" w:color="AAAAAA"/>
              </w:pBdr>
              <w:bidi w:val="0"/>
              <w:spacing w:before="0" w:after="283"/>
              <w:ind w:hanging="0" w:start="567" w:end="567"/>
              <w:rPr/>
            </w:pPr>
            <w:r>
              <w:rPr/>
              <w:t>Gemarkung Eilbek, Flur 12, Flurstück 344/9, Gebäude- und Freifläche, „Marewald Höfe”, mit einer grundbuchlichen Größe von insgesamt 6.420 m², nachstehend auch das „Grundstück” genannt,</w:t>
            </w:r>
          </w:p>
        </w:tc>
        <w:tc>
          <w:tcPr>
            <w:tcW w:w="7620" w:type="dxa"/>
            <w:tcBorders/>
            <w:vAlign w:val="center"/>
          </w:tcPr>
          <w:p>
            <w:pPr>
              <w:pStyle w:val="BlockQuotation"/>
              <w:pBdr>
                <w:left w:val="single" w:sz="6" w:space="1" w:color="AAAAAA"/>
              </w:pBdr>
              <w:bidi w:val="0"/>
              <w:spacing w:before="0" w:after="283"/>
              <w:ind w:hanging="0" w:start="567" w:end="567"/>
              <w:rPr/>
            </w:pPr>
            <w:r>
              <w:rPr/>
              <w:t>Eilbek, corridor 12, cadastral parcel 344/9, building and open space, ‘Marewald Höfe’, with a total Land Register size of 6.420 m2, hereinafter also referred to as the ‘land plot’,</w:t>
            </w:r>
          </w:p>
        </w:tc>
      </w:tr>
      <w:tr>
        <w:trPr/>
        <w:tc>
          <w:tcPr>
            <w:tcW w:w="7914" w:type="dxa"/>
            <w:tcBorders/>
            <w:vAlign w:val="center"/>
          </w:tcPr>
          <w:p>
            <w:pPr>
              <w:pStyle w:val="TableContents"/>
              <w:bidi w:val="0"/>
              <w:spacing w:before="0" w:after="283"/>
              <w:rPr/>
            </w:pPr>
            <w:r>
              <w:rPr/>
              <w:t>ein Wohnquartier aus vier Mehrfamilienhäusern (Häuser A bis D) mit insgesamt 61 Wohneinheiten, 3 Teileigentumseinheiten sowie einer Tiefgarage mit 58 Kfz-Stellplätzen nebst Gemeinschaftsflächen (Innenhof, Spielfläche, Wege, Pflanzflächen, Fahrradräume) und hat das Grundstück gemäß § 8 WEG aufgeteilt.</w:t>
            </w:r>
          </w:p>
        </w:tc>
        <w:tc>
          <w:tcPr>
            <w:tcW w:w="7620" w:type="dxa"/>
            <w:tcBorders/>
            <w:vAlign w:val="center"/>
          </w:tcPr>
          <w:p>
            <w:pPr>
              <w:pStyle w:val="TableContents"/>
              <w:bidi w:val="0"/>
              <w:spacing w:before="0" w:after="283"/>
              <w:rPr/>
            </w:pPr>
            <w:r>
              <w:rPr/>
              <w:t>a residential quarter consisting of four multi-family houses (houses A to D) with a total of 61 residential units, 3 partial ownership units and an underground parking garage with 58 car parking spaces together with common areas (circle, play area, paths, planting areas, bicycle rooms) and has divided the property according to § 8 WEG.</w:t>
            </w:r>
          </w:p>
        </w:tc>
      </w:tr>
      <w:tr>
        <w:trPr/>
        <w:tc>
          <w:tcPr>
            <w:tcW w:w="7914" w:type="dxa"/>
            <w:tcBorders/>
            <w:vAlign w:val="center"/>
          </w:tcPr>
          <w:p>
            <w:pPr>
              <w:pStyle w:val="TableContents"/>
              <w:bidi w:val="0"/>
              <w:spacing w:before="0" w:after="283"/>
              <w:rPr/>
            </w:pPr>
            <w:r>
              <w:rPr/>
              <w:t>Geringfügige Änderungen der Planung bleiben vorbehalten, soweit sie durch behördliche Auflagen, statische Erfordernisse oder die Fortschreibung der Ausführungsplanung veranlasst sind, den Vertragsgegenstand des Käufers in Lage, Größe, Zuschnitt, Wert und Nutzbarkeit nicht nachteilig berühren und dem Käufer in Textform mitgeteilt werden. Eine Kaufpreisanpassung ist mit solchen Änderungen nicht verbunden.</w:t>
            </w:r>
          </w:p>
        </w:tc>
        <w:tc>
          <w:tcPr>
            <w:tcW w:w="7620" w:type="dxa"/>
            <w:tcBorders/>
            <w:vAlign w:val="center"/>
          </w:tcPr>
          <w:p>
            <w:pPr>
              <w:pStyle w:val="TableContents"/>
              <w:bidi w:val="0"/>
              <w:spacing w:before="0" w:after="283"/>
              <w:rPr/>
            </w:pPr>
            <w:r>
              <w:rPr/>
              <w:t>Minor changes to the planning remain reserved, insofar as they are caused by official requirements, static requirements or the continuation of the execution planning, do not adversely affect the subject of the contract of the Buyer in the position, size, shape, value and usability and are communicated to the Buyer in text form. A Purchase Price adjustment is not associated with such changes.</w:t>
            </w:r>
          </w:p>
        </w:tc>
      </w:tr>
      <w:tr>
        <w:trPr/>
        <w:tc>
          <w:tcPr>
            <w:tcW w:w="7914" w:type="dxa"/>
            <w:tcBorders/>
            <w:vAlign w:val="center"/>
          </w:tcPr>
          <w:p>
            <w:pPr>
              <w:pStyle w:val="TableContents"/>
              <w:bidi w:val="0"/>
              <w:spacing w:before="0" w:after="283"/>
              <w:rPr/>
            </w:pPr>
            <w:r>
              <w:rPr>
                <w:rStyle w:val="Strong"/>
              </w:rPr>
              <w:t>0.2</w:t>
            </w:r>
            <w:r>
              <w:rPr/>
              <w:t xml:space="preserve"> Umfang und Beschränkungen des Wohnungs- und Teileigentums, die Rechtsbeziehungen der Eigentümer zueinander und die Verwaltung des gemeinschaftlichen Eigentums werden geregelt in der Teilungserklärung einschließlich Gemeinschaftsordnung vom 21. Oktober 2025 zur UR-Nr. 1502/2025 der amtierenden Notarin, in der Fassung des 1. Nachtrags vom 09. Februar 2026 zur UR-Nr. 188/2026 — nachfolgend auch „Teilungserklärung” und/oder „Bezugsurkunde 1” genannt.</w:t>
            </w:r>
          </w:p>
        </w:tc>
        <w:tc>
          <w:tcPr>
            <w:tcW w:w="7620" w:type="dxa"/>
            <w:tcBorders/>
            <w:vAlign w:val="center"/>
          </w:tcPr>
          <w:p>
            <w:pPr>
              <w:pStyle w:val="TableContents"/>
              <w:bidi w:val="0"/>
              <w:spacing w:before="0" w:after="283"/>
              <w:rPr/>
            </w:pPr>
            <w:r>
              <w:rPr>
                <w:rStyle w:val="Strong"/>
              </w:rPr>
              <w:t>0.2</w:t>
            </w:r>
            <w:r>
              <w:rPr/>
              <w:t xml:space="preserve"> The scope and limitations of dwelling and part-ownership, the legal relations of the owners to each other and the management of joint ownership are regulated in the declaration of division, including the Community Regulation of 21 October 2025 on the UR No 1502/2025 of the acting Notary, in the version of the 1st addendum of 9 February 2026 on the UR No 188/2026 — hereinafter also referred to as ‘declaration of division’ and/or ‘declaration of reference 1’.</w:t>
            </w:r>
          </w:p>
        </w:tc>
      </w:tr>
      <w:tr>
        <w:trPr/>
        <w:tc>
          <w:tcPr>
            <w:tcW w:w="7914" w:type="dxa"/>
            <w:tcBorders/>
            <w:vAlign w:val="center"/>
          </w:tcPr>
          <w:p>
            <w:pPr>
              <w:pStyle w:val="TableContents"/>
              <w:bidi w:val="0"/>
              <w:spacing w:before="0" w:after="283"/>
              <w:rPr/>
            </w:pPr>
            <w:r>
              <w:rPr>
                <w:rStyle w:val="Strong"/>
              </w:rPr>
              <w:t>0.3</w:t>
            </w:r>
            <w:r>
              <w:rPr/>
              <w:t xml:space="preserve"> Die Baubeschreibung in der Fassung Mai 2026, Version 3.0 (Anlage Baubeschreibung zu dieser Urkunde) ist Gegenstand der Beurkundung und Bestandteil der vom Verkäufer geschuldeten Leistung. Auf das Verlesen wird nach § 13a BeurkG bzw. durch beigefügte Anlage nicht verzichtet; die Baubeschreibung wurde mitverlesen bzw. als Anlage mitbeurkundet. Visualisierungen, Exposés und die Musterwohnung sind nicht Vertragsbestandteil.</w:t>
            </w:r>
          </w:p>
        </w:tc>
        <w:tc>
          <w:tcPr>
            <w:tcW w:w="7620" w:type="dxa"/>
            <w:tcBorders/>
            <w:vAlign w:val="center"/>
          </w:tcPr>
          <w:p>
            <w:pPr>
              <w:pStyle w:val="TableContents"/>
              <w:bidi w:val="0"/>
              <w:spacing w:before="0" w:after="283"/>
              <w:rPr/>
            </w:pPr>
            <w:r>
              <w:rPr>
                <w:rStyle w:val="Strong"/>
              </w:rPr>
              <w:t>0.3</w:t>
            </w:r>
            <w:r>
              <w:rPr/>
              <w:t xml:space="preserve"> The Building Specification in the version May 2026, version 3.0 (Appendix Building description to this certificate) is the subject of the certification and part of the service owed by the Seller. Reading is not waived in accordance with § 13a BeurkG or by attached annex; the Building Specification was also read or co-certified as a plant. Visualizations, exposés and the model apartment are not part of the contract.</w:t>
            </w:r>
          </w:p>
        </w:tc>
      </w:tr>
      <w:tr>
        <w:trPr/>
        <w:tc>
          <w:tcPr>
            <w:tcW w:w="7914" w:type="dxa"/>
            <w:tcBorders/>
            <w:vAlign w:val="center"/>
          </w:tcPr>
          <w:p>
            <w:pPr>
              <w:pStyle w:val="TableContents"/>
              <w:bidi w:val="0"/>
              <w:spacing w:before="0" w:after="283"/>
              <w:rPr/>
            </w:pPr>
            <w:r>
              <w:rPr>
                <w:rStyle w:val="Strong"/>
              </w:rPr>
              <w:t>0.4</w:t>
            </w:r>
            <w:r>
              <w:rPr/>
              <w:t xml:space="preserve"> Die Abgeschlossenheitsbescheinigung liegt vor. Die Baugenehmigung für die Häuser A bis D vom 14. April 2026 (Az. HH-Wb-2026/0471) liegt vor und wurde der Notarin nachgewiesen.</w:t>
            </w:r>
          </w:p>
        </w:tc>
        <w:tc>
          <w:tcPr>
            <w:tcW w:w="7620" w:type="dxa"/>
            <w:tcBorders/>
            <w:vAlign w:val="center"/>
          </w:tcPr>
          <w:p>
            <w:pPr>
              <w:pStyle w:val="TableContents"/>
              <w:bidi w:val="0"/>
              <w:spacing w:before="0" w:after="283"/>
              <w:rPr/>
            </w:pPr>
            <w:r>
              <w:rPr>
                <w:rStyle w:val="Strong"/>
              </w:rPr>
              <w:t>0.4</w:t>
            </w:r>
            <w:r>
              <w:rPr/>
              <w:t xml:space="preserve"> The certificate of completion is available. The building permit for houses A to D from 14 April 2026 (Az. HH-Wb-2026/0471) is available and has been proven to the Notary.</w:t>
            </w:r>
          </w:p>
        </w:tc>
      </w:tr>
      <w:tr>
        <w:trPr/>
        <w:tc>
          <w:tcPr>
            <w:tcW w:w="7914" w:type="dxa"/>
            <w:tcBorders/>
            <w:vAlign w:val="center"/>
          </w:tcPr>
          <w:p>
            <w:pPr>
              <w:pStyle w:val="TableContents"/>
              <w:bidi w:val="0"/>
              <w:spacing w:before="0" w:after="283"/>
              <w:rPr/>
            </w:pPr>
            <w:r>
              <w:rPr>
                <w:rStyle w:val="Strong"/>
              </w:rPr>
              <w:t>0.5</w:t>
            </w:r>
            <w:r>
              <w:rPr/>
              <w:t xml:space="preserve"> Gegenstand dieses Vertrages sind der in § 1 beschriebene Kaufgegenstand sowie die in § 5 und der Anlage Baubeschreibung beschriebene Herstellungsverpflichtung.</w:t>
            </w:r>
          </w:p>
        </w:tc>
        <w:tc>
          <w:tcPr>
            <w:tcW w:w="7620" w:type="dxa"/>
            <w:tcBorders/>
            <w:vAlign w:val="center"/>
          </w:tcPr>
          <w:p>
            <w:pPr>
              <w:pStyle w:val="TableContents"/>
              <w:bidi w:val="0"/>
              <w:spacing w:before="0" w:after="283"/>
              <w:rPr/>
            </w:pPr>
            <w:r>
              <w:rPr>
                <w:rStyle w:val="Strong"/>
              </w:rPr>
              <w:t>0.5</w:t>
            </w:r>
            <w:r>
              <w:rPr/>
              <w:t xml:space="preserve"> The subject matter of this contract is the Purchased Property described in § 1 as well as the production obligation described in § 5 and the annex Building Specification.</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Heading1"/>
              <w:bidi w:val="0"/>
              <w:spacing w:before="240" w:after="283"/>
              <w:ind w:hanging="0" w:start="0" w:end="0"/>
              <w:rPr/>
            </w:pPr>
            <w:bookmarkStart w:id="12" w:name="kaufgegenstand"/>
            <w:bookmarkEnd w:id="12"/>
            <w:r>
              <w:rPr/>
              <w:t>§ 1 Kaufgegenstand</w:t>
            </w:r>
          </w:p>
        </w:tc>
        <w:tc>
          <w:tcPr>
            <w:tcW w:w="7620" w:type="dxa"/>
            <w:tcBorders/>
            <w:vAlign w:val="center"/>
          </w:tcPr>
          <w:p>
            <w:pPr>
              <w:pStyle w:val="Heading1"/>
              <w:bidi w:val="0"/>
              <w:spacing w:before="240" w:after="283"/>
              <w:ind w:hanging="0" w:start="0" w:end="0"/>
              <w:rPr/>
            </w:pPr>
            <w:bookmarkStart w:id="13" w:name="purchased-object"/>
            <w:bookmarkEnd w:id="13"/>
            <w:r>
              <w:rPr/>
              <w:t>§ 1 Purchased object</w:t>
            </w:r>
          </w:p>
        </w:tc>
      </w:tr>
      <w:tr>
        <w:trPr/>
        <w:tc>
          <w:tcPr>
            <w:tcW w:w="7914" w:type="dxa"/>
            <w:tcBorders/>
            <w:vAlign w:val="center"/>
          </w:tcPr>
          <w:p>
            <w:pPr>
              <w:pStyle w:val="TableContents"/>
              <w:bidi w:val="0"/>
              <w:spacing w:before="0" w:after="283"/>
              <w:rPr/>
            </w:pPr>
            <w:r>
              <w:rPr>
                <w:rStyle w:val="Strong"/>
              </w:rPr>
              <w:t>1.1</w:t>
            </w:r>
            <w:r>
              <w:rPr/>
              <w:t xml:space="preserve"> Der Verkäufer ist eingetragener Alleineigentümer des folgenden, im Wohnungsgrundbuch des Amtsgerichts Hamburg von Eilbek, Blatt 9 318, eingetragenen Wohnungseigentums:</w:t>
            </w:r>
          </w:p>
        </w:tc>
        <w:tc>
          <w:tcPr>
            <w:tcW w:w="7620" w:type="dxa"/>
            <w:tcBorders/>
            <w:vAlign w:val="center"/>
          </w:tcPr>
          <w:p>
            <w:pPr>
              <w:pStyle w:val="TableContents"/>
              <w:bidi w:val="0"/>
              <w:spacing w:before="0" w:after="283"/>
              <w:rPr/>
            </w:pPr>
            <w:r>
              <w:rPr>
                <w:rStyle w:val="Strong"/>
              </w:rPr>
              <w:t>1.1</w:t>
            </w:r>
            <w:r>
              <w:rPr/>
              <w:t xml:space="preserve"> The Seller is the registered sole owner of the following residential property, registered in the housing register of the Hamburg District Court of Eilbek, sheet 9 318:</w:t>
            </w:r>
          </w:p>
        </w:tc>
      </w:tr>
      <w:tr>
        <w:trPr/>
        <w:tc>
          <w:tcPr>
            <w:tcW w:w="7914" w:type="dxa"/>
            <w:tcBorders/>
            <w:vAlign w:val="center"/>
          </w:tcPr>
          <w:p>
            <w:pPr>
              <w:pStyle w:val="BlockQuotation"/>
              <w:pBdr>
                <w:left w:val="single" w:sz="6" w:space="1" w:color="AAAAAA"/>
              </w:pBdr>
              <w:bidi w:val="0"/>
              <w:spacing w:before="0" w:after="283"/>
              <w:ind w:hanging="0" w:start="567" w:end="567"/>
              <w:rPr/>
            </w:pPr>
            <w:r>
              <w:rPr/>
              <w:t>Miteigentumsanteil von 312/100 000 an dem Grundstück Gemarkung Eilbek, Flur 12, Flurstück 344/9, verbunden mit dem Sondereigentum an der im Aufteilungsplan mit der Nummer C-2.14 bezeichneten Wohnung im 2. Obergeschoss des Hauses C nebst Kellerabteil Nr. K-C14 und Sondernutzungsrecht an dem Balkon B-C14 sowie dem Tiefgaragenstellplatz Nr. TG-58.</w:t>
            </w:r>
          </w:p>
        </w:tc>
        <w:tc>
          <w:tcPr>
            <w:tcW w:w="7620" w:type="dxa"/>
            <w:tcBorders/>
            <w:vAlign w:val="center"/>
          </w:tcPr>
          <w:p>
            <w:pPr>
              <w:pStyle w:val="BlockQuotation"/>
              <w:pBdr>
                <w:left w:val="single" w:sz="6" w:space="1" w:color="AAAAAA"/>
              </w:pBdr>
              <w:bidi w:val="0"/>
              <w:spacing w:before="0" w:after="283"/>
              <w:ind w:hanging="0" w:start="567" w:end="567"/>
              <w:rPr/>
            </w:pPr>
            <w:r>
              <w:rPr/>
              <w:t>Co-ownership share of 312/100 000 in the land marking Eilbek, corridor 12, parcel 344/9, linked to the special ownership of the apartment in the 2nd floor designated in the partition plan with the number C-2.14. Upper floor of House C together with cellar compartment No. K-C14 and special use right on the balcony B-C14 and the underground parking space No. TG-58.</w:t>
            </w:r>
          </w:p>
        </w:tc>
      </w:tr>
      <w:tr>
        <w:trPr/>
        <w:tc>
          <w:tcPr>
            <w:tcW w:w="7914" w:type="dxa"/>
            <w:tcBorders/>
            <w:vAlign w:val="center"/>
          </w:tcPr>
          <w:p>
            <w:pPr>
              <w:pStyle w:val="TableContents"/>
              <w:bidi w:val="0"/>
              <w:spacing w:before="0" w:after="283"/>
              <w:rPr/>
            </w:pPr>
            <w:r>
              <w:rPr>
                <w:rStyle w:val="Strong"/>
              </w:rPr>
              <w:t>1.2</w:t>
            </w:r>
            <w:r>
              <w:rPr/>
              <w:t xml:space="preserve"> Die Sondereigentumseinheit nebst Sondernutzungsrecht am Stellplatz TG-58 und den unter § 5 beschriebenen Bauleistungen wird nachfolgend „Kaufgegenstand” genannt.</w:t>
            </w:r>
          </w:p>
        </w:tc>
        <w:tc>
          <w:tcPr>
            <w:tcW w:w="7620" w:type="dxa"/>
            <w:tcBorders/>
            <w:vAlign w:val="center"/>
          </w:tcPr>
          <w:p>
            <w:pPr>
              <w:pStyle w:val="TableContents"/>
              <w:bidi w:val="0"/>
              <w:spacing w:before="0" w:after="283"/>
              <w:rPr/>
            </w:pPr>
            <w:r>
              <w:rPr>
                <w:rStyle w:val="Strong"/>
              </w:rPr>
              <w:t>1.2</w:t>
            </w:r>
            <w:r>
              <w:rPr/>
              <w:t xml:space="preserve"> The special ownership unit together with the special usage right at the parking space TG-58 and the construction services described under § 5 are referred to below as the “purchase object”.</w:t>
            </w:r>
          </w:p>
        </w:tc>
      </w:tr>
      <w:tr>
        <w:trPr/>
        <w:tc>
          <w:tcPr>
            <w:tcW w:w="7914" w:type="dxa"/>
            <w:tcBorders/>
            <w:vAlign w:val="center"/>
          </w:tcPr>
          <w:p>
            <w:pPr>
              <w:pStyle w:val="TableContents"/>
              <w:bidi w:val="0"/>
              <w:spacing w:before="0" w:after="283"/>
              <w:rPr/>
            </w:pPr>
            <w:r>
              <w:rPr>
                <w:rStyle w:val="Strong"/>
              </w:rPr>
              <w:t>1.3</w:t>
            </w:r>
            <w:r>
              <w:rPr/>
              <w:t xml:space="preserve"> Die Notarin hat das Grundbuch gemäß § 1.1 am heutigen Tage elektronisch eingesehen.</w:t>
            </w:r>
          </w:p>
        </w:tc>
        <w:tc>
          <w:tcPr>
            <w:tcW w:w="7620" w:type="dxa"/>
            <w:tcBorders/>
            <w:vAlign w:val="center"/>
          </w:tcPr>
          <w:p>
            <w:pPr>
              <w:pStyle w:val="TableContents"/>
              <w:bidi w:val="0"/>
              <w:spacing w:before="0" w:after="283"/>
              <w:rPr/>
            </w:pPr>
            <w:r>
              <w:rPr>
                <w:rStyle w:val="Strong"/>
              </w:rPr>
              <w:t>1.3</w:t>
            </w:r>
            <w:r>
              <w:rPr/>
              <w:t xml:space="preserve"> The Notary has viewed the Land Register according to § 1.1 electronically today.</w:t>
            </w:r>
          </w:p>
        </w:tc>
      </w:tr>
      <w:tr>
        <w:trPr/>
        <w:tc>
          <w:tcPr>
            <w:tcW w:w="7914" w:type="dxa"/>
            <w:tcBorders/>
            <w:vAlign w:val="center"/>
          </w:tcPr>
          <w:p>
            <w:pPr>
              <w:pStyle w:val="TableContents"/>
              <w:bidi w:val="0"/>
              <w:spacing w:before="0" w:after="283"/>
              <w:rPr/>
            </w:pPr>
            <w:r>
              <w:rPr/>
              <w:t>In Abteilung II sind beschränkte persönliche Dienstbarkeiten zugunsten der Versorgungs- und Netzbetreiber sowie der Freien und Hansestadt Hamburg eingetragen; diese werden vom Käufer übernommen.</w:t>
            </w:r>
          </w:p>
        </w:tc>
        <w:tc>
          <w:tcPr>
            <w:tcW w:w="7620" w:type="dxa"/>
            <w:tcBorders/>
            <w:vAlign w:val="center"/>
          </w:tcPr>
          <w:p>
            <w:pPr>
              <w:pStyle w:val="TableContents"/>
              <w:bidi w:val="0"/>
              <w:spacing w:before="0" w:after="283"/>
              <w:rPr/>
            </w:pPr>
            <w:r>
              <w:rPr/>
              <w:t>Section II lists limited personal easements for the benefit of supply and network operators and the Free and Hanseatic City of Hamburg; These are taken over by the Buyer.</w:t>
            </w:r>
          </w:p>
        </w:tc>
      </w:tr>
      <w:tr>
        <w:trPr/>
        <w:tc>
          <w:tcPr>
            <w:tcW w:w="7914" w:type="dxa"/>
            <w:tcBorders/>
            <w:vAlign w:val="center"/>
          </w:tcPr>
          <w:p>
            <w:pPr>
              <w:pStyle w:val="TableContents"/>
              <w:bidi w:val="0"/>
              <w:spacing w:before="0" w:after="283"/>
              <w:rPr/>
            </w:pPr>
            <w:r>
              <w:rPr/>
              <w:t>In Abteilung III ist eine Gesamtgrundschuld zugunsten der Norddeutsche Grundkreditbank AG eingetragen. Der Verkäufer wird die lastenfreie Übertragung des Kaufgegenstandes nach Maßgabe von § 3 und § 10 sicherstellen.</w:t>
            </w:r>
          </w:p>
        </w:tc>
        <w:tc>
          <w:tcPr>
            <w:tcW w:w="7620" w:type="dxa"/>
            <w:tcBorders/>
            <w:vAlign w:val="center"/>
          </w:tcPr>
          <w:p>
            <w:pPr>
              <w:pStyle w:val="TableContents"/>
              <w:bidi w:val="0"/>
              <w:spacing w:before="0" w:after="283"/>
              <w:rPr/>
            </w:pPr>
            <w:r>
              <w:rPr/>
              <w:t>Division III lists a total mortgage in favour of Norddeutsche Grundkreditbank AG. The Seller shall ensure the load-free transfer of the Purchased Property in accordance with § 3 and § 10.</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Heading1"/>
              <w:bidi w:val="0"/>
              <w:spacing w:before="240" w:after="283"/>
              <w:ind w:hanging="0" w:start="0" w:end="0"/>
              <w:rPr/>
            </w:pPr>
            <w:bookmarkStart w:id="14" w:name="kaufpreis"/>
            <w:bookmarkEnd w:id="14"/>
            <w:r>
              <w:rPr/>
              <w:t>§ 2 Kaufpreis</w:t>
            </w:r>
          </w:p>
        </w:tc>
        <w:tc>
          <w:tcPr>
            <w:tcW w:w="7620" w:type="dxa"/>
            <w:tcBorders/>
            <w:vAlign w:val="center"/>
          </w:tcPr>
          <w:p>
            <w:pPr>
              <w:pStyle w:val="Heading1"/>
              <w:bidi w:val="0"/>
              <w:spacing w:before="240" w:after="283"/>
              <w:ind w:hanging="0" w:start="0" w:end="0"/>
              <w:rPr/>
            </w:pPr>
            <w:bookmarkStart w:id="15" w:name="purchase-price"/>
            <w:bookmarkEnd w:id="15"/>
            <w:r>
              <w:rPr/>
              <w:t>§ 2 Purchase price</w:t>
            </w:r>
          </w:p>
        </w:tc>
      </w:tr>
      <w:tr>
        <w:trPr/>
        <w:tc>
          <w:tcPr>
            <w:tcW w:w="7914" w:type="dxa"/>
            <w:tcBorders/>
            <w:vAlign w:val="center"/>
          </w:tcPr>
          <w:p>
            <w:pPr>
              <w:pStyle w:val="TableContents"/>
              <w:bidi w:val="0"/>
              <w:spacing w:before="0" w:after="283"/>
              <w:rPr/>
            </w:pPr>
            <w:r>
              <w:rPr>
                <w:rStyle w:val="Strong"/>
              </w:rPr>
              <w:t>2.1</w:t>
            </w:r>
            <w:r>
              <w:rPr/>
              <w:t xml:space="preserve"> Der Kaufpreis für den Kaufgegenstand beträgt insgesamt</w:t>
            </w:r>
          </w:p>
        </w:tc>
        <w:tc>
          <w:tcPr>
            <w:tcW w:w="7620" w:type="dxa"/>
            <w:tcBorders/>
            <w:vAlign w:val="center"/>
          </w:tcPr>
          <w:p>
            <w:pPr>
              <w:pStyle w:val="TableContents"/>
              <w:bidi w:val="0"/>
              <w:spacing w:before="0" w:after="283"/>
              <w:rPr/>
            </w:pPr>
            <w:r>
              <w:rPr>
                <w:rStyle w:val="Strong"/>
              </w:rPr>
              <w:t>2.1</w:t>
            </w:r>
            <w:r>
              <w:rPr/>
              <w:t xml:space="preserve"> The Purchase Price for the purchased object is total</w:t>
            </w:r>
          </w:p>
        </w:tc>
      </w:tr>
      <w:tr>
        <w:trPr/>
        <w:tc>
          <w:tcPr>
            <w:tcW w:w="7914" w:type="dxa"/>
            <w:tcBorders/>
            <w:vAlign w:val="center"/>
          </w:tcPr>
          <w:p>
            <w:pPr>
              <w:pStyle w:val="BlockQuotation"/>
              <w:pBdr>
                <w:left w:val="single" w:sz="6" w:space="1" w:color="AAAAAA"/>
              </w:pBdr>
              <w:bidi w:val="0"/>
              <w:spacing w:before="0" w:after="283"/>
              <w:ind w:hanging="0" w:start="567" w:end="567"/>
              <w:rPr/>
            </w:pPr>
            <w:r>
              <w:rPr>
                <w:rStyle w:val="Strong"/>
              </w:rPr>
              <w:t>642.000,00 EUR</w:t>
            </w:r>
          </w:p>
        </w:tc>
        <w:tc>
          <w:tcPr>
            <w:tcW w:w="7620" w:type="dxa"/>
            <w:tcBorders/>
            <w:vAlign w:val="center"/>
          </w:tcPr>
          <w:p>
            <w:pPr>
              <w:pStyle w:val="BlockQuotation"/>
              <w:pBdr>
                <w:left w:val="single" w:sz="6" w:space="1" w:color="AAAAAA"/>
              </w:pBdr>
              <w:bidi w:val="0"/>
              <w:spacing w:before="0" w:after="283"/>
              <w:ind w:hanging="0" w:start="567" w:end="567"/>
              <w:rPr/>
            </w:pPr>
            <w:r>
              <w:rPr/>
              <w:t>642.000,00 EUR</w:t>
            </w:r>
          </w:p>
        </w:tc>
      </w:tr>
      <w:tr>
        <w:trPr/>
        <w:tc>
          <w:tcPr>
            <w:tcW w:w="7914" w:type="dxa"/>
            <w:tcBorders/>
            <w:vAlign w:val="center"/>
          </w:tcPr>
          <w:p>
            <w:pPr>
              <w:pStyle w:val="TableContents"/>
              <w:bidi w:val="0"/>
              <w:spacing w:before="0" w:after="283"/>
              <w:rPr/>
            </w:pPr>
            <w:r>
              <w:rPr/>
              <w:t xml:space="preserve">zzgl. eines Aufpreises für den Tiefgaragenstellplatz TG-58 von 32.000,00 EUR. Der Gesamtkaufpreis beträgt damit </w:t>
            </w:r>
            <w:r>
              <w:rPr>
                <w:rStyle w:val="Strong"/>
              </w:rPr>
              <w:t>674.000,00 EUR</w:t>
            </w:r>
            <w:r>
              <w:rPr/>
              <w:t>.</w:t>
            </w:r>
          </w:p>
        </w:tc>
        <w:tc>
          <w:tcPr>
            <w:tcW w:w="7620" w:type="dxa"/>
            <w:tcBorders/>
            <w:vAlign w:val="center"/>
          </w:tcPr>
          <w:p>
            <w:pPr>
              <w:pStyle w:val="TableContents"/>
              <w:bidi w:val="0"/>
              <w:spacing w:before="0" w:after="283"/>
              <w:rPr/>
            </w:pPr>
            <w:r>
              <w:rPr/>
              <w:t>plus a surcharge for the underground parking space TG-58 of 32,000.00 EUR. The total Purchase Price is thus 674,000.00 EUR.</w:t>
            </w:r>
          </w:p>
        </w:tc>
      </w:tr>
      <w:tr>
        <w:trPr/>
        <w:tc>
          <w:tcPr>
            <w:tcW w:w="7914" w:type="dxa"/>
            <w:tcBorders/>
            <w:vAlign w:val="center"/>
          </w:tcPr>
          <w:p>
            <w:pPr>
              <w:pStyle w:val="TableContents"/>
              <w:bidi w:val="0"/>
              <w:spacing w:before="0" w:after="283"/>
              <w:rPr/>
            </w:pPr>
            <w:r>
              <w:rPr>
                <w:rStyle w:val="Strong"/>
              </w:rPr>
              <w:t>2.2</w:t>
            </w:r>
            <w:r>
              <w:rPr/>
              <w:t xml:space="preserve"> Der Kaufpreis ist ein Festpreis und umfasst die vollständige Herstellung des Kaufgegenstandes in der Ausstattungslinie „Marewald Komfort C” nach § 5 und der Anlage Baubeschreibung. Er ist nicht an Baukostenindizes oder Materialpreise gekoppelt; eine Preisanpassung findet nur nach Maßgabe des § 5.7 statt.</w:t>
            </w:r>
          </w:p>
        </w:tc>
        <w:tc>
          <w:tcPr>
            <w:tcW w:w="7620" w:type="dxa"/>
            <w:tcBorders/>
            <w:vAlign w:val="center"/>
          </w:tcPr>
          <w:p>
            <w:pPr>
              <w:pStyle w:val="TableContents"/>
              <w:bidi w:val="0"/>
              <w:spacing w:before="0" w:after="283"/>
              <w:rPr/>
            </w:pPr>
            <w:r>
              <w:rPr>
                <w:rStyle w:val="Strong"/>
              </w:rPr>
              <w:t>2.2</w:t>
            </w:r>
            <w:r>
              <w:rPr/>
              <w:t xml:space="preserve"> The Purchase Price is a fixed price and includes the complete production of the purchased object in the equipment line “Marewald Comfort C” according to § 5 and the construction description. it is not linked to construction cost indices or material prices; a price adjustment takes place only in accordance with § 5.7.</w:t>
            </w:r>
          </w:p>
        </w:tc>
      </w:tr>
      <w:tr>
        <w:trPr/>
        <w:tc>
          <w:tcPr>
            <w:tcW w:w="7914" w:type="dxa"/>
            <w:tcBorders/>
            <w:vAlign w:val="center"/>
          </w:tcPr>
          <w:p>
            <w:pPr>
              <w:pStyle w:val="TableContents"/>
              <w:bidi w:val="0"/>
              <w:spacing w:before="0" w:after="283"/>
              <w:rPr/>
            </w:pPr>
            <w:r>
              <w:rPr>
                <w:rStyle w:val="Strong"/>
              </w:rPr>
              <w:t>2.3</w:t>
            </w:r>
            <w:r>
              <w:rPr/>
              <w:t xml:space="preserve"> Nicht im Kaufpreis enthalten sind die bei Notar, Grundbuchamt und Behörden anfallenden Gebühren, die Grunderwerbsteuer, die Kosten der Finanzierung des Käufers sowie Kosten gesondert beauftragter Sonderwünsche (§ 3.5).</w:t>
            </w:r>
          </w:p>
        </w:tc>
        <w:tc>
          <w:tcPr>
            <w:tcW w:w="7620" w:type="dxa"/>
            <w:tcBorders/>
            <w:vAlign w:val="center"/>
          </w:tcPr>
          <w:p>
            <w:pPr>
              <w:pStyle w:val="TableContents"/>
              <w:bidi w:val="0"/>
              <w:spacing w:before="0" w:after="283"/>
              <w:rPr/>
            </w:pPr>
            <w:r>
              <w:rPr>
                <w:rStyle w:val="Strong"/>
              </w:rPr>
              <w:t>2.3</w:t>
            </w:r>
            <w:r>
              <w:rPr/>
              <w:t xml:space="preserve"> The Purchase Price does not include the fees incurred by the Notary, land registry and authorities, the real estate transfer tax, the costs of financing the Buyer as well as costs of special requests commissioned separately (§ 3.5).</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Heading1"/>
              <w:bidi w:val="0"/>
              <w:spacing w:before="240" w:after="283"/>
              <w:ind w:hanging="0" w:start="0" w:end="0"/>
              <w:rPr/>
            </w:pPr>
            <w:bookmarkStart w:id="16" w:name="kaufpreiszahlung-fälligkeit-sicherheiten"/>
            <w:bookmarkEnd w:id="16"/>
            <w:r>
              <w:rPr/>
              <w:t>§ 3 Kaufpreiszahlung, Fälligkeit, Sicherheiten</w:t>
            </w:r>
          </w:p>
        </w:tc>
        <w:tc>
          <w:tcPr>
            <w:tcW w:w="7620" w:type="dxa"/>
            <w:tcBorders/>
            <w:vAlign w:val="center"/>
          </w:tcPr>
          <w:p>
            <w:pPr>
              <w:pStyle w:val="Heading1"/>
              <w:bidi w:val="0"/>
              <w:spacing w:before="240" w:after="283"/>
              <w:ind w:hanging="0" w:start="0" w:end="0"/>
              <w:rPr/>
            </w:pPr>
            <w:bookmarkStart w:id="17" w:name="purchase-price-payment-maturity-collater"/>
            <w:bookmarkEnd w:id="17"/>
            <w:r>
              <w:rPr/>
              <w:t>§ 3 Purchase price payment, maturity, collateral</w:t>
            </w:r>
          </w:p>
        </w:tc>
      </w:tr>
      <w:tr>
        <w:trPr/>
        <w:tc>
          <w:tcPr>
            <w:tcW w:w="7914" w:type="dxa"/>
            <w:tcBorders/>
            <w:vAlign w:val="center"/>
          </w:tcPr>
          <w:p>
            <w:pPr>
              <w:pStyle w:val="TableContents"/>
              <w:bidi w:val="0"/>
              <w:spacing w:before="0" w:after="283"/>
              <w:rPr/>
            </w:pPr>
            <w:r>
              <w:rPr>
                <w:rStyle w:val="Strong"/>
              </w:rPr>
              <w:t>3.1</w:t>
            </w:r>
            <w:r>
              <w:rPr/>
              <w:t xml:space="preserve"> Die Kaufpreiszahlungen sind frühestens fällig, wenn die Notarin den Parteien schriftlich mitgeteilt hat, dass</w:t>
            </w:r>
          </w:p>
        </w:tc>
        <w:tc>
          <w:tcPr>
            <w:tcW w:w="7620" w:type="dxa"/>
            <w:tcBorders/>
            <w:vAlign w:val="center"/>
          </w:tcPr>
          <w:p>
            <w:pPr>
              <w:pStyle w:val="TableContents"/>
              <w:bidi w:val="0"/>
              <w:spacing w:before="0" w:after="283"/>
              <w:rPr/>
            </w:pPr>
            <w:r>
              <w:rPr>
                <w:rStyle w:val="Strong"/>
              </w:rPr>
              <w:t>3.1</w:t>
            </w:r>
            <w:r>
              <w:rPr/>
              <w:t xml:space="preserve"> The Purchase Price payments are due at the earliest if the Notary has informed the parties in writing that</w:t>
            </w:r>
          </w:p>
        </w:tc>
      </w:tr>
      <w:tr>
        <w:trPr/>
        <w:tc>
          <w:tcPr>
            <w:tcW w:w="7914" w:type="dxa"/>
            <w:tcBorders/>
            <w:vAlign w:val="center"/>
          </w:tcPr>
          <w:p>
            <w:pPr>
              <w:pStyle w:val="TableContents"/>
              <w:numPr>
                <w:ilvl w:val="0"/>
                <w:numId w:val="2"/>
              </w:numPr>
              <w:tabs>
                <w:tab w:val="clear" w:pos="1134"/>
                <w:tab w:val="left" w:pos="709" w:leader="none"/>
              </w:tabs>
              <w:bidi w:val="0"/>
              <w:spacing w:before="0" w:after="283"/>
              <w:ind w:hanging="283" w:start="709"/>
              <w:rPr/>
            </w:pPr>
            <w:r>
              <w:rPr/>
              <w:t xml:space="preserve">der Vertrag rechtswirksam zustande gekommen ist und keine vertraglichen Rücktrittsrechte des Verkäufers mehr bestehen, </w:t>
            </w:r>
          </w:p>
        </w:tc>
        <w:tc>
          <w:tcPr>
            <w:tcW w:w="7620" w:type="dxa"/>
            <w:tcBorders/>
            <w:vAlign w:val="center"/>
          </w:tcPr>
          <w:p>
            <w:pPr>
              <w:pStyle w:val="TableContents"/>
              <w:numPr>
                <w:ilvl w:val="0"/>
                <w:numId w:val="3"/>
              </w:numPr>
              <w:tabs>
                <w:tab w:val="clear" w:pos="1134"/>
                <w:tab w:val="left" w:pos="709" w:leader="none"/>
              </w:tabs>
              <w:bidi w:val="0"/>
              <w:spacing w:before="0" w:after="283"/>
              <w:ind w:hanging="283" w:start="709"/>
              <w:rPr/>
            </w:pPr>
            <w:r>
              <w:rPr/>
              <w:t xml:space="preserve">the contract has been legally validly concluded and there are no longer any contractual rights of withdrawal of the Seller, </w:t>
            </w:r>
          </w:p>
        </w:tc>
      </w:tr>
      <w:tr>
        <w:trPr/>
        <w:tc>
          <w:tcPr>
            <w:tcW w:w="7914" w:type="dxa"/>
            <w:tcBorders/>
            <w:vAlign w:val="center"/>
          </w:tcPr>
          <w:p>
            <w:pPr>
              <w:pStyle w:val="TableContents"/>
              <w:numPr>
                <w:ilvl w:val="0"/>
                <w:numId w:val="4"/>
              </w:numPr>
              <w:tabs>
                <w:tab w:val="clear" w:pos="1134"/>
                <w:tab w:val="left" w:pos="709" w:leader="none"/>
              </w:tabs>
              <w:bidi w:val="0"/>
              <w:spacing w:before="0" w:after="283"/>
              <w:ind w:hanging="283" w:start="709"/>
              <w:rPr/>
            </w:pPr>
            <w:r>
              <w:rPr/>
              <w:t xml:space="preserve">die Auflassungsvormerkung zugunsten des Käufers an vereinbarter Rangstelle im Grundbuch eingetragen ist, </w:t>
            </w:r>
          </w:p>
        </w:tc>
        <w:tc>
          <w:tcPr>
            <w:tcW w:w="7620" w:type="dxa"/>
            <w:tcBorders/>
            <w:vAlign w:val="center"/>
          </w:tcPr>
          <w:p>
            <w:pPr>
              <w:pStyle w:val="TableContents"/>
              <w:numPr>
                <w:ilvl w:val="0"/>
                <w:numId w:val="5"/>
              </w:numPr>
              <w:tabs>
                <w:tab w:val="clear" w:pos="1134"/>
                <w:tab w:val="left" w:pos="709" w:leader="none"/>
              </w:tabs>
              <w:bidi w:val="0"/>
              <w:spacing w:before="0" w:after="283"/>
              <w:ind w:hanging="283" w:start="709"/>
              <w:rPr/>
            </w:pPr>
            <w:r>
              <w:rPr/>
              <w:t xml:space="preserve">the priority notice of conveyance is entered in the Land Register in favour of the Buyer at an agreed ranking point, </w:t>
            </w:r>
          </w:p>
        </w:tc>
      </w:tr>
      <w:tr>
        <w:trPr/>
        <w:tc>
          <w:tcPr>
            <w:tcW w:w="7914" w:type="dxa"/>
            <w:tcBorders/>
            <w:vAlign w:val="center"/>
          </w:tcPr>
          <w:p>
            <w:pPr>
              <w:pStyle w:val="TableContents"/>
              <w:numPr>
                <w:ilvl w:val="0"/>
                <w:numId w:val="6"/>
              </w:numPr>
              <w:tabs>
                <w:tab w:val="clear" w:pos="1134"/>
                <w:tab w:val="left" w:pos="709" w:leader="none"/>
              </w:tabs>
              <w:bidi w:val="0"/>
              <w:spacing w:before="0" w:after="283"/>
              <w:ind w:hanging="283" w:start="709"/>
              <w:rPr/>
            </w:pPr>
            <w:r>
              <w:rPr/>
              <w:t xml:space="preserve">die Freistellungserklärung der Norddeutsche Grundkreditbank AG nach § 3 MaBV — auch für den Fall der nicht vollendeten Bauausführung — vorliegt, und </w:t>
            </w:r>
          </w:p>
        </w:tc>
        <w:tc>
          <w:tcPr>
            <w:tcW w:w="7620" w:type="dxa"/>
            <w:tcBorders/>
            <w:vAlign w:val="center"/>
          </w:tcPr>
          <w:p>
            <w:pPr>
              <w:pStyle w:val="TableContents"/>
              <w:numPr>
                <w:ilvl w:val="0"/>
                <w:numId w:val="7"/>
              </w:numPr>
              <w:tabs>
                <w:tab w:val="clear" w:pos="1134"/>
                <w:tab w:val="left" w:pos="709" w:leader="none"/>
              </w:tabs>
              <w:bidi w:val="0"/>
              <w:spacing w:before="0" w:after="283"/>
              <w:ind w:hanging="283" w:start="709"/>
              <w:rPr/>
            </w:pPr>
            <w:r>
              <w:rPr/>
              <w:t xml:space="preserve">the declaration of exemption of Norddeutsche Grundkreditbank AG pursuant to § 3 MaBV — also in the case of unfinished construction — is present, and </w:t>
            </w:r>
          </w:p>
        </w:tc>
      </w:tr>
      <w:tr>
        <w:trPr/>
        <w:tc>
          <w:tcPr>
            <w:tcW w:w="7914" w:type="dxa"/>
            <w:tcBorders/>
            <w:vAlign w:val="center"/>
          </w:tcPr>
          <w:p>
            <w:pPr>
              <w:pStyle w:val="TableContents"/>
              <w:numPr>
                <w:ilvl w:val="0"/>
                <w:numId w:val="8"/>
              </w:numPr>
              <w:tabs>
                <w:tab w:val="clear" w:pos="1134"/>
                <w:tab w:val="left" w:pos="709" w:leader="none"/>
              </w:tabs>
              <w:bidi w:val="0"/>
              <w:spacing w:before="0" w:after="283"/>
              <w:ind w:hanging="283" w:start="709"/>
              <w:rPr/>
            </w:pPr>
            <w:r>
              <w:rPr/>
              <w:t xml:space="preserve">die Baugenehmigung für Haus C vorliegt. </w:t>
            </w:r>
          </w:p>
        </w:tc>
        <w:tc>
          <w:tcPr>
            <w:tcW w:w="7620" w:type="dxa"/>
            <w:tcBorders/>
            <w:vAlign w:val="center"/>
          </w:tcPr>
          <w:p>
            <w:pPr>
              <w:pStyle w:val="TableContents"/>
              <w:numPr>
                <w:ilvl w:val="0"/>
                <w:numId w:val="9"/>
              </w:numPr>
              <w:tabs>
                <w:tab w:val="clear" w:pos="1134"/>
                <w:tab w:val="left" w:pos="709" w:leader="none"/>
              </w:tabs>
              <w:bidi w:val="0"/>
              <w:spacing w:before="0" w:after="283"/>
              <w:ind w:hanging="283" w:start="709"/>
              <w:rPr/>
            </w:pPr>
            <w:r>
              <w:rPr/>
              <w:t xml:space="preserve">the building permit for house C is available. </w:t>
            </w:r>
          </w:p>
        </w:tc>
      </w:tr>
      <w:tr>
        <w:trPr/>
        <w:tc>
          <w:tcPr>
            <w:tcW w:w="7914" w:type="dxa"/>
            <w:tcBorders/>
            <w:vAlign w:val="center"/>
          </w:tcPr>
          <w:p>
            <w:pPr>
              <w:pStyle w:val="TableContents"/>
              <w:bidi w:val="0"/>
              <w:spacing w:before="0" w:after="283"/>
              <w:rPr/>
            </w:pPr>
            <w:r>
              <w:rPr/>
              <w:t>Diese Voraussetzungen entsprechen § 3 Abs. 1 der Makler- und Bauträgerverordnung (MaBV); von ihnen wird nicht zulasten des Käufers abgewichen.</w:t>
            </w:r>
          </w:p>
        </w:tc>
        <w:tc>
          <w:tcPr>
            <w:tcW w:w="7620" w:type="dxa"/>
            <w:tcBorders/>
            <w:vAlign w:val="center"/>
          </w:tcPr>
          <w:p>
            <w:pPr>
              <w:pStyle w:val="TableContents"/>
              <w:bidi w:val="0"/>
              <w:spacing w:before="0" w:after="283"/>
              <w:rPr/>
            </w:pPr>
            <w:r>
              <w:rPr/>
              <w:t>These requirements correspond to § 3 Abs. 1 of the Broker and Builders Ordinance (MaBV); they will not deviate at the expense of the Buyer.</w:t>
            </w:r>
          </w:p>
        </w:tc>
      </w:tr>
      <w:tr>
        <w:trPr/>
        <w:tc>
          <w:tcPr>
            <w:tcW w:w="7914" w:type="dxa"/>
            <w:tcBorders/>
            <w:vAlign w:val="center"/>
          </w:tcPr>
          <w:p>
            <w:pPr>
              <w:pStyle w:val="TableContents"/>
              <w:bidi w:val="0"/>
              <w:spacing w:before="0" w:after="283"/>
              <w:rPr/>
            </w:pPr>
            <w:r>
              <w:rPr>
                <w:rStyle w:val="Strong"/>
              </w:rPr>
              <w:t>3.2</w:t>
            </w:r>
            <w:r>
              <w:rPr/>
              <w:t xml:space="preserve"> Der Käufer zahlt den Kaufpreis nach Baufortschritt in sieben Teilbeträgen entsprechend § 3 Abs. 2 MaBV:</w:t>
            </w:r>
          </w:p>
        </w:tc>
        <w:tc>
          <w:tcPr>
            <w:tcW w:w="7620" w:type="dxa"/>
            <w:tcBorders/>
            <w:vAlign w:val="center"/>
          </w:tcPr>
          <w:p>
            <w:pPr>
              <w:pStyle w:val="TableContents"/>
              <w:bidi w:val="0"/>
              <w:spacing w:before="0" w:after="0"/>
              <w:rPr/>
            </w:pPr>
            <w:r>
              <w:rPr>
                <w:rStyle w:val="Strong"/>
              </w:rPr>
              <w:t>3.2</w:t>
            </w:r>
            <w:r>
              <w:rPr/>
              <w:t xml:space="preserve"> The Buyer pays the Purchase Price after construction progress in seven instalments according to § 3 Abs. 2 MABV:</w:t>
            </w:r>
          </w:p>
          <w:tbl>
            <w:tblPr>
              <w:tblW w:w="11385" w:type="dxa"/>
              <w:jc w:val="start"/>
              <w:tblInd w:w="0" w:type="dxa"/>
              <w:tblLayout w:type="fixed"/>
              <w:tblCellMar>
                <w:top w:w="28" w:type="dxa"/>
                <w:start w:w="28" w:type="dxa"/>
                <w:bottom w:w="28" w:type="dxa"/>
                <w:end w:w="28" w:type="dxa"/>
              </w:tblCellMar>
            </w:tblPr>
            <w:tblGrid>
              <w:gridCol w:w="715"/>
              <w:gridCol w:w="9943"/>
              <w:gridCol w:w="727"/>
            </w:tblGrid>
            <w:tr>
              <w:trPr>
                <w:tblHeader w:val="true"/>
              </w:trPr>
              <w:tc>
                <w:tcPr>
                  <w:tcW w:w="715" w:type="dxa"/>
                  <w:tcBorders/>
                  <w:vAlign w:val="center"/>
                </w:tcPr>
                <w:p>
                  <w:pPr>
                    <w:pStyle w:val="TableHeading"/>
                    <w:suppressLineNumbers/>
                    <w:bidi w:val="0"/>
                    <w:spacing w:before="0" w:after="283"/>
                    <w:jc w:val="center"/>
                    <w:rPr/>
                  </w:pPr>
                  <w:r>
                    <w:rPr/>
                    <w:t>Rate</w:t>
                  </w:r>
                </w:p>
              </w:tc>
              <w:tc>
                <w:tcPr>
                  <w:tcW w:w="9943" w:type="dxa"/>
                  <w:tcBorders/>
                  <w:vAlign w:val="center"/>
                </w:tcPr>
                <w:p>
                  <w:pPr>
                    <w:pStyle w:val="TableHeading"/>
                    <w:suppressLineNumbers/>
                    <w:bidi w:val="0"/>
                    <w:spacing w:before="0" w:after="283"/>
                    <w:jc w:val="center"/>
                    <w:rPr/>
                  </w:pPr>
                  <w:r>
                    <w:rPr/>
                    <w:t>Bautenstand</w:t>
                  </w:r>
                </w:p>
              </w:tc>
              <w:tc>
                <w:tcPr>
                  <w:tcW w:w="727" w:type="dxa"/>
                  <w:tcBorders/>
                  <w:vAlign w:val="center"/>
                </w:tcPr>
                <w:p>
                  <w:pPr>
                    <w:pStyle w:val="TableHeading"/>
                    <w:suppressLineNumbers/>
                    <w:bidi w:val="0"/>
                    <w:spacing w:before="0" w:after="283"/>
                    <w:jc w:val="center"/>
                    <w:rPr/>
                  </w:pPr>
                  <w:r>
                    <w:rPr/>
                    <w:t>Anteil</w:t>
                  </w:r>
                </w:p>
              </w:tc>
            </w:tr>
            <w:tr>
              <w:trPr/>
              <w:tc>
                <w:tcPr>
                  <w:tcW w:w="715" w:type="dxa"/>
                  <w:tcBorders/>
                  <w:vAlign w:val="center"/>
                </w:tcPr>
                <w:p>
                  <w:pPr>
                    <w:pStyle w:val="TableContents"/>
                    <w:bidi w:val="0"/>
                    <w:spacing w:before="0" w:after="283"/>
                    <w:rPr/>
                  </w:pPr>
                  <w:r>
                    <w:rPr/>
                    <w:t>1. Rate</w:t>
                  </w:r>
                </w:p>
              </w:tc>
              <w:tc>
                <w:tcPr>
                  <w:tcW w:w="9943" w:type="dxa"/>
                  <w:tcBorders/>
                  <w:vAlign w:val="center"/>
                </w:tcPr>
                <w:p>
                  <w:pPr>
                    <w:pStyle w:val="TableContents"/>
                    <w:bidi w:val="0"/>
                    <w:spacing w:before="0" w:after="283"/>
                    <w:rPr/>
                  </w:pPr>
                  <w:r>
                    <w:rPr/>
                    <w:t>nach Beginn der Erdarbeiten</w:t>
                  </w:r>
                </w:p>
              </w:tc>
              <w:tc>
                <w:tcPr>
                  <w:tcW w:w="727" w:type="dxa"/>
                  <w:tcBorders/>
                  <w:vAlign w:val="center"/>
                </w:tcPr>
                <w:p>
                  <w:pPr>
                    <w:pStyle w:val="TableContents"/>
                    <w:bidi w:val="0"/>
                    <w:spacing w:before="0" w:after="283"/>
                    <w:rPr/>
                  </w:pPr>
                  <w:r>
                    <w:rPr/>
                    <w:t>30,0 %</w:t>
                  </w:r>
                </w:p>
              </w:tc>
            </w:tr>
            <w:tr>
              <w:trPr/>
              <w:tc>
                <w:tcPr>
                  <w:tcW w:w="715" w:type="dxa"/>
                  <w:tcBorders/>
                  <w:vAlign w:val="center"/>
                </w:tcPr>
                <w:p>
                  <w:pPr>
                    <w:pStyle w:val="TableContents"/>
                    <w:bidi w:val="0"/>
                    <w:spacing w:before="0" w:after="283"/>
                    <w:rPr/>
                  </w:pPr>
                  <w:r>
                    <w:rPr/>
                    <w:t>2. Rate</w:t>
                  </w:r>
                </w:p>
              </w:tc>
              <w:tc>
                <w:tcPr>
                  <w:tcW w:w="9943" w:type="dxa"/>
                  <w:tcBorders/>
                  <w:vAlign w:val="center"/>
                </w:tcPr>
                <w:p>
                  <w:pPr>
                    <w:pStyle w:val="TableContents"/>
                    <w:bidi w:val="0"/>
                    <w:spacing w:before="0" w:after="283"/>
                    <w:rPr/>
                  </w:pPr>
                  <w:r>
                    <w:rPr/>
                    <w:t>nach Rohbaufertigstellung einschließlich Zimmererarbeiten</w:t>
                  </w:r>
                </w:p>
              </w:tc>
              <w:tc>
                <w:tcPr>
                  <w:tcW w:w="727" w:type="dxa"/>
                  <w:tcBorders/>
                  <w:vAlign w:val="center"/>
                </w:tcPr>
                <w:p>
                  <w:pPr>
                    <w:pStyle w:val="TableContents"/>
                    <w:bidi w:val="0"/>
                    <w:spacing w:before="0" w:after="283"/>
                    <w:rPr/>
                  </w:pPr>
                  <w:r>
                    <w:rPr/>
                    <w:t>28,0 %</w:t>
                  </w:r>
                </w:p>
              </w:tc>
            </w:tr>
            <w:tr>
              <w:trPr/>
              <w:tc>
                <w:tcPr>
                  <w:tcW w:w="715" w:type="dxa"/>
                  <w:tcBorders/>
                  <w:vAlign w:val="center"/>
                </w:tcPr>
                <w:p>
                  <w:pPr>
                    <w:pStyle w:val="TableContents"/>
                    <w:bidi w:val="0"/>
                    <w:spacing w:before="0" w:after="283"/>
                    <w:rPr/>
                  </w:pPr>
                  <w:r>
                    <w:rPr/>
                    <w:t>3. Rate</w:t>
                  </w:r>
                </w:p>
              </w:tc>
              <w:tc>
                <w:tcPr>
                  <w:tcW w:w="9943" w:type="dxa"/>
                  <w:tcBorders/>
                  <w:vAlign w:val="center"/>
                </w:tcPr>
                <w:p>
                  <w:pPr>
                    <w:pStyle w:val="TableContents"/>
                    <w:bidi w:val="0"/>
                    <w:spacing w:before="0" w:after="283"/>
                    <w:rPr/>
                  </w:pPr>
                  <w:r>
                    <w:rPr/>
                    <w:t>nach Dachflächen/Dachrinnen, Rohinstallation Heizung/Sanitär/Elektro und Fenstereinbau einschließlich Verglasung</w:t>
                  </w:r>
                </w:p>
              </w:tc>
              <w:tc>
                <w:tcPr>
                  <w:tcW w:w="727" w:type="dxa"/>
                  <w:tcBorders/>
                  <w:vAlign w:val="center"/>
                </w:tcPr>
                <w:p>
                  <w:pPr>
                    <w:pStyle w:val="TableContents"/>
                    <w:bidi w:val="0"/>
                    <w:spacing w:before="0" w:after="283"/>
                    <w:rPr/>
                  </w:pPr>
                  <w:r>
                    <w:rPr/>
                    <w:t>18,9 %</w:t>
                  </w:r>
                </w:p>
              </w:tc>
            </w:tr>
            <w:tr>
              <w:trPr/>
              <w:tc>
                <w:tcPr>
                  <w:tcW w:w="715" w:type="dxa"/>
                  <w:tcBorders/>
                  <w:vAlign w:val="center"/>
                </w:tcPr>
                <w:p>
                  <w:pPr>
                    <w:pStyle w:val="TableContents"/>
                    <w:bidi w:val="0"/>
                    <w:spacing w:before="0" w:after="283"/>
                    <w:rPr/>
                  </w:pPr>
                  <w:r>
                    <w:rPr/>
                    <w:t>4. Rate</w:t>
                  </w:r>
                </w:p>
              </w:tc>
              <w:tc>
                <w:tcPr>
                  <w:tcW w:w="9943" w:type="dxa"/>
                  <w:tcBorders/>
                  <w:vAlign w:val="center"/>
                </w:tcPr>
                <w:p>
                  <w:pPr>
                    <w:pStyle w:val="TableContents"/>
                    <w:bidi w:val="0"/>
                    <w:spacing w:before="0" w:after="283"/>
                    <w:rPr/>
                  </w:pPr>
                  <w:r>
                    <w:rPr/>
                    <w:t>nach Innenputz, Estrich und Fliesenarbeiten im Sanitärbereich</w:t>
                  </w:r>
                </w:p>
              </w:tc>
              <w:tc>
                <w:tcPr>
                  <w:tcW w:w="727" w:type="dxa"/>
                  <w:tcBorders/>
                  <w:vAlign w:val="center"/>
                </w:tcPr>
                <w:p>
                  <w:pPr>
                    <w:pStyle w:val="TableContents"/>
                    <w:bidi w:val="0"/>
                    <w:spacing w:before="0" w:after="283"/>
                    <w:rPr/>
                  </w:pPr>
                  <w:r>
                    <w:rPr/>
                    <w:t>9,1 %</w:t>
                  </w:r>
                </w:p>
              </w:tc>
            </w:tr>
            <w:tr>
              <w:trPr/>
              <w:tc>
                <w:tcPr>
                  <w:tcW w:w="715" w:type="dxa"/>
                  <w:tcBorders/>
                  <w:vAlign w:val="center"/>
                </w:tcPr>
                <w:p>
                  <w:pPr>
                    <w:pStyle w:val="TableContents"/>
                    <w:bidi w:val="0"/>
                    <w:spacing w:before="0" w:after="283"/>
                    <w:rPr/>
                  </w:pPr>
                  <w:r>
                    <w:rPr/>
                    <w:t>5. Rate</w:t>
                  </w:r>
                </w:p>
              </w:tc>
              <w:tc>
                <w:tcPr>
                  <w:tcW w:w="9943" w:type="dxa"/>
                  <w:tcBorders/>
                  <w:vAlign w:val="center"/>
                </w:tcPr>
                <w:p>
                  <w:pPr>
                    <w:pStyle w:val="TableContents"/>
                    <w:bidi w:val="0"/>
                    <w:spacing w:before="0" w:after="283"/>
                    <w:rPr/>
                  </w:pPr>
                  <w:r>
                    <w:rPr/>
                    <w:t>nach Bezugsfertigkeit Zug um Zug gegen Besitzübergabe</w:t>
                  </w:r>
                </w:p>
              </w:tc>
              <w:tc>
                <w:tcPr>
                  <w:tcW w:w="727" w:type="dxa"/>
                  <w:tcBorders/>
                  <w:vAlign w:val="center"/>
                </w:tcPr>
                <w:p>
                  <w:pPr>
                    <w:pStyle w:val="TableContents"/>
                    <w:bidi w:val="0"/>
                    <w:spacing w:before="0" w:after="283"/>
                    <w:rPr/>
                  </w:pPr>
                  <w:r>
                    <w:rPr/>
                    <w:t>8,4 %</w:t>
                  </w:r>
                </w:p>
              </w:tc>
            </w:tr>
            <w:tr>
              <w:trPr/>
              <w:tc>
                <w:tcPr>
                  <w:tcW w:w="715" w:type="dxa"/>
                  <w:tcBorders/>
                  <w:vAlign w:val="center"/>
                </w:tcPr>
                <w:p>
                  <w:pPr>
                    <w:pStyle w:val="TableContents"/>
                    <w:bidi w:val="0"/>
                    <w:spacing w:before="0" w:after="283"/>
                    <w:rPr/>
                  </w:pPr>
                  <w:r>
                    <w:rPr/>
                    <w:t>6. Rate</w:t>
                  </w:r>
                </w:p>
              </w:tc>
              <w:tc>
                <w:tcPr>
                  <w:tcW w:w="9943" w:type="dxa"/>
                  <w:tcBorders/>
                  <w:vAlign w:val="center"/>
                </w:tcPr>
                <w:p>
                  <w:pPr>
                    <w:pStyle w:val="TableContents"/>
                    <w:bidi w:val="0"/>
                    <w:spacing w:before="0" w:after="283"/>
                    <w:rPr/>
                  </w:pPr>
                  <w:r>
                    <w:rPr/>
                    <w:t>nach Fassadenarbeiten</w:t>
                  </w:r>
                </w:p>
              </w:tc>
              <w:tc>
                <w:tcPr>
                  <w:tcW w:w="727" w:type="dxa"/>
                  <w:tcBorders/>
                  <w:vAlign w:val="center"/>
                </w:tcPr>
                <w:p>
                  <w:pPr>
                    <w:pStyle w:val="TableContents"/>
                    <w:bidi w:val="0"/>
                    <w:spacing w:before="0" w:after="283"/>
                    <w:rPr/>
                  </w:pPr>
                  <w:r>
                    <w:rPr/>
                    <w:t>2,1 %</w:t>
                  </w:r>
                </w:p>
              </w:tc>
            </w:tr>
            <w:tr>
              <w:trPr/>
              <w:tc>
                <w:tcPr>
                  <w:tcW w:w="715" w:type="dxa"/>
                  <w:tcBorders/>
                  <w:vAlign w:val="center"/>
                </w:tcPr>
                <w:p>
                  <w:pPr>
                    <w:pStyle w:val="TableContents"/>
                    <w:bidi w:val="0"/>
                    <w:spacing w:before="0" w:after="283"/>
                    <w:rPr/>
                  </w:pPr>
                  <w:r>
                    <w:rPr/>
                    <w:t>7. Rate</w:t>
                  </w:r>
                </w:p>
              </w:tc>
              <w:tc>
                <w:tcPr>
                  <w:tcW w:w="9943" w:type="dxa"/>
                  <w:tcBorders/>
                  <w:vAlign w:val="center"/>
                </w:tcPr>
                <w:p>
                  <w:pPr>
                    <w:pStyle w:val="TableContents"/>
                    <w:bidi w:val="0"/>
                    <w:spacing w:before="0" w:after="283"/>
                    <w:rPr/>
                  </w:pPr>
                  <w:r>
                    <w:rPr/>
                    <w:t>nach vollständiger Fertigstellung einschließlich der Außenanlagen</w:t>
                  </w:r>
                </w:p>
              </w:tc>
              <w:tc>
                <w:tcPr>
                  <w:tcW w:w="727" w:type="dxa"/>
                  <w:tcBorders/>
                  <w:vAlign w:val="center"/>
                </w:tcPr>
                <w:p>
                  <w:pPr>
                    <w:pStyle w:val="TableContents"/>
                    <w:bidi w:val="0"/>
                    <w:spacing w:before="0" w:after="283"/>
                    <w:rPr/>
                  </w:pPr>
                  <w:r>
                    <w:rPr/>
                    <w:t>3,5 %</w:t>
                  </w:r>
                </w:p>
              </w:tc>
            </w:tr>
          </w:tbl>
          <w:p>
            <w:pPr>
              <w:pStyle w:val="TableContents"/>
              <w:bidi w:val="0"/>
              <w:spacing w:before="0" w:after="283"/>
              <w:rPr/>
            </w:pPr>
            <w:r>
              <w:rPr/>
            </w:r>
          </w:p>
        </w:tc>
      </w:tr>
      <w:tr>
        <w:trPr/>
        <w:tc>
          <w:tcPr>
            <w:tcW w:w="7914" w:type="dxa"/>
            <w:tcBorders/>
            <w:vAlign w:val="center"/>
          </w:tcPr>
          <w:tbl>
            <w:tblPr>
              <w:tblW w:w="10417" w:type="dxa"/>
              <w:jc w:val="start"/>
              <w:tblInd w:w="0" w:type="dxa"/>
              <w:tblLayout w:type="fixed"/>
              <w:tblCellMar>
                <w:top w:w="28" w:type="dxa"/>
                <w:start w:w="28" w:type="dxa"/>
                <w:bottom w:w="28" w:type="dxa"/>
                <w:end w:w="28" w:type="dxa"/>
              </w:tblCellMar>
            </w:tblPr>
            <w:tblGrid>
              <w:gridCol w:w="715"/>
              <w:gridCol w:w="8975"/>
              <w:gridCol w:w="727"/>
            </w:tblGrid>
            <w:tr>
              <w:trPr>
                <w:tblHeader w:val="true"/>
              </w:trPr>
              <w:tc>
                <w:tcPr>
                  <w:tcW w:w="715" w:type="dxa"/>
                  <w:tcBorders/>
                  <w:vAlign w:val="center"/>
                </w:tcPr>
                <w:p>
                  <w:pPr>
                    <w:pStyle w:val="TableHeading"/>
                    <w:suppressLineNumbers/>
                    <w:bidi w:val="0"/>
                    <w:spacing w:before="0" w:after="283"/>
                    <w:jc w:val="center"/>
                    <w:rPr/>
                  </w:pPr>
                  <w:r>
                    <w:rPr/>
                    <w:t>Rate</w:t>
                  </w:r>
                </w:p>
              </w:tc>
              <w:tc>
                <w:tcPr>
                  <w:tcW w:w="8975" w:type="dxa"/>
                  <w:tcBorders/>
                  <w:vAlign w:val="center"/>
                </w:tcPr>
                <w:p>
                  <w:pPr>
                    <w:pStyle w:val="TableHeading"/>
                    <w:suppressLineNumbers/>
                    <w:bidi w:val="0"/>
                    <w:spacing w:before="0" w:after="283"/>
                    <w:jc w:val="center"/>
                    <w:rPr/>
                  </w:pPr>
                  <w:r>
                    <w:rPr/>
                    <w:t>Bautenstand</w:t>
                  </w:r>
                </w:p>
              </w:tc>
              <w:tc>
                <w:tcPr>
                  <w:tcW w:w="727" w:type="dxa"/>
                  <w:tcBorders/>
                  <w:vAlign w:val="center"/>
                </w:tcPr>
                <w:p>
                  <w:pPr>
                    <w:pStyle w:val="TableHeading"/>
                    <w:suppressLineNumbers/>
                    <w:bidi w:val="0"/>
                    <w:spacing w:before="0" w:after="283"/>
                    <w:jc w:val="center"/>
                    <w:rPr/>
                  </w:pPr>
                  <w:r>
                    <w:rPr/>
                    <w:t>Anteil</w:t>
                  </w:r>
                </w:p>
              </w:tc>
            </w:tr>
            <w:tr>
              <w:trPr/>
              <w:tc>
                <w:tcPr>
                  <w:tcW w:w="715" w:type="dxa"/>
                  <w:tcBorders/>
                  <w:vAlign w:val="center"/>
                </w:tcPr>
                <w:p>
                  <w:pPr>
                    <w:pStyle w:val="TableContents"/>
                    <w:bidi w:val="0"/>
                    <w:spacing w:before="0" w:after="283"/>
                    <w:rPr/>
                  </w:pPr>
                  <w:r>
                    <w:rPr/>
                    <w:t>1. Rate</w:t>
                  </w:r>
                </w:p>
              </w:tc>
              <w:tc>
                <w:tcPr>
                  <w:tcW w:w="8975" w:type="dxa"/>
                  <w:tcBorders/>
                  <w:vAlign w:val="center"/>
                </w:tcPr>
                <w:p>
                  <w:pPr>
                    <w:pStyle w:val="TableContents"/>
                    <w:bidi w:val="0"/>
                    <w:spacing w:before="0" w:after="283"/>
                    <w:rPr/>
                  </w:pPr>
                  <w:r>
                    <w:rPr/>
                    <w:t>nach Beginn der Erdarbeiten</w:t>
                  </w:r>
                </w:p>
              </w:tc>
              <w:tc>
                <w:tcPr>
                  <w:tcW w:w="727" w:type="dxa"/>
                  <w:tcBorders/>
                  <w:vAlign w:val="center"/>
                </w:tcPr>
                <w:p>
                  <w:pPr>
                    <w:pStyle w:val="TableContents"/>
                    <w:bidi w:val="0"/>
                    <w:spacing w:before="0" w:after="283"/>
                    <w:rPr/>
                  </w:pPr>
                  <w:r>
                    <w:rPr/>
                    <w:t>30,0 %</w:t>
                  </w:r>
                </w:p>
              </w:tc>
            </w:tr>
            <w:tr>
              <w:trPr/>
              <w:tc>
                <w:tcPr>
                  <w:tcW w:w="715" w:type="dxa"/>
                  <w:tcBorders/>
                  <w:vAlign w:val="center"/>
                </w:tcPr>
                <w:p>
                  <w:pPr>
                    <w:pStyle w:val="TableContents"/>
                    <w:bidi w:val="0"/>
                    <w:spacing w:before="0" w:after="283"/>
                    <w:rPr/>
                  </w:pPr>
                  <w:r>
                    <w:rPr/>
                    <w:t>2. Rate</w:t>
                  </w:r>
                </w:p>
              </w:tc>
              <w:tc>
                <w:tcPr>
                  <w:tcW w:w="8975" w:type="dxa"/>
                  <w:tcBorders/>
                  <w:vAlign w:val="center"/>
                </w:tcPr>
                <w:p>
                  <w:pPr>
                    <w:pStyle w:val="TableContents"/>
                    <w:bidi w:val="0"/>
                    <w:spacing w:before="0" w:after="283"/>
                    <w:rPr/>
                  </w:pPr>
                  <w:r>
                    <w:rPr/>
                    <w:t>After shell construction, including carpentry</w:t>
                  </w:r>
                </w:p>
              </w:tc>
              <w:tc>
                <w:tcPr>
                  <w:tcW w:w="727" w:type="dxa"/>
                  <w:tcBorders/>
                  <w:vAlign w:val="center"/>
                </w:tcPr>
                <w:p>
                  <w:pPr>
                    <w:pStyle w:val="TableContents"/>
                    <w:bidi w:val="0"/>
                    <w:spacing w:before="0" w:after="283"/>
                    <w:rPr/>
                  </w:pPr>
                  <w:r>
                    <w:rPr/>
                    <w:t>28,0 %</w:t>
                  </w:r>
                </w:p>
              </w:tc>
            </w:tr>
            <w:tr>
              <w:trPr/>
              <w:tc>
                <w:tcPr>
                  <w:tcW w:w="715" w:type="dxa"/>
                  <w:tcBorders/>
                  <w:vAlign w:val="center"/>
                </w:tcPr>
                <w:p>
                  <w:pPr>
                    <w:pStyle w:val="TableContents"/>
                    <w:bidi w:val="0"/>
                    <w:spacing w:before="0" w:after="283"/>
                    <w:rPr/>
                  </w:pPr>
                  <w:r>
                    <w:rPr/>
                    <w:t>3. Rate</w:t>
                  </w:r>
                </w:p>
              </w:tc>
              <w:tc>
                <w:tcPr>
                  <w:tcW w:w="8975" w:type="dxa"/>
                  <w:tcBorders/>
                  <w:vAlign w:val="center"/>
                </w:tcPr>
                <w:p>
                  <w:pPr>
                    <w:pStyle w:val="TableContents"/>
                    <w:bidi w:val="0"/>
                    <w:spacing w:before="0" w:after="283"/>
                    <w:rPr/>
                  </w:pPr>
                  <w:r>
                    <w:rPr/>
                    <w:t>by roof/roof gutters, rough installation heating/sanitary/electric and window installation including glazing</w:t>
                  </w:r>
                </w:p>
              </w:tc>
              <w:tc>
                <w:tcPr>
                  <w:tcW w:w="727" w:type="dxa"/>
                  <w:tcBorders/>
                  <w:vAlign w:val="center"/>
                </w:tcPr>
                <w:p>
                  <w:pPr>
                    <w:pStyle w:val="TableContents"/>
                    <w:bidi w:val="0"/>
                    <w:spacing w:before="0" w:after="283"/>
                    <w:rPr/>
                  </w:pPr>
                  <w:r>
                    <w:rPr/>
                    <w:t>18,9 %</w:t>
                  </w:r>
                </w:p>
              </w:tc>
            </w:tr>
            <w:tr>
              <w:trPr/>
              <w:tc>
                <w:tcPr>
                  <w:tcW w:w="715" w:type="dxa"/>
                  <w:tcBorders/>
                  <w:vAlign w:val="center"/>
                </w:tcPr>
                <w:p>
                  <w:pPr>
                    <w:pStyle w:val="TableContents"/>
                    <w:bidi w:val="0"/>
                    <w:spacing w:before="0" w:after="283"/>
                    <w:rPr/>
                  </w:pPr>
                  <w:r>
                    <w:rPr/>
                    <w:t>4. Rate</w:t>
                  </w:r>
                </w:p>
              </w:tc>
              <w:tc>
                <w:tcPr>
                  <w:tcW w:w="8975" w:type="dxa"/>
                  <w:tcBorders/>
                  <w:vAlign w:val="center"/>
                </w:tcPr>
                <w:p>
                  <w:pPr>
                    <w:pStyle w:val="TableContents"/>
                    <w:bidi w:val="0"/>
                    <w:spacing w:before="0" w:after="283"/>
                    <w:rPr/>
                  </w:pPr>
                  <w:r>
                    <w:rPr/>
                    <w:t>After plastering, screed and sanitary tile work</w:t>
                  </w:r>
                </w:p>
              </w:tc>
              <w:tc>
                <w:tcPr>
                  <w:tcW w:w="727" w:type="dxa"/>
                  <w:tcBorders/>
                  <w:vAlign w:val="center"/>
                </w:tcPr>
                <w:p>
                  <w:pPr>
                    <w:pStyle w:val="TableContents"/>
                    <w:bidi w:val="0"/>
                    <w:spacing w:before="0" w:after="283"/>
                    <w:rPr/>
                  </w:pPr>
                  <w:r>
                    <w:rPr/>
                    <w:t>9,1 %</w:t>
                  </w:r>
                </w:p>
              </w:tc>
            </w:tr>
            <w:tr>
              <w:trPr/>
              <w:tc>
                <w:tcPr>
                  <w:tcW w:w="715" w:type="dxa"/>
                  <w:tcBorders/>
                  <w:vAlign w:val="center"/>
                </w:tcPr>
                <w:p>
                  <w:pPr>
                    <w:pStyle w:val="TableContents"/>
                    <w:bidi w:val="0"/>
                    <w:spacing w:before="0" w:after="283"/>
                    <w:rPr/>
                  </w:pPr>
                  <w:r>
                    <w:rPr/>
                    <w:t>5. Rate</w:t>
                  </w:r>
                </w:p>
              </w:tc>
              <w:tc>
                <w:tcPr>
                  <w:tcW w:w="8975" w:type="dxa"/>
                  <w:tcBorders/>
                  <w:vAlign w:val="center"/>
                </w:tcPr>
                <w:p>
                  <w:pPr>
                    <w:pStyle w:val="TableContents"/>
                    <w:bidi w:val="0"/>
                    <w:spacing w:before="0" w:after="283"/>
                    <w:rPr/>
                  </w:pPr>
                  <w:r>
                    <w:rPr/>
                    <w:t>Readiness to reference Train to train against transfer of ownership</w:t>
                  </w:r>
                </w:p>
              </w:tc>
              <w:tc>
                <w:tcPr>
                  <w:tcW w:w="727" w:type="dxa"/>
                  <w:tcBorders/>
                  <w:vAlign w:val="center"/>
                </w:tcPr>
                <w:p>
                  <w:pPr>
                    <w:pStyle w:val="TableContents"/>
                    <w:bidi w:val="0"/>
                    <w:spacing w:before="0" w:after="283"/>
                    <w:rPr/>
                  </w:pPr>
                  <w:r>
                    <w:rPr/>
                    <w:t>8,4 %</w:t>
                  </w:r>
                </w:p>
              </w:tc>
            </w:tr>
            <w:tr>
              <w:trPr/>
              <w:tc>
                <w:tcPr>
                  <w:tcW w:w="715" w:type="dxa"/>
                  <w:tcBorders/>
                  <w:vAlign w:val="center"/>
                </w:tcPr>
                <w:p>
                  <w:pPr>
                    <w:pStyle w:val="TableContents"/>
                    <w:bidi w:val="0"/>
                    <w:spacing w:before="0" w:after="283"/>
                    <w:rPr/>
                  </w:pPr>
                  <w:r>
                    <w:rPr/>
                    <w:t>6. Rate</w:t>
                  </w:r>
                </w:p>
              </w:tc>
              <w:tc>
                <w:tcPr>
                  <w:tcW w:w="8975" w:type="dxa"/>
                  <w:tcBorders/>
                  <w:vAlign w:val="center"/>
                </w:tcPr>
                <w:p>
                  <w:pPr>
                    <w:pStyle w:val="TableContents"/>
                    <w:bidi w:val="0"/>
                    <w:spacing w:before="0" w:after="283"/>
                    <w:rPr/>
                  </w:pPr>
                  <w:r>
                    <w:rPr/>
                    <w:t>nach Fassadenarbeiten</w:t>
                  </w:r>
                </w:p>
              </w:tc>
              <w:tc>
                <w:tcPr>
                  <w:tcW w:w="727" w:type="dxa"/>
                  <w:tcBorders/>
                  <w:vAlign w:val="center"/>
                </w:tcPr>
                <w:p>
                  <w:pPr>
                    <w:pStyle w:val="TableContents"/>
                    <w:bidi w:val="0"/>
                    <w:spacing w:before="0" w:after="283"/>
                    <w:rPr/>
                  </w:pPr>
                  <w:r>
                    <w:rPr/>
                    <w:t>2,1 %</w:t>
                  </w:r>
                </w:p>
              </w:tc>
            </w:tr>
            <w:tr>
              <w:trPr/>
              <w:tc>
                <w:tcPr>
                  <w:tcW w:w="715" w:type="dxa"/>
                  <w:tcBorders/>
                  <w:vAlign w:val="center"/>
                </w:tcPr>
                <w:p>
                  <w:pPr>
                    <w:pStyle w:val="TableContents"/>
                    <w:bidi w:val="0"/>
                    <w:spacing w:before="0" w:after="283"/>
                    <w:rPr/>
                  </w:pPr>
                  <w:r>
                    <w:rPr/>
                    <w:t>7. Rate</w:t>
                  </w:r>
                </w:p>
              </w:tc>
              <w:tc>
                <w:tcPr>
                  <w:tcW w:w="8975" w:type="dxa"/>
                  <w:tcBorders/>
                  <w:vAlign w:val="center"/>
                </w:tcPr>
                <w:p>
                  <w:pPr>
                    <w:pStyle w:val="TableContents"/>
                    <w:bidi w:val="0"/>
                    <w:spacing w:before="0" w:after="283"/>
                    <w:rPr/>
                  </w:pPr>
                  <w:r>
                    <w:rPr/>
                    <w:t>After complete completion, including outdoor facilities</w:t>
                  </w:r>
                </w:p>
              </w:tc>
              <w:tc>
                <w:tcPr>
                  <w:tcW w:w="727" w:type="dxa"/>
                  <w:tcBorders/>
                  <w:vAlign w:val="center"/>
                </w:tcPr>
                <w:p>
                  <w:pPr>
                    <w:pStyle w:val="TableContents"/>
                    <w:bidi w:val="0"/>
                    <w:spacing w:before="0" w:after="283"/>
                    <w:rPr/>
                  </w:pPr>
                  <w:r>
                    <w:rPr/>
                    <w:t>3,5 %</w:t>
                  </w:r>
                </w:p>
              </w:tc>
            </w:tr>
          </w:tbl>
          <w:p>
            <w:pPr>
              <w:pStyle w:val="TableContents"/>
              <w:bidi w:val="0"/>
              <w:spacing w:before="0" w:after="283"/>
              <w:rPr/>
            </w:pPr>
            <w:r>
              <w:rPr/>
            </w:r>
          </w:p>
        </w:tc>
        <w:tc>
          <w:tcPr>
            <w:tcW w:w="7620" w:type="dxa"/>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TableContents"/>
              <w:bidi w:val="0"/>
              <w:spacing w:before="0" w:after="283"/>
              <w:rPr/>
            </w:pPr>
            <w:r>
              <w:rPr/>
              <w:t>Eine Rate wird fällig, wenn der zugehörige Bautenstand tatsächlich erreicht ist und der Verkäufer den Käufer schriftlich unter Bezeichnung des erreichten Meilensteins zur Zahlung auffordert. Der Käufer ist berechtigt, den Bautenstand vor Zahlung selbst oder durch eine Person seines Vertrauens zu überprüfen (§ 8); ist der bezeichnete Bautenstand nicht erreicht, wird die Rate nicht fällig. Die Schlussrate (7. Rate) wird erst nach vollständiger Fertigstellung einschließlich der dem Kaufgegenstand zugeordneten Außenanlagen und nach Beseitigung der im Abnahmeprotokoll festgehaltenen Mängel und Restarbeiten fällig.</w:t>
            </w:r>
          </w:p>
        </w:tc>
        <w:tc>
          <w:tcPr>
            <w:tcW w:w="7620" w:type="dxa"/>
            <w:tcBorders/>
            <w:vAlign w:val="center"/>
          </w:tcPr>
          <w:p>
            <w:pPr>
              <w:pStyle w:val="TableContents"/>
              <w:bidi w:val="0"/>
              <w:spacing w:before="0" w:after="283"/>
              <w:rPr/>
            </w:pPr>
            <w:r>
              <w:rPr/>
              <w:t>An installment becomes due when the associated building status is actually reached and the Seller asks the Buyer in writing to pay under the name of the milestone reached. The Buyer is entitled to check the building status himself or by a person of his trust before payment (§ 8); if the named building status is not reached, the installment is not due. The final installment (7th installment) is due only after complete completion including the outdoor facilities assigned to the purchased item and after elimination of the defects and remaining work recorded in the acceptance record.</w:t>
            </w:r>
          </w:p>
        </w:tc>
      </w:tr>
      <w:tr>
        <w:trPr/>
        <w:tc>
          <w:tcPr>
            <w:tcW w:w="7914" w:type="dxa"/>
            <w:tcBorders/>
            <w:vAlign w:val="center"/>
          </w:tcPr>
          <w:p>
            <w:pPr>
              <w:pStyle w:val="TableContents"/>
              <w:bidi w:val="0"/>
              <w:spacing w:before="0" w:after="283"/>
              <w:rPr/>
            </w:pPr>
            <w:r>
              <w:rPr>
                <w:rStyle w:val="Strong"/>
              </w:rPr>
              <w:t>3.3</w:t>
            </w:r>
            <w:r>
              <w:rPr/>
              <w:t xml:space="preserve"> Sicherheit für rechtzeitige und mangelfreie Herstellung. Der Verkäufer stellt dem Käufer bei der ersten Abschlagszahlung eine Sicherheit in Höhe von 5 % des Gesamtkaufpreises (§ 650m Abs. 2 BGB) für die rechtzeitige Herstellung des Kaufgegenstandes ohne wesentliche Mängel. Die Sicherheit kann nach Wahl des Verkäufers durch Einbehalt des Käufers von der ersten Rate oder durch unbefristete, selbstschuldnerische Bürgschaft eines im Inland zum Geschäftsbetrieb befugten Kreditinstituts geleistet werden. Die Sicherheit ist zurückzugeben, wenn die Sondereigentumseinheit abgenommen ist, das für den Kaufgegenstand maßgebliche Gemeinschaftseigentum zur Abnahme angeboten wurde und keine wesentlichen, rechtzeitige oder mangelfreie Herstellung betreffenden Mängel mehr offen sind. In Höhe noch nicht beseitigter wesentlicher Mängel bleibt die Sicherheit bestehen.</w:t>
            </w:r>
          </w:p>
        </w:tc>
        <w:tc>
          <w:tcPr>
            <w:tcW w:w="7620" w:type="dxa"/>
            <w:tcBorders/>
            <w:vAlign w:val="center"/>
          </w:tcPr>
          <w:p>
            <w:pPr>
              <w:pStyle w:val="TableContents"/>
              <w:bidi w:val="0"/>
              <w:spacing w:before="0" w:after="283"/>
              <w:rPr/>
            </w:pPr>
            <w:r>
              <w:rPr>
                <w:rStyle w:val="Strong"/>
              </w:rPr>
              <w:t>3.3</w:t>
            </w:r>
            <w:r>
              <w:rPr/>
              <w:t xml:space="preserve"> Safety for timely and defect-free production. The Seller provides the Buyer with a security in the amount of 5% of the total Purchase Price (§ 650m para 2 BGB) for the timely production of the Purchased Property without significant defects. The security may be provided, at the choice of the Seller, by withholding the Buyer from the first instalment or by an indefinite, self-guarantee from a credit institution authorised to operate in the country. The security shall be returned when the special ownership unit has been accepted, the joint ownership of the Purchased Property has been offered for acceptance and no significant defects relating to timely or defect-free production are left open. Safety shall be maintained in the case of non-remedial material deficiencies.</w:t>
            </w:r>
          </w:p>
        </w:tc>
      </w:tr>
      <w:tr>
        <w:trPr/>
        <w:tc>
          <w:tcPr>
            <w:tcW w:w="7914" w:type="dxa"/>
            <w:tcBorders/>
            <w:vAlign w:val="center"/>
          </w:tcPr>
          <w:p>
            <w:pPr>
              <w:pStyle w:val="TableContents"/>
              <w:bidi w:val="0"/>
              <w:spacing w:before="0" w:after="283"/>
              <w:rPr/>
            </w:pPr>
            <w:r>
              <w:rPr>
                <w:rStyle w:val="Strong"/>
              </w:rPr>
              <w:t>3.4</w:t>
            </w:r>
            <w:r>
              <w:rPr/>
              <w:t xml:space="preserve"> Reservierungsentgelt. Ein vor Beurkundung gezahltes Reservierungsentgelt von 5.000,00 EUR wird mit der ersten Kaufpreisrate verrechnet. Kommt der Vertrag aus vom Käufer nicht zu vertretenden Gründen nicht zustande, wird das Entgelt erstattet.</w:t>
            </w:r>
          </w:p>
        </w:tc>
        <w:tc>
          <w:tcPr>
            <w:tcW w:w="7620" w:type="dxa"/>
            <w:tcBorders/>
            <w:vAlign w:val="center"/>
          </w:tcPr>
          <w:p>
            <w:pPr>
              <w:pStyle w:val="TableContents"/>
              <w:bidi w:val="0"/>
              <w:spacing w:before="0" w:after="283"/>
              <w:rPr/>
            </w:pPr>
            <w:r>
              <w:rPr>
                <w:rStyle w:val="Strong"/>
              </w:rPr>
              <w:t>3.4</w:t>
            </w:r>
            <w:r>
              <w:rPr/>
              <w:t xml:space="preserve"> Reservation fee. A reservation fee of 5,000.00 EUR paid before registration will be charged with the first Purchase Price installment. If the contract is not concluded for reasons beyond the control of the Buyer, the fee will be refunded.</w:t>
            </w:r>
          </w:p>
        </w:tc>
      </w:tr>
      <w:tr>
        <w:trPr/>
        <w:tc>
          <w:tcPr>
            <w:tcW w:w="7914" w:type="dxa"/>
            <w:tcBorders/>
            <w:vAlign w:val="center"/>
          </w:tcPr>
          <w:p>
            <w:pPr>
              <w:pStyle w:val="TableContents"/>
              <w:bidi w:val="0"/>
              <w:spacing w:before="0" w:after="283"/>
              <w:rPr/>
            </w:pPr>
            <w:r>
              <w:rPr>
                <w:rStyle w:val="Strong"/>
              </w:rPr>
              <w:t>3.5</w:t>
            </w:r>
            <w:r>
              <w:rPr/>
              <w:t xml:space="preserve"> Sonderwünsche. Sonderwünsche außerhalb der Ausstattungslinie „Marewald Komfort C” werden gesondert auf Grundlage eines Nachtragsangebots beauftragt. Bauwerksbezogene Sonderwünsche werden mit der Rate fällig, die dem Bautenstand des betroffenen Gewerks entspricht; eine Vorauszahlung vor Leistung wird nur gegen Sicherheit nach § 7 MaBV verlangt. Die ersten drei Beratungsstunden in der Bemusterung sind im Kaufpreis enthalten; weiterer Beratungsaufwand wird mit 150,00 EUR netto je Stunde vergütet.</w:t>
            </w:r>
          </w:p>
        </w:tc>
        <w:tc>
          <w:tcPr>
            <w:tcW w:w="7620" w:type="dxa"/>
            <w:tcBorders/>
            <w:vAlign w:val="center"/>
          </w:tcPr>
          <w:p>
            <w:pPr>
              <w:pStyle w:val="TableContents"/>
              <w:bidi w:val="0"/>
              <w:spacing w:before="0" w:after="283"/>
              <w:rPr/>
            </w:pPr>
            <w:r>
              <w:rPr>
                <w:rStyle w:val="Strong"/>
              </w:rPr>
              <w:t>3.5</w:t>
            </w:r>
            <w:r>
              <w:rPr/>
              <w:t xml:space="preserve"> Special requests. Special requests outside the equipment line “Marewald Comfort C” are commissioned separately on the basis of a supplementary offer. Special requests relating to a building shall be due at the rate corresponding to the state of construction of the trade concerned; an advance payment before performance is only required against security according to § 7 MaBV. The first three consultation hours in the sample are included in the Purchase Price; further consulting expenses are paid with 150.00 EUR net per hour.</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Heading1"/>
              <w:bidi w:val="0"/>
              <w:spacing w:before="240" w:after="283"/>
              <w:ind w:hanging="0" w:start="0" w:end="0"/>
              <w:rPr/>
            </w:pPr>
            <w:bookmarkStart w:id="18" w:name="belastungsvollmacht-kaufpreisfinanzierun"/>
            <w:bookmarkEnd w:id="18"/>
            <w:r>
              <w:rPr/>
              <w:t>§ 4 Belastungsvollmacht, Kaufpreisfinanzierung</w:t>
            </w:r>
          </w:p>
        </w:tc>
        <w:tc>
          <w:tcPr>
            <w:tcW w:w="7620" w:type="dxa"/>
            <w:tcBorders/>
            <w:vAlign w:val="center"/>
          </w:tcPr>
          <w:p>
            <w:pPr>
              <w:pStyle w:val="Heading1"/>
              <w:bidi w:val="0"/>
              <w:spacing w:before="240" w:after="283"/>
              <w:ind w:hanging="0" w:start="0" w:end="0"/>
              <w:rPr/>
            </w:pPr>
            <w:bookmarkStart w:id="19" w:name="power-of-attorney-purchase-price-financi"/>
            <w:bookmarkEnd w:id="19"/>
            <w:r>
              <w:rPr/>
              <w:t>§ 4 Power of attorney, Purchase Price financing</w:t>
            </w:r>
          </w:p>
        </w:tc>
      </w:tr>
      <w:tr>
        <w:trPr/>
        <w:tc>
          <w:tcPr>
            <w:tcW w:w="7914" w:type="dxa"/>
            <w:tcBorders/>
            <w:vAlign w:val="center"/>
          </w:tcPr>
          <w:p>
            <w:pPr>
              <w:pStyle w:val="TableContents"/>
              <w:bidi w:val="0"/>
              <w:spacing w:before="0" w:after="283"/>
              <w:rPr/>
            </w:pPr>
            <w:r>
              <w:rPr>
                <w:rStyle w:val="Strong"/>
              </w:rPr>
              <w:t>4.1</w:t>
            </w:r>
            <w:r>
              <w:rPr/>
              <w:t xml:space="preserve"> Der Verkäufer bevollmächtigt den Käufer, an dem Kaufgegenstand bereits vor Eigentumsumschreibung Grundpfandrechte zugunsten finanzierender Kreditinstitute zu bestellen und eintragen zu lassen.</w:t>
            </w:r>
          </w:p>
        </w:tc>
        <w:tc>
          <w:tcPr>
            <w:tcW w:w="7620" w:type="dxa"/>
            <w:tcBorders/>
            <w:vAlign w:val="center"/>
          </w:tcPr>
          <w:p>
            <w:pPr>
              <w:pStyle w:val="TableContents"/>
              <w:bidi w:val="0"/>
              <w:spacing w:before="0" w:after="283"/>
              <w:rPr/>
            </w:pPr>
            <w:r>
              <w:rPr>
                <w:rStyle w:val="Strong"/>
              </w:rPr>
              <w:t>4.1</w:t>
            </w:r>
            <w:r>
              <w:rPr/>
              <w:t xml:space="preserve"> The Seller authorizes the Buyer to order and register mortgages on the Purchased Property in favour of financing credit institutions before the transfer of title.</w:t>
            </w:r>
          </w:p>
        </w:tc>
      </w:tr>
      <w:tr>
        <w:trPr/>
        <w:tc>
          <w:tcPr>
            <w:tcW w:w="7914" w:type="dxa"/>
            <w:tcBorders/>
            <w:vAlign w:val="center"/>
          </w:tcPr>
          <w:p>
            <w:pPr>
              <w:pStyle w:val="TableContents"/>
              <w:bidi w:val="0"/>
              <w:spacing w:before="0" w:after="283"/>
              <w:rPr/>
            </w:pPr>
            <w:r>
              <w:rPr>
                <w:rStyle w:val="Strong"/>
              </w:rPr>
              <w:t>4.2</w:t>
            </w:r>
            <w:r>
              <w:rPr/>
              <w:t xml:space="preserve"> Eine persönliche Haftung des Käufers mit sofortiger Zwangsvollstreckungsunterwerfung darf bis zur Höhe des Gesamtkaufpreises von 674.000,00 EUR nebst marktüblicher dinglicher Zinsen von bis zu 15 % jährlich und einmaliger Nebenleistung begründet werden, soweit die finanzierende Bank dies verlangt. Die Sicherungsabrede mit der Bank hat sicherzustellen, dass Zahlungen nur auf den Kaufpreis dieses Vertrages erfolgen, solange das Eigentum nicht umgeschrieben ist.</w:t>
            </w:r>
          </w:p>
        </w:tc>
        <w:tc>
          <w:tcPr>
            <w:tcW w:w="7620" w:type="dxa"/>
            <w:tcBorders/>
            <w:vAlign w:val="center"/>
          </w:tcPr>
          <w:p>
            <w:pPr>
              <w:pStyle w:val="TableContents"/>
              <w:bidi w:val="0"/>
              <w:spacing w:before="0" w:after="283"/>
              <w:rPr/>
            </w:pPr>
            <w:r>
              <w:rPr>
                <w:rStyle w:val="Strong"/>
              </w:rPr>
              <w:t>4.2</w:t>
            </w:r>
            <w:r>
              <w:rPr/>
              <w:t xml:space="preserve"> A personal liability of the Buyer with immediate foreclosure may be justified up to the amount of the total Purchase Price of 674,000.00 EUR together with market-standard real interest of up to 15% annually and one-time ancillary service, if the financing bank so requires. The security agreement with the bank must ensure that payments are made only on the Purchase Price of this contract as long as the property is not rewritten.</w:t>
            </w:r>
          </w:p>
        </w:tc>
      </w:tr>
      <w:tr>
        <w:trPr/>
        <w:tc>
          <w:tcPr>
            <w:tcW w:w="7914" w:type="dxa"/>
            <w:tcBorders/>
            <w:vAlign w:val="center"/>
          </w:tcPr>
          <w:p>
            <w:pPr>
              <w:pStyle w:val="TableContents"/>
              <w:bidi w:val="0"/>
              <w:spacing w:before="0" w:after="283"/>
              <w:rPr/>
            </w:pPr>
            <w:r>
              <w:rPr>
                <w:rStyle w:val="Strong"/>
              </w:rPr>
              <w:t>4.3</w:t>
            </w:r>
            <w:r>
              <w:rPr/>
              <w:t xml:space="preserve"> Der Käufer trägt die Kosten der Bestellung, Rangbeschaffung und Löschung der Finanzierungsgrundpfandrechte. Der Verkäufer bleibt verpflichtet, die Lastenfreistellung nach § 3.1 c) und § 10 sicherzustellen.</w:t>
            </w:r>
          </w:p>
        </w:tc>
        <w:tc>
          <w:tcPr>
            <w:tcW w:w="7620" w:type="dxa"/>
            <w:tcBorders/>
            <w:vAlign w:val="center"/>
          </w:tcPr>
          <w:p>
            <w:pPr>
              <w:pStyle w:val="TableContents"/>
              <w:bidi w:val="0"/>
              <w:spacing w:before="0" w:after="283"/>
              <w:rPr/>
            </w:pPr>
            <w:r>
              <w:rPr>
                <w:rStyle w:val="Strong"/>
              </w:rPr>
              <w:t>4.3</w:t>
            </w:r>
            <w:r>
              <w:rPr/>
              <w:t xml:space="preserve"> The Buyer shall bear the costs of ordering, ranking and deletion of the financing land charges. The Seller remains obliged to ensure the load exemption according to § 3.1 c) and § 10.</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Heading1"/>
              <w:bidi w:val="0"/>
              <w:spacing w:before="240" w:after="283"/>
              <w:ind w:hanging="0" w:start="0" w:end="0"/>
              <w:rPr/>
            </w:pPr>
            <w:bookmarkStart w:id="20" w:name="baupflicht-baubeschreibung-termine"/>
            <w:bookmarkEnd w:id="20"/>
            <w:r>
              <w:rPr/>
              <w:t>§ 5 Baupflicht, Baubeschreibung, Termine</w:t>
            </w:r>
          </w:p>
        </w:tc>
        <w:tc>
          <w:tcPr>
            <w:tcW w:w="7620" w:type="dxa"/>
            <w:tcBorders/>
            <w:vAlign w:val="center"/>
          </w:tcPr>
          <w:p>
            <w:pPr>
              <w:pStyle w:val="Heading1"/>
              <w:bidi w:val="0"/>
              <w:spacing w:before="240" w:after="283"/>
              <w:ind w:hanging="0" w:start="0" w:end="0"/>
              <w:rPr/>
            </w:pPr>
            <w:bookmarkStart w:id="21" w:name="construction-obligation-construction-des"/>
            <w:bookmarkEnd w:id="21"/>
            <w:r>
              <w:rPr/>
              <w:t>§ 5 Construction obligation, construction description, dates</w:t>
            </w:r>
          </w:p>
        </w:tc>
      </w:tr>
      <w:tr>
        <w:trPr/>
        <w:tc>
          <w:tcPr>
            <w:tcW w:w="7914" w:type="dxa"/>
            <w:tcBorders/>
            <w:vAlign w:val="center"/>
          </w:tcPr>
          <w:p>
            <w:pPr>
              <w:pStyle w:val="TableContents"/>
              <w:bidi w:val="0"/>
              <w:spacing w:before="0" w:after="283"/>
              <w:rPr/>
            </w:pPr>
            <w:r>
              <w:rPr>
                <w:rStyle w:val="Strong"/>
              </w:rPr>
              <w:t>5.1</w:t>
            </w:r>
            <w:r>
              <w:rPr/>
              <w:t xml:space="preserve"> Der Verkäufer verpflichtet sich, den Kaufgegenstand entsprechend der mitbeurkundeten Anlage Baubeschreibung (Fassung Mai 2026, Version 3.0), den genehmigten Plänen und den anerkannten Regeln der Technik herzustellen.</w:t>
            </w:r>
          </w:p>
        </w:tc>
        <w:tc>
          <w:tcPr>
            <w:tcW w:w="7620" w:type="dxa"/>
            <w:tcBorders/>
            <w:vAlign w:val="center"/>
          </w:tcPr>
          <w:p>
            <w:pPr>
              <w:pStyle w:val="TableContents"/>
              <w:bidi w:val="0"/>
              <w:spacing w:before="0" w:after="283"/>
              <w:rPr/>
            </w:pPr>
            <w:r>
              <w:rPr>
                <w:rStyle w:val="Strong"/>
              </w:rPr>
              <w:t>5.1</w:t>
            </w:r>
            <w:r>
              <w:rPr/>
              <w:t xml:space="preserve"> The Seller undertakes to produce the Purchased Property in accordance with the co-certified Plant Description (May 2026, Version 3.0), the approved plans and the recognised rules of technology.</w:t>
            </w:r>
          </w:p>
        </w:tc>
      </w:tr>
      <w:tr>
        <w:trPr/>
        <w:tc>
          <w:tcPr>
            <w:tcW w:w="7914" w:type="dxa"/>
            <w:tcBorders/>
            <w:vAlign w:val="center"/>
          </w:tcPr>
          <w:p>
            <w:pPr>
              <w:pStyle w:val="TableContents"/>
              <w:bidi w:val="0"/>
              <w:spacing w:before="0" w:after="283"/>
              <w:rPr/>
            </w:pPr>
            <w:r>
              <w:rPr>
                <w:rStyle w:val="Strong"/>
              </w:rPr>
              <w:t>5.2</w:t>
            </w:r>
            <w:r>
              <w:rPr/>
              <w:t xml:space="preserve"> Planung und Bauüberwachung organisiert der Verkäufer in eigener Verantwortung. Der Käufer erhält die zur Finanzierung, öffentlich-rechtlichen Nachweisführung, Abnahme und späteren Verwaltung erforderlichen Unterlagen nach § 650n BGB; insbesondere werden ihm bzw. der Gemeinschaft die Planungs- und Nachweisunterlagen spätestens mit der Fertigstellung übergeben. Im Übrigen bleiben interne Steuerungsunterlagen dem Verkäufer vorbehalten.</w:t>
            </w:r>
          </w:p>
        </w:tc>
        <w:tc>
          <w:tcPr>
            <w:tcW w:w="7620" w:type="dxa"/>
            <w:tcBorders/>
            <w:vAlign w:val="center"/>
          </w:tcPr>
          <w:p>
            <w:pPr>
              <w:pStyle w:val="TableContents"/>
              <w:bidi w:val="0"/>
              <w:spacing w:before="0" w:after="283"/>
              <w:rPr/>
            </w:pPr>
            <w:r>
              <w:rPr>
                <w:rStyle w:val="Strong"/>
              </w:rPr>
              <w:t>5.2</w:t>
            </w:r>
            <w:r>
              <w:rPr/>
              <w:t xml:space="preserve"> Planning and construction supervision is organised by the Seller under his own responsibility. The Buyer receives the documents required for financing, public proof, acceptance and later administration according to § 650n BGB; in particular, the planning and evidence documents shall be handed over to him or the Community at the latest upon completion. In addition, internal control documents are reserved for the Seller.</w:t>
            </w:r>
          </w:p>
        </w:tc>
      </w:tr>
      <w:tr>
        <w:trPr/>
        <w:tc>
          <w:tcPr>
            <w:tcW w:w="7914" w:type="dxa"/>
            <w:tcBorders/>
            <w:vAlign w:val="center"/>
          </w:tcPr>
          <w:p>
            <w:pPr>
              <w:pStyle w:val="TableContents"/>
              <w:bidi w:val="0"/>
              <w:spacing w:before="0" w:after="283"/>
              <w:rPr/>
            </w:pPr>
            <w:r>
              <w:rPr>
                <w:rStyle w:val="Strong"/>
              </w:rPr>
              <w:t>5.3</w:t>
            </w:r>
            <w:r>
              <w:rPr/>
              <w:t xml:space="preserve"> Soweit die Baubeschreibung Wahlmöglichkeiten vorsieht, erhält der Käufer im Bemusterungszentrum „Marewald Auswahl”, Mundsburger Damm 5, Hamburg, Gelegenheit zur Auswahl, sofern der Baufortschritt es zulässt. Trifft der Käufer trotz Aufforderung und angemessener Frist von mindestens vier Wochen keine Auswahl, bestimmt der Verkäufer die Ausführung aus der Ausstattungslinie „Marewald Komfort C” nach billigem Ermessen unter Berücksichtigung des einheitlichen Erscheinungsbildes.</w:t>
            </w:r>
          </w:p>
        </w:tc>
        <w:tc>
          <w:tcPr>
            <w:tcW w:w="7620" w:type="dxa"/>
            <w:tcBorders/>
            <w:vAlign w:val="center"/>
          </w:tcPr>
          <w:p>
            <w:pPr>
              <w:pStyle w:val="TableContents"/>
              <w:bidi w:val="0"/>
              <w:spacing w:before="0" w:after="283"/>
              <w:rPr/>
            </w:pPr>
            <w:r>
              <w:rPr>
                <w:rStyle w:val="Strong"/>
              </w:rPr>
              <w:t>5.3</w:t>
            </w:r>
            <w:r>
              <w:rPr/>
              <w:t xml:space="preserve"> As far as the description of the building provides for choices, the Buyer will be given the opportunity to choose at the sampling center “Marewald Selection”, Mundsburger Damm 5, Hamburg, if the construction progress permits. If the Buyer does not make a selection despite request and a reasonable period of at least four weeks, the Seller determines the design from the equipment line “Marewald Comfort C” at reasonable discretion, taking into account the uniform appearance.</w:t>
            </w:r>
          </w:p>
        </w:tc>
      </w:tr>
      <w:tr>
        <w:trPr/>
        <w:tc>
          <w:tcPr>
            <w:tcW w:w="7914" w:type="dxa"/>
            <w:tcBorders/>
            <w:vAlign w:val="center"/>
          </w:tcPr>
          <w:p>
            <w:pPr>
              <w:pStyle w:val="TableContents"/>
              <w:bidi w:val="0"/>
              <w:spacing w:before="0" w:after="283"/>
              <w:rPr/>
            </w:pPr>
            <w:r>
              <w:rPr>
                <w:rStyle w:val="Strong"/>
              </w:rPr>
              <w:t>5.4</w:t>
            </w:r>
            <w:r>
              <w:rPr/>
              <w:t xml:space="preserve"> Auf eine von Baubeschreibung, Plänen und Vertrag abweichende Ausführung besteht kein Anspruch. Verkaufsunterlagen und Musterwohnung begründen keine Beschaffenheitsvereinbarung.</w:t>
            </w:r>
          </w:p>
        </w:tc>
        <w:tc>
          <w:tcPr>
            <w:tcW w:w="7620" w:type="dxa"/>
            <w:tcBorders/>
            <w:vAlign w:val="center"/>
          </w:tcPr>
          <w:p>
            <w:pPr>
              <w:pStyle w:val="TableContents"/>
              <w:bidi w:val="0"/>
              <w:spacing w:before="0" w:after="283"/>
              <w:rPr/>
            </w:pPr>
            <w:r>
              <w:rPr>
                <w:rStyle w:val="Strong"/>
              </w:rPr>
              <w:t>5.4</w:t>
            </w:r>
            <w:r>
              <w:rPr/>
              <w:t xml:space="preserve"> Execution deviating from the construction description, plans and contract is not entitled. Sales documents and model dwellings do not constitute a quality agreement.</w:t>
            </w:r>
          </w:p>
        </w:tc>
      </w:tr>
      <w:tr>
        <w:trPr/>
        <w:tc>
          <w:tcPr>
            <w:tcW w:w="7914" w:type="dxa"/>
            <w:tcBorders/>
            <w:vAlign w:val="center"/>
          </w:tcPr>
          <w:p>
            <w:pPr>
              <w:pStyle w:val="TableContents"/>
              <w:bidi w:val="0"/>
              <w:spacing w:before="0" w:after="283"/>
              <w:rPr/>
            </w:pPr>
            <w:r>
              <w:rPr>
                <w:rStyle w:val="Strong"/>
              </w:rPr>
              <w:t>5.5</w:t>
            </w:r>
            <w:r>
              <w:rPr/>
              <w:t xml:space="preserve"> Enthält die Baubeschreibung zu notwendigen Leistungen keine oder unbestimmte Angaben, schuldet der Verkäufer eine Ausführung mittlerer Art und Güte, die der Ausstattungslinie „Marewald Komfort C” entspricht und die anerkannten Regeln der Technik einhält.</w:t>
            </w:r>
          </w:p>
        </w:tc>
        <w:tc>
          <w:tcPr>
            <w:tcW w:w="7620" w:type="dxa"/>
            <w:tcBorders/>
            <w:vAlign w:val="center"/>
          </w:tcPr>
          <w:p>
            <w:pPr>
              <w:pStyle w:val="TableContents"/>
              <w:bidi w:val="0"/>
              <w:spacing w:before="0" w:after="283"/>
              <w:rPr/>
            </w:pPr>
            <w:r>
              <w:rPr>
                <w:rStyle w:val="Strong"/>
              </w:rPr>
              <w:t>5.5</w:t>
            </w:r>
            <w:r>
              <w:rPr/>
              <w:t xml:space="preserve"> If the construction description does not contain any or indefinite information on necessary services, the Seller owes an execution of medium type and quality, which corresponds to the equipment line “Marewald Comfort C” and complies with the recognised rules of technology.</w:t>
            </w:r>
          </w:p>
        </w:tc>
      </w:tr>
      <w:tr>
        <w:trPr/>
        <w:tc>
          <w:tcPr>
            <w:tcW w:w="7914" w:type="dxa"/>
            <w:tcBorders/>
            <w:vAlign w:val="center"/>
          </w:tcPr>
          <w:p>
            <w:pPr>
              <w:pStyle w:val="TableContents"/>
              <w:bidi w:val="0"/>
              <w:spacing w:before="0" w:after="283"/>
              <w:rPr/>
            </w:pPr>
            <w:r>
              <w:rPr>
                <w:rStyle w:val="Strong"/>
              </w:rPr>
              <w:t>5.6</w:t>
            </w:r>
            <w:r>
              <w:rPr/>
              <w:t xml:space="preserve"> Der Verkäufer schuldet die Einhaltung der anerkannten Regeln der Technik </w:t>
            </w:r>
            <w:r>
              <w:rPr>
                <w:rStyle w:val="Strong"/>
              </w:rPr>
              <w:t>im Zeitpunkt der Abnahme</w:t>
            </w:r>
            <w:r>
              <w:rPr/>
              <w:t>. Ändern sich die anerkannten Regeln der Technik zwischen Vertragsschluss und Abnahme, klärt der Verkäufer den Käufer über die Änderung und ihre Folgen auf; etwaige Mehrkosten einer über den Vertragsstand hinausgehenden Ausführung trägt der Käufer nur nach gesonderter Vereinbarung.</w:t>
            </w:r>
          </w:p>
        </w:tc>
        <w:tc>
          <w:tcPr>
            <w:tcW w:w="7620" w:type="dxa"/>
            <w:tcBorders/>
            <w:vAlign w:val="center"/>
          </w:tcPr>
          <w:p>
            <w:pPr>
              <w:pStyle w:val="TableContents"/>
              <w:bidi w:val="0"/>
              <w:spacing w:before="0" w:after="283"/>
              <w:rPr/>
            </w:pPr>
            <w:r>
              <w:rPr>
                <w:rStyle w:val="Strong"/>
              </w:rPr>
              <w:t>5.6</w:t>
            </w:r>
            <w:r>
              <w:rPr/>
              <w:t xml:space="preserve"> The Seller owes compliance with the recognised rules of technology at the time of acceptance. If the accepted rules of technology change between conclusion of the contract and acceptance, the Seller informs the Buyer about the change and its consequences; Any additional costs of execution going beyond the contractual status shall be borne by the Buyer only by separate agreement.</w:t>
            </w:r>
          </w:p>
        </w:tc>
      </w:tr>
      <w:tr>
        <w:trPr/>
        <w:tc>
          <w:tcPr>
            <w:tcW w:w="7914" w:type="dxa"/>
            <w:tcBorders/>
            <w:vAlign w:val="center"/>
          </w:tcPr>
          <w:p>
            <w:pPr>
              <w:pStyle w:val="TableContents"/>
              <w:bidi w:val="0"/>
              <w:spacing w:before="0" w:after="283"/>
              <w:rPr/>
            </w:pPr>
            <w:r>
              <w:rPr>
                <w:rStyle w:val="Strong"/>
              </w:rPr>
              <w:t>5.7</w:t>
            </w:r>
            <w:r>
              <w:rPr/>
              <w:t xml:space="preserve"> Änderungen der Planung und Ausführung sind nur zulässig, wenn ein konkreter triftiger Grund vorliegt — behördliche Auflagen, Gesetzesänderungen, statische oder bauphysikalische Notwendigkeit oder nachgewiesene Lieferunfähigkeit eines vorgesehenen Produkts — und die geänderte Ausführung gleichwertig ist sowie Wert, Nutzbarkeit, Zuschnitt und Gestaltungseindruck des Kaufgegenstandes nicht nachteilig verändert. Der Verkäufer teilt Änderungen in Textform mit Begründung mit. Verteuert sich die Herstellung ausschließlich infolge einer nach Beurkundung und frühestens vier Monate nach Vertragsschluss in Kraft getretenen, öffentlich-rechtlich zwingenden Anforderung, kann der Verkäufer nur die tatsächlichen, nachgewiesenen und saldierten Mehrkosten dieses Gewerks ohne Wagnis-, Gewinn- oder Konzernumlage weitergeben; Kostensenkungen desselben Gewerks sind gegenzurechnen. Der Verkäufer legt Anlass, Berechnung und Nachweise in Textform offen. Übersteigen die Mehrkosten insgesamt 3 % des Gesamtkaufpreises, kann der Käufer die Mehrkosten tragen oder eine Vertragsaufhebung gegen Rückgewähr bereits geleisteter Zahlungen verlangen; bis zur Rückgewähr oder Sicherheitsleistung bleibt die Auflassungsvormerkung unberührt. Ein darüber hinausgehendes Preisanpassungsrecht besteht nicht.</w:t>
            </w:r>
          </w:p>
        </w:tc>
        <w:tc>
          <w:tcPr>
            <w:tcW w:w="7620" w:type="dxa"/>
            <w:tcBorders/>
            <w:vAlign w:val="center"/>
          </w:tcPr>
          <w:p>
            <w:pPr>
              <w:pStyle w:val="TableContents"/>
              <w:bidi w:val="0"/>
              <w:spacing w:before="0" w:after="283"/>
              <w:rPr/>
            </w:pPr>
            <w:r>
              <w:rPr>
                <w:rStyle w:val="Strong"/>
              </w:rPr>
              <w:t>5.7</w:t>
            </w:r>
            <w:r>
              <w:rPr/>
              <w:t xml:space="preserve"> Changes to the design and execution are only permitted if there is a specific valid reason – official requirements, changes to the law, static or building physics necessity or proven inability to deliver a intended product – and the modified execution is equivalent and does not adversely affect the value, usability, cutting and design impression of the Purchased Property. The Seller shall notify changes in text form with justification. If production becomes more expensive solely as a result of a mandatory requirement under public law that has come into force after certification and at least four months after the conclusion of the contract, the Seller may pass on only the actual, proven and offset additional costs of this trade without a risk, profit or group contribution; Cost reductions of the same trade must be offset. The Seller discloses reason, calculation and proof in text form. If the total additional costs exceed 3 % of the total Purchase Price, the Buyer may bear the additional costs or demand the cancellation of the contract against a refund of payments already made; Until such time as the return warranty or security is lodged, the advance notice shall remain unaffected. There is no price adjustment right going beyond that.</w:t>
            </w:r>
          </w:p>
        </w:tc>
      </w:tr>
      <w:tr>
        <w:trPr/>
        <w:tc>
          <w:tcPr>
            <w:tcW w:w="7914" w:type="dxa"/>
            <w:tcBorders/>
            <w:vAlign w:val="center"/>
          </w:tcPr>
          <w:p>
            <w:pPr>
              <w:pStyle w:val="TableContents"/>
              <w:bidi w:val="0"/>
              <w:spacing w:before="0" w:after="283"/>
              <w:rPr/>
            </w:pPr>
            <w:r>
              <w:rPr>
                <w:rStyle w:val="Strong"/>
              </w:rPr>
              <w:t>5.8</w:t>
            </w:r>
            <w:r>
              <w:rPr/>
              <w:t xml:space="preserve"> Termine</w:t>
            </w:r>
          </w:p>
        </w:tc>
        <w:tc>
          <w:tcPr>
            <w:tcW w:w="7620" w:type="dxa"/>
            <w:tcBorders/>
            <w:vAlign w:val="center"/>
          </w:tcPr>
          <w:p>
            <w:pPr>
              <w:pStyle w:val="TableContents"/>
              <w:bidi w:val="0"/>
              <w:spacing w:before="0" w:after="283"/>
              <w:rPr/>
            </w:pPr>
            <w:r>
              <w:rPr>
                <w:rStyle w:val="Strong"/>
              </w:rPr>
              <w:t>5.8</w:t>
            </w:r>
            <w:r>
              <w:rPr/>
              <w:t xml:space="preserve"> Dates</w:t>
            </w:r>
          </w:p>
        </w:tc>
      </w:tr>
      <w:tr>
        <w:trPr/>
        <w:tc>
          <w:tcPr>
            <w:tcW w:w="7914" w:type="dxa"/>
            <w:tcBorders/>
            <w:vAlign w:val="center"/>
          </w:tcPr>
          <w:p>
            <w:pPr>
              <w:pStyle w:val="TableContents"/>
              <w:bidi w:val="0"/>
              <w:spacing w:before="0" w:after="283"/>
              <w:rPr/>
            </w:pPr>
            <w:r>
              <w:rPr/>
              <w:t xml:space="preserve">5.8.1 Der Verkäufer stellt den Kaufgegenstand </w:t>
            </w:r>
            <w:r>
              <w:rPr>
                <w:rStyle w:val="Strong"/>
              </w:rPr>
              <w:t>verbindlich bis zum 31. März 2028</w:t>
            </w:r>
            <w:r>
              <w:rPr/>
              <w:t xml:space="preserve"> bezugsfertig her. Gerät der Verkäufer mit diesem Termin in Verzug, gelten die §§ 286 ff. BGB; einer gesonderten Mahnung bedarf es nicht (§ 286 Abs. 2 Nr. 1 BGB).</w:t>
            </w:r>
          </w:p>
        </w:tc>
        <w:tc>
          <w:tcPr>
            <w:tcW w:w="7620" w:type="dxa"/>
            <w:tcBorders/>
            <w:vAlign w:val="center"/>
          </w:tcPr>
          <w:p>
            <w:pPr>
              <w:pStyle w:val="TableContents"/>
              <w:bidi w:val="0"/>
              <w:spacing w:before="0" w:after="283"/>
              <w:rPr/>
            </w:pPr>
            <w:r>
              <w:rPr/>
              <w:t>5.8.1 The Seller makes the Purchased Property binding until 31. March 2028 ready for occupancy. If the Seller is in default with this date, §§ 286 ff apply. BGB; a separate reminder is not required (§ 286 para 2 no. 1 BGB).</w:t>
            </w:r>
          </w:p>
        </w:tc>
      </w:tr>
      <w:tr>
        <w:trPr/>
        <w:tc>
          <w:tcPr>
            <w:tcW w:w="7914" w:type="dxa"/>
            <w:tcBorders/>
            <w:vAlign w:val="center"/>
          </w:tcPr>
          <w:p>
            <w:pPr>
              <w:pStyle w:val="TableContents"/>
              <w:bidi w:val="0"/>
              <w:spacing w:before="0" w:after="283"/>
              <w:rPr/>
            </w:pPr>
            <w:r>
              <w:rPr/>
              <w:t>5.8.2 Die Frist verlängert sich nur um die Dauer einer tatsächlichen, vom Verkäufer nicht zu vertretenden Baubehinderung (insbesondere höhere Gewalt, Streik, hoheitliche Anordnungen), wenn der Verkäufer dem Käufer den Hinderungsgrund, dessen Beginn und Ende sowie die konkrete Auswirkung auf den Bauablauf in Textform mitteilt. Eine pauschale Berufung auf Witterung, Lieferketten oder Personalsituation genügt nicht.</w:t>
            </w:r>
          </w:p>
        </w:tc>
        <w:tc>
          <w:tcPr>
            <w:tcW w:w="7620" w:type="dxa"/>
            <w:tcBorders/>
            <w:vAlign w:val="center"/>
          </w:tcPr>
          <w:p>
            <w:pPr>
              <w:pStyle w:val="TableContents"/>
              <w:bidi w:val="0"/>
              <w:spacing w:before="0" w:after="283"/>
              <w:rPr/>
            </w:pPr>
            <w:r>
              <w:rPr/>
              <w:t>5.8.2 The period is only extended by the duration of an actual construction impediment not attributable to the Seller (in particular force majeure, strike, governmental orders) if the Seller informs the Buyer of the obstacle, its beginning and end as well as the concrete effect on the construction process in text form. A blanket appeal to weather, supply chains or personnel situation is not enough.</w:t>
            </w:r>
          </w:p>
        </w:tc>
      </w:tr>
      <w:tr>
        <w:trPr/>
        <w:tc>
          <w:tcPr>
            <w:tcW w:w="7914" w:type="dxa"/>
            <w:tcBorders/>
            <w:vAlign w:val="center"/>
          </w:tcPr>
          <w:p>
            <w:pPr>
              <w:pStyle w:val="TableContents"/>
              <w:bidi w:val="0"/>
              <w:spacing w:before="0" w:after="283"/>
              <w:rPr/>
            </w:pPr>
            <w:r>
              <w:rPr/>
              <w:t>5.8.3 Bei vom Verkäufer zu vertretender Überschreitung des Termins schuldet er eine Vertragsstrafe von 0,2 % des Gesamtkaufpreises je vollendeter Woche, höchstens 5 % des Gesamtkaufpreises. Die Vertragsstrafe wird auf einen weitergehenden Verzugsschaden angerechnet. Die gesetzliche Haftung für Schäden aus der Verletzung des Lebens, des Körpers oder der Gesundheit sowie für Vorsatz und grobe Fahrlässigkeit bleibt unberührt.</w:t>
            </w:r>
          </w:p>
        </w:tc>
        <w:tc>
          <w:tcPr>
            <w:tcW w:w="7620" w:type="dxa"/>
            <w:tcBorders/>
            <w:vAlign w:val="center"/>
          </w:tcPr>
          <w:p>
            <w:pPr>
              <w:pStyle w:val="TableContents"/>
              <w:bidi w:val="0"/>
              <w:spacing w:before="0" w:after="283"/>
              <w:rPr/>
            </w:pPr>
            <w:r>
              <w:rPr/>
              <w:t>5.8.3 If the Seller is responsible for exceeding the date, he owes a penalty of 0.2% of the total Purchase Price per completed week, up to a maximum of 5% of the total Purchase Price. The contractual penalty shall be charged to a further default damage. Legal liability for damages arising from injury to life, body or health as well as for intent and gross negligence remains unaffected.</w:t>
            </w:r>
          </w:p>
        </w:tc>
      </w:tr>
      <w:tr>
        <w:trPr/>
        <w:tc>
          <w:tcPr>
            <w:tcW w:w="7914" w:type="dxa"/>
            <w:tcBorders/>
            <w:vAlign w:val="center"/>
          </w:tcPr>
          <w:p>
            <w:pPr>
              <w:pStyle w:val="TableContents"/>
              <w:bidi w:val="0"/>
              <w:spacing w:before="0" w:after="283"/>
              <w:rPr/>
            </w:pPr>
            <w:r>
              <w:rPr>
                <w:rStyle w:val="Strong"/>
              </w:rPr>
              <w:t>5.9</w:t>
            </w:r>
            <w:r>
              <w:rPr/>
              <w:t xml:space="preserve"> Wohnfläche. Die Wohnfläche beträgt ca. 84,6 m² (Berechnung nach Wohnflächenverordnung). Weicht die tatsächliche Wohnfläche um mehr als 3 % nach unten ab, wird der Kaufpreis im Verhältnis der Mehrabweichung angepasst; weitergehende gesetzliche Rechte bleiben unberührt.</w:t>
            </w:r>
          </w:p>
        </w:tc>
        <w:tc>
          <w:tcPr>
            <w:tcW w:w="7620" w:type="dxa"/>
            <w:tcBorders/>
            <w:vAlign w:val="center"/>
          </w:tcPr>
          <w:p>
            <w:pPr>
              <w:pStyle w:val="TableContents"/>
              <w:bidi w:val="0"/>
              <w:spacing w:before="0" w:after="283"/>
              <w:rPr/>
            </w:pPr>
            <w:r>
              <w:rPr>
                <w:rStyle w:val="Strong"/>
              </w:rPr>
              <w:t>5.9</w:t>
            </w:r>
            <w:r>
              <w:rPr/>
              <w:t xml:space="preserve"> Living space. The living space is about 84.6 m2 (calculation according to the living space ordinance). If the actual living space deviates by more than 3 %, the Purchase Price shall be adjusted in proportion to the additional deviation; Further legal rights remain unaffected.</w:t>
            </w:r>
          </w:p>
        </w:tc>
      </w:tr>
      <w:tr>
        <w:trPr/>
        <w:tc>
          <w:tcPr>
            <w:tcW w:w="7914" w:type="dxa"/>
            <w:tcBorders/>
            <w:vAlign w:val="center"/>
          </w:tcPr>
          <w:p>
            <w:pPr>
              <w:pStyle w:val="TableContents"/>
              <w:bidi w:val="0"/>
              <w:spacing w:before="0" w:after="283"/>
              <w:rPr/>
            </w:pPr>
            <w:r>
              <w:rPr>
                <w:rStyle w:val="Strong"/>
              </w:rPr>
              <w:t>5.10</w:t>
            </w:r>
            <w:r>
              <w:rPr/>
              <w:t xml:space="preserve"> Energiestandard. Haus C wird nach den Anforderungen des Gebäudeenergiegesetzes (GEG) in der zum Bauantrag geltenden Fassung errichtet und an die Quartiers-Wärmeversorgung (Wärmepumpe mit Spitzenlastkessel) angeschlossen. Eine bestimmte KfW-Effizienzhausklasse oder Förderfähigkeit wird nicht geschuldet, soweit nicht in der Baubeschreibung mit Kennwert vereinbart.</w:t>
            </w:r>
          </w:p>
        </w:tc>
        <w:tc>
          <w:tcPr>
            <w:tcW w:w="7620" w:type="dxa"/>
            <w:tcBorders/>
            <w:vAlign w:val="center"/>
          </w:tcPr>
          <w:p>
            <w:pPr>
              <w:pStyle w:val="TableContents"/>
              <w:bidi w:val="0"/>
              <w:spacing w:before="0" w:after="283"/>
              <w:rPr/>
            </w:pPr>
            <w:r>
              <w:rPr>
                <w:rStyle w:val="Strong"/>
              </w:rPr>
              <w:t>5.10</w:t>
            </w:r>
            <w:r>
              <w:rPr/>
              <w:t xml:space="preserve"> energy standard. House C is built in accordance with the requirements of the Building Energy Act (GEG) in the version applicable to the building application and connected to the district heat supply (heat pump with peak load boiler). A specific KfW efficiency house class or eligibility is not owed, unless agreed in the Building Specification with characteristic value.</w:t>
            </w:r>
          </w:p>
        </w:tc>
      </w:tr>
      <w:tr>
        <w:trPr/>
        <w:tc>
          <w:tcPr>
            <w:tcW w:w="7914" w:type="dxa"/>
            <w:tcBorders/>
            <w:vAlign w:val="center"/>
          </w:tcPr>
          <w:p>
            <w:pPr>
              <w:pStyle w:val="TableContents"/>
              <w:bidi w:val="0"/>
              <w:spacing w:before="0" w:after="283"/>
              <w:rPr/>
            </w:pPr>
            <w:r>
              <w:rPr>
                <w:rStyle w:val="Strong"/>
              </w:rPr>
              <w:t>5.11</w:t>
            </w:r>
            <w:r>
              <w:rPr/>
              <w:t xml:space="preserve"> Baugrund und Baugrube liegen im Verantwortungsbereich des Verkäufers als Bauherr. Der geotechnische Bericht „ME-2026/07” der NordGrund GmbH vom 03.03.2026 ist dem Käufer im Datenraum zugänglich. Quartiertypische Einwirkungen aus der weiteren Bautätigkeit (Lärm, Staub, temporäre Wegeführung) sind hinzunehmen, soweit sie die Nutzbarkeit nicht dauerhaft aufheben; sie lassen die Herstellungspflicht und die Mängelrechte im Übrigen unberührt.</w:t>
            </w:r>
          </w:p>
        </w:tc>
        <w:tc>
          <w:tcPr>
            <w:tcW w:w="7620" w:type="dxa"/>
            <w:tcBorders/>
            <w:vAlign w:val="center"/>
          </w:tcPr>
          <w:p>
            <w:pPr>
              <w:pStyle w:val="TableContents"/>
              <w:bidi w:val="0"/>
              <w:spacing w:before="0" w:after="283"/>
              <w:rPr/>
            </w:pPr>
            <w:r>
              <w:rPr>
                <w:rStyle w:val="Strong"/>
              </w:rPr>
              <w:t>5.11</w:t>
            </w:r>
            <w:r>
              <w:rPr/>
              <w:t xml:space="preserve"> Construction ground and excavation pit are the responsibility of the Seller as builder. The geotechnical report “ME-2026/07” of NordGrund GmbH from 03.03.2026 is accessible to the Buyer in the data room. Typical effects on the neighbourhood resulting from further construction activities (noise, dust, temporary routing) shall be accepted if they do not permanently eliminate the usability; they are otherwise without prejudice to the production obligation and the defect rights.</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Heading1"/>
              <w:bidi w:val="0"/>
              <w:spacing w:before="240" w:after="283"/>
              <w:ind w:hanging="0" w:start="0" w:end="0"/>
              <w:rPr/>
            </w:pPr>
            <w:bookmarkStart w:id="22" w:name="besitzübergang-abnahme"/>
            <w:bookmarkEnd w:id="22"/>
            <w:r>
              <w:rPr/>
              <w:t>§ 6 Besitzübergang, Abnahme</w:t>
            </w:r>
          </w:p>
        </w:tc>
        <w:tc>
          <w:tcPr>
            <w:tcW w:w="7620" w:type="dxa"/>
            <w:tcBorders/>
            <w:vAlign w:val="center"/>
          </w:tcPr>
          <w:p>
            <w:pPr>
              <w:pStyle w:val="Heading1"/>
              <w:bidi w:val="0"/>
              <w:spacing w:before="240" w:after="283"/>
              <w:ind w:hanging="0" w:start="0" w:end="0"/>
              <w:rPr/>
            </w:pPr>
            <w:bookmarkStart w:id="23" w:name="transfer-of-ownership-acceptance"/>
            <w:bookmarkEnd w:id="23"/>
            <w:r>
              <w:rPr/>
              <w:t>§ 6 Transfer of ownership, acceptance</w:t>
            </w:r>
          </w:p>
        </w:tc>
      </w:tr>
      <w:tr>
        <w:trPr/>
        <w:tc>
          <w:tcPr>
            <w:tcW w:w="7914" w:type="dxa"/>
            <w:tcBorders/>
            <w:vAlign w:val="center"/>
          </w:tcPr>
          <w:p>
            <w:pPr>
              <w:pStyle w:val="TableContents"/>
              <w:bidi w:val="0"/>
              <w:spacing w:before="0" w:after="283"/>
              <w:rPr/>
            </w:pPr>
            <w:r>
              <w:rPr>
                <w:rStyle w:val="Strong"/>
              </w:rPr>
              <w:t>6.1</w:t>
            </w:r>
            <w:r>
              <w:rPr/>
              <w:t xml:space="preserve"> Besitz, Nutzen, Lasten und Gefahr gehen mit Übergabe der Sondereigentumseinheit über. Die Übergabe erfolgt Zug um Zug gegen Zahlung der bis dahin fälligen Raten; das gesetzliche Zurückbehaltungsrecht des Käufers wegen festgestellter Mängel bleibt unberührt.</w:t>
            </w:r>
          </w:p>
        </w:tc>
        <w:tc>
          <w:tcPr>
            <w:tcW w:w="7620" w:type="dxa"/>
            <w:tcBorders/>
            <w:vAlign w:val="center"/>
          </w:tcPr>
          <w:p>
            <w:pPr>
              <w:pStyle w:val="TableContents"/>
              <w:bidi w:val="0"/>
              <w:spacing w:before="0" w:after="283"/>
              <w:rPr/>
            </w:pPr>
            <w:r>
              <w:rPr>
                <w:rStyle w:val="Strong"/>
              </w:rPr>
              <w:t>6.1</w:t>
            </w:r>
            <w:r>
              <w:rPr/>
              <w:t xml:space="preserve"> Possession, utility, burdens and danger pass with the transfer of the special ownership unit. The transfer shall be made in turn against payment of the instalments due until then; the legal right of retention of the Buyer due to detected defects remains unaffected.</w:t>
            </w:r>
          </w:p>
        </w:tc>
      </w:tr>
      <w:tr>
        <w:trPr/>
        <w:tc>
          <w:tcPr>
            <w:tcW w:w="7914" w:type="dxa"/>
            <w:tcBorders/>
            <w:vAlign w:val="center"/>
          </w:tcPr>
          <w:p>
            <w:pPr>
              <w:pStyle w:val="TableContents"/>
              <w:bidi w:val="0"/>
              <w:spacing w:before="0" w:after="283"/>
              <w:rPr/>
            </w:pPr>
            <w:r>
              <w:rPr>
                <w:rStyle w:val="Strong"/>
              </w:rPr>
              <w:t>6.2</w:t>
            </w:r>
            <w:r>
              <w:rPr/>
              <w:t xml:space="preserve"> Abnahme der Sondereigentumseinheit. Der Verkäufer zeigt die bezugsfertige Herstellung an und lädt zu einer gemeinsamen Begehung. Über die Abnahme wird ein Protokoll mit Mängeln und Restarbeiten erstellt; der Käufer kann eine Person seines Vertrauens hinzuziehen. Erscheint der Käufer nach Aufforderung und Ablauf einer angemessenen Frist ohne Angabe wesentlicher Mängel nicht, kann die Abnahme nach § 640 Abs. 2 BGB als erfolgt gelten; hierauf und auf die Folgen ist der Käufer als Verbraucher in der Aufforderung in Textform hinzuweisen.</w:t>
            </w:r>
          </w:p>
        </w:tc>
        <w:tc>
          <w:tcPr>
            <w:tcW w:w="7620" w:type="dxa"/>
            <w:tcBorders/>
            <w:vAlign w:val="center"/>
          </w:tcPr>
          <w:p>
            <w:pPr>
              <w:pStyle w:val="TableContents"/>
              <w:bidi w:val="0"/>
              <w:spacing w:before="0" w:after="283"/>
              <w:rPr/>
            </w:pPr>
            <w:r>
              <w:rPr>
                <w:rStyle w:val="Strong"/>
              </w:rPr>
              <w:t>6.2</w:t>
            </w:r>
            <w:r>
              <w:rPr/>
              <w:t xml:space="preserve"> Acceptance of the special ownership unit. The Seller shows the readiness for occupancy and invites to a joint walk. a record of the acceptance is drawn up with defects and remaining work; the Buyer may involve a person of his trust. If the Buyer does not appear after requesting and expiry of a reasonable period without specifying essential defects, the acceptance according to § 640 Abs. 2 BGB shall be deemed to have taken place; This and the consequences must be indicated to the Buyer as consumer in the invitation in text form.</w:t>
            </w:r>
          </w:p>
        </w:tc>
      </w:tr>
      <w:tr>
        <w:trPr/>
        <w:tc>
          <w:tcPr>
            <w:tcW w:w="7914" w:type="dxa"/>
            <w:tcBorders/>
            <w:vAlign w:val="center"/>
          </w:tcPr>
          <w:p>
            <w:pPr>
              <w:pStyle w:val="TableContents"/>
              <w:bidi w:val="0"/>
              <w:spacing w:before="0" w:after="283"/>
              <w:rPr/>
            </w:pPr>
            <w:r>
              <w:rPr>
                <w:rStyle w:val="Strong"/>
              </w:rPr>
              <w:t>6.3</w:t>
            </w:r>
            <w:r>
              <w:rPr/>
              <w:t xml:space="preserve"> Abnahme des Gemeinschaftseigentums. Jeder Erwerber bleibt berechtigt, das Gemeinschaftseigentum auf seine Abnahmereife selbst oder durch eine Person seines Vertrauens zu prüfen und die Abnahme persönlich zu erklären oder zu verweigern. Der Verkäufer bietet zur Koordination einen gemeinsamen Abnahmetermin unter Hinzuziehung eines öffentlich bestellten und vereidigten Sachverständigen an; dessen Feststellungen sind ein Vorschlag und binden den einzelnen Erwerber nicht. Eine Übertragung der Abnahme auf den Verkäufer, eine ihm nahestehende Person, den Erstverwalter oder einen vom Verkäufer benannten Dritten mit bindender Wirkung für den Erwerber findet nicht statt; eine Abnahmefiktion durch bloßen Zeitablauf oder durch Erklärung eines Dritten ist ausgeschlossen.</w:t>
            </w:r>
          </w:p>
        </w:tc>
        <w:tc>
          <w:tcPr>
            <w:tcW w:w="7620" w:type="dxa"/>
            <w:tcBorders/>
            <w:vAlign w:val="center"/>
          </w:tcPr>
          <w:p>
            <w:pPr>
              <w:pStyle w:val="TableContents"/>
              <w:bidi w:val="0"/>
              <w:spacing w:before="0" w:after="283"/>
              <w:rPr/>
            </w:pPr>
            <w:r>
              <w:rPr>
                <w:rStyle w:val="Strong"/>
              </w:rPr>
              <w:t>6.3</w:t>
            </w:r>
            <w:r>
              <w:rPr/>
              <w:t xml:space="preserve"> Acquisition of community property. Each acquirer remains entitled to examine the joint property for its acceptance maturity itself or by a person of his trust and to declare or refuse the acceptance personally. The Seller shall offer a joint acceptance date for coordination, involving a publicly appointed and sworn expert; its findings are a proposal and do not bind the individual acquirer. No transfer of acceptance to the Seller, a related party, the first manager or a third party appointed by the Seller with binding effect on the acquirer shall take place; an acceptance fiction by mere passage of time or by declaration of a third party is excluded.</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Heading1"/>
              <w:bidi w:val="0"/>
              <w:spacing w:before="240" w:after="283"/>
              <w:ind w:hanging="0" w:start="0" w:end="0"/>
              <w:rPr/>
            </w:pPr>
            <w:bookmarkStart w:id="24" w:name="erschließungs--und-anschlusskosten"/>
            <w:bookmarkEnd w:id="24"/>
            <w:r>
              <w:rPr/>
              <w:t>§ 7 Erschließungs- und Anschlusskosten</w:t>
            </w:r>
          </w:p>
        </w:tc>
        <w:tc>
          <w:tcPr>
            <w:tcW w:w="7620" w:type="dxa"/>
            <w:tcBorders/>
            <w:vAlign w:val="center"/>
          </w:tcPr>
          <w:p>
            <w:pPr>
              <w:pStyle w:val="Heading1"/>
              <w:bidi w:val="0"/>
              <w:spacing w:before="240" w:after="283"/>
              <w:ind w:hanging="0" w:start="0" w:end="0"/>
              <w:rPr/>
            </w:pPr>
            <w:bookmarkStart w:id="25" w:name="ground-exploitation-and-connection-costs"/>
            <w:bookmarkEnd w:id="25"/>
            <w:r>
              <w:rPr/>
              <w:t>§ 7 Ground exploitation and connection costs</w:t>
            </w:r>
          </w:p>
        </w:tc>
      </w:tr>
      <w:tr>
        <w:trPr/>
        <w:tc>
          <w:tcPr>
            <w:tcW w:w="7914" w:type="dxa"/>
            <w:tcBorders/>
            <w:vAlign w:val="center"/>
          </w:tcPr>
          <w:p>
            <w:pPr>
              <w:pStyle w:val="TableContents"/>
              <w:bidi w:val="0"/>
              <w:spacing w:before="0" w:after="283"/>
              <w:rPr/>
            </w:pPr>
            <w:r>
              <w:rPr>
                <w:rStyle w:val="Strong"/>
              </w:rPr>
              <w:t>7.1</w:t>
            </w:r>
            <w:r>
              <w:rPr/>
              <w:t xml:space="preserve"> Die Kosten der erstmaligen Erschließung und der Anschlüsse an Ver- und Entsorgungsanlagen trägt der Käufer anteilig nach seinem Miteigentumsanteil, soweit sie nicht bereits im Kaufpreis enthalten sind.</w:t>
            </w:r>
          </w:p>
        </w:tc>
        <w:tc>
          <w:tcPr>
            <w:tcW w:w="7620" w:type="dxa"/>
            <w:tcBorders/>
            <w:vAlign w:val="center"/>
          </w:tcPr>
          <w:p>
            <w:pPr>
              <w:pStyle w:val="TableContents"/>
              <w:bidi w:val="0"/>
              <w:spacing w:before="0" w:after="283"/>
              <w:rPr/>
            </w:pPr>
            <w:r>
              <w:rPr>
                <w:rStyle w:val="Strong"/>
              </w:rPr>
              <w:t>7.1</w:t>
            </w:r>
            <w:r>
              <w:rPr/>
              <w:t xml:space="preserve"> The costs of the initial development and connections to supply and disposal plants shall be borne by the Buyer in proportion to his co-ownership, unless they are already included in the Purchase Price.</w:t>
            </w:r>
          </w:p>
        </w:tc>
      </w:tr>
      <w:tr>
        <w:trPr/>
        <w:tc>
          <w:tcPr>
            <w:tcW w:w="7914" w:type="dxa"/>
            <w:tcBorders/>
            <w:vAlign w:val="center"/>
          </w:tcPr>
          <w:p>
            <w:pPr>
              <w:pStyle w:val="TableContents"/>
              <w:bidi w:val="0"/>
              <w:spacing w:before="0" w:after="283"/>
              <w:rPr/>
            </w:pPr>
            <w:r>
              <w:rPr>
                <w:rStyle w:val="Strong"/>
              </w:rPr>
              <w:t>7.2</w:t>
            </w:r>
            <w:r>
              <w:rPr/>
              <w:t xml:space="preserve"> Der Verkäufer schätzt die auf den Käufer entfallenden Erschließungs- und Anschlusskosten auf voraussichtlich 9.000,00 EUR bis 14.000,00 EUR. Die Schätzung beruht auf den derzeit bekannten Bescheiden und Satzungen; maßgeblich ist die spätere behördliche Abrechnung.</w:t>
            </w:r>
          </w:p>
        </w:tc>
        <w:tc>
          <w:tcPr>
            <w:tcW w:w="7620" w:type="dxa"/>
            <w:tcBorders/>
            <w:vAlign w:val="center"/>
          </w:tcPr>
          <w:p>
            <w:pPr>
              <w:pStyle w:val="TableContents"/>
              <w:bidi w:val="0"/>
              <w:spacing w:before="0" w:after="283"/>
              <w:rPr/>
            </w:pPr>
            <w:r>
              <w:rPr>
                <w:rStyle w:val="Strong"/>
              </w:rPr>
              <w:t>7.2</w:t>
            </w:r>
            <w:r>
              <w:rPr/>
              <w:t xml:space="preserve"> The Seller estimates the development and connection costs attributable to the Buyer at an estimated EUR 9,000 to EUR 14,000.00. The estimate is based on the currently known decisions and statutes; The decisive factor is the later administrative accounting.</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Heading1"/>
              <w:bidi w:val="0"/>
              <w:spacing w:before="240" w:after="283"/>
              <w:ind w:hanging="0" w:start="0" w:end="0"/>
              <w:rPr/>
            </w:pPr>
            <w:bookmarkStart w:id="26" w:name="zutritt-zur-baustelle-eigene-sachverstän"/>
            <w:bookmarkEnd w:id="26"/>
            <w:r>
              <w:rPr/>
              <w:t>§ 8 Zutritt zur Baustelle, eigene Sachverständige</w:t>
            </w:r>
          </w:p>
        </w:tc>
        <w:tc>
          <w:tcPr>
            <w:tcW w:w="7620" w:type="dxa"/>
            <w:tcBorders/>
            <w:vAlign w:val="center"/>
          </w:tcPr>
          <w:p>
            <w:pPr>
              <w:pStyle w:val="Heading1"/>
              <w:bidi w:val="0"/>
              <w:spacing w:before="240" w:after="283"/>
              <w:ind w:hanging="0" w:start="0" w:end="0"/>
              <w:rPr/>
            </w:pPr>
            <w:bookmarkStart w:id="27" w:name="access-to-the-construction-site-own-expe"/>
            <w:bookmarkEnd w:id="27"/>
            <w:r>
              <w:rPr/>
              <w:t>§ 8 Access to the construction site, own experts</w:t>
            </w:r>
          </w:p>
        </w:tc>
      </w:tr>
      <w:tr>
        <w:trPr/>
        <w:tc>
          <w:tcPr>
            <w:tcW w:w="7914" w:type="dxa"/>
            <w:tcBorders/>
            <w:vAlign w:val="center"/>
          </w:tcPr>
          <w:p>
            <w:pPr>
              <w:pStyle w:val="TableContents"/>
              <w:bidi w:val="0"/>
              <w:spacing w:before="0" w:after="283"/>
              <w:rPr/>
            </w:pPr>
            <w:r>
              <w:rPr>
                <w:rStyle w:val="Strong"/>
              </w:rPr>
              <w:t>8.1</w:t>
            </w:r>
            <w:r>
              <w:rPr/>
              <w:t xml:space="preserve"> Der Käufer darf die Baustelle aus Gründen der Verkehrssicherheit nur nach Anmeldung und in Begleitung betreten. Der Verkäufer ermöglicht dem Käufer Besichtigungen jedenfalls zu den für die Ratenfälligkeit maßgeblichen Bautenständen (Rohbau, Fenstereinbau, Estrich, Bezugsfertigkeit) sowie zur Abnahme.</w:t>
            </w:r>
          </w:p>
        </w:tc>
        <w:tc>
          <w:tcPr>
            <w:tcW w:w="7620" w:type="dxa"/>
            <w:tcBorders/>
            <w:vAlign w:val="center"/>
          </w:tcPr>
          <w:p>
            <w:pPr>
              <w:pStyle w:val="TableContents"/>
              <w:bidi w:val="0"/>
              <w:spacing w:before="0" w:after="283"/>
              <w:rPr/>
            </w:pPr>
            <w:r>
              <w:rPr>
                <w:rStyle w:val="Strong"/>
              </w:rPr>
              <w:t>8.1</w:t>
            </w:r>
            <w:r>
              <w:rPr/>
              <w:t xml:space="preserve"> The Buyer may enter the construction site for reasons of traffic safety only after registration and accompanied. The Seller allows the Buyer in any case visits to the building stands relevant for the installment (crude construction, window installation, screed, reference skill) as well as acceptance.</w:t>
            </w:r>
          </w:p>
        </w:tc>
      </w:tr>
      <w:tr>
        <w:trPr/>
        <w:tc>
          <w:tcPr>
            <w:tcW w:w="7914" w:type="dxa"/>
            <w:tcBorders/>
            <w:vAlign w:val="center"/>
          </w:tcPr>
          <w:p>
            <w:pPr>
              <w:pStyle w:val="TableContents"/>
              <w:bidi w:val="0"/>
              <w:spacing w:before="0" w:after="283"/>
              <w:rPr/>
            </w:pPr>
            <w:r>
              <w:rPr>
                <w:rStyle w:val="Strong"/>
              </w:rPr>
              <w:t>8.2</w:t>
            </w:r>
            <w:r>
              <w:rPr/>
              <w:t xml:space="preserve"> Der Käufer darf zu diesen Terminen einen eigenen Sachverständigen oder Bauingenieur hinzuziehen, der den Bautenstand prüft, die eigene Einheit und die für sie maßgeblichen Gemeinschaftsbereiche dokumentiert und an der Abnahme teilnimmt. Weisungen an Baubeteiligte erteilt der Sachverständige nicht. Ein prüffähiger Bautenstandsvermerk des Sachverständigen ist für die Frage der Ratenfälligkeit (§ 3.2) zu berücksichtigen.</w:t>
            </w:r>
          </w:p>
        </w:tc>
        <w:tc>
          <w:tcPr>
            <w:tcW w:w="7620" w:type="dxa"/>
            <w:tcBorders/>
            <w:vAlign w:val="center"/>
          </w:tcPr>
          <w:p>
            <w:pPr>
              <w:pStyle w:val="TableContents"/>
              <w:bidi w:val="0"/>
              <w:spacing w:before="0" w:after="283"/>
              <w:rPr/>
            </w:pPr>
            <w:r>
              <w:rPr>
                <w:rStyle w:val="Strong"/>
              </w:rPr>
              <w:t>8.2</w:t>
            </w:r>
            <w:r>
              <w:rPr/>
              <w:t xml:space="preserve"> The Buyer may bring in his own expert or civil engineer to check the status of the building, document his own unit and the relevant common areas and participate in the acceptance. The expert does not issue instructions to construction parties. An auditable building status report of the expert must be considered for the question of installment (§ 3.2).</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Heading1"/>
              <w:bidi w:val="0"/>
              <w:spacing w:before="240" w:after="283"/>
              <w:ind w:hanging="0" w:start="0" w:end="0"/>
              <w:rPr/>
            </w:pPr>
            <w:bookmarkStart w:id="28" w:name="mängelrechte-verjährung"/>
            <w:bookmarkEnd w:id="28"/>
            <w:r>
              <w:rPr/>
              <w:t>§ 9 Mängelrechte, Verjährung</w:t>
            </w:r>
          </w:p>
        </w:tc>
        <w:tc>
          <w:tcPr>
            <w:tcW w:w="7620" w:type="dxa"/>
            <w:tcBorders/>
            <w:vAlign w:val="center"/>
          </w:tcPr>
          <w:p>
            <w:pPr>
              <w:pStyle w:val="Heading1"/>
              <w:bidi w:val="0"/>
              <w:spacing w:before="240" w:after="283"/>
              <w:ind w:hanging="0" w:start="0" w:end="0"/>
              <w:rPr/>
            </w:pPr>
            <w:bookmarkStart w:id="29" w:name="rights-of-defects-limitation-period"/>
            <w:bookmarkEnd w:id="29"/>
            <w:r>
              <w:rPr/>
              <w:t>§ 9 Rights of Defects, Limitation Period</w:t>
            </w:r>
          </w:p>
        </w:tc>
      </w:tr>
      <w:tr>
        <w:trPr/>
        <w:tc>
          <w:tcPr>
            <w:tcW w:w="7914" w:type="dxa"/>
            <w:tcBorders/>
            <w:vAlign w:val="center"/>
          </w:tcPr>
          <w:p>
            <w:pPr>
              <w:pStyle w:val="TableContents"/>
              <w:bidi w:val="0"/>
              <w:spacing w:before="0" w:after="283"/>
              <w:rPr/>
            </w:pPr>
            <w:r>
              <w:rPr>
                <w:rStyle w:val="Strong"/>
              </w:rPr>
              <w:t>9.1</w:t>
            </w:r>
            <w:r>
              <w:rPr/>
              <w:t xml:space="preserve"> Für das herzustellende Bauwerk gelten die Mängelrechte des Werkvertragsrechts (§§ 633 ff. BGB) ohne Einschränkung. Für den Grund und Boden im Übrigen sind Sachmängelansprüche ausgeschlossen, ausgenommen Vorsatz und arglistig verschwiegene Mängel.</w:t>
            </w:r>
          </w:p>
        </w:tc>
        <w:tc>
          <w:tcPr>
            <w:tcW w:w="7620" w:type="dxa"/>
            <w:tcBorders/>
            <w:vAlign w:val="center"/>
          </w:tcPr>
          <w:p>
            <w:pPr>
              <w:pStyle w:val="TableContents"/>
              <w:bidi w:val="0"/>
              <w:spacing w:before="0" w:after="283"/>
              <w:rPr/>
            </w:pPr>
            <w:r>
              <w:rPr>
                <w:rStyle w:val="Strong"/>
              </w:rPr>
              <w:t>9.1</w:t>
            </w:r>
            <w:r>
              <w:rPr/>
              <w:t xml:space="preserve"> For the building to be produced, the defect rights of the Work Contract Law (§§ 633 ff. BGB) apply without restriction. For the rest, claims for material defects are excluded, except intent and fraudulently concealed defects.</w:t>
            </w:r>
          </w:p>
        </w:tc>
      </w:tr>
      <w:tr>
        <w:trPr/>
        <w:tc>
          <w:tcPr>
            <w:tcW w:w="7914" w:type="dxa"/>
            <w:tcBorders/>
            <w:vAlign w:val="center"/>
          </w:tcPr>
          <w:p>
            <w:pPr>
              <w:pStyle w:val="TableContents"/>
              <w:bidi w:val="0"/>
              <w:spacing w:before="0" w:after="283"/>
              <w:rPr/>
            </w:pPr>
            <w:r>
              <w:rPr>
                <w:rStyle w:val="Strong"/>
              </w:rPr>
              <w:t>9.2</w:t>
            </w:r>
            <w:r>
              <w:rPr/>
              <w:t xml:space="preserve"> Die Verjährungsfrist für Mängelansprüche am Bauwerk beträgt fünf Jahre ab Abnahme (§ 634a Abs. 1 Nr. 2 BGB).</w:t>
            </w:r>
          </w:p>
        </w:tc>
        <w:tc>
          <w:tcPr>
            <w:tcW w:w="7620" w:type="dxa"/>
            <w:tcBorders/>
            <w:vAlign w:val="center"/>
          </w:tcPr>
          <w:p>
            <w:pPr>
              <w:pStyle w:val="TableContents"/>
              <w:bidi w:val="0"/>
              <w:spacing w:before="0" w:after="283"/>
              <w:rPr/>
            </w:pPr>
            <w:r>
              <w:rPr>
                <w:rStyle w:val="Strong"/>
              </w:rPr>
              <w:t>9.2</w:t>
            </w:r>
            <w:r>
              <w:rPr/>
              <w:t xml:space="preserve"> The limitation period for claims for defects in the building is five years from acceptance (§ 634a para 1 no. 2 BGB).</w:t>
            </w:r>
          </w:p>
        </w:tc>
      </w:tr>
      <w:tr>
        <w:trPr/>
        <w:tc>
          <w:tcPr>
            <w:tcW w:w="7914" w:type="dxa"/>
            <w:tcBorders/>
            <w:vAlign w:val="center"/>
          </w:tcPr>
          <w:p>
            <w:pPr>
              <w:pStyle w:val="TableContents"/>
              <w:bidi w:val="0"/>
              <w:spacing w:before="0" w:after="283"/>
              <w:rPr/>
            </w:pPr>
            <w:r>
              <w:rPr>
                <w:rStyle w:val="Strong"/>
              </w:rPr>
              <w:t>9.3</w:t>
            </w:r>
            <w:r>
              <w:rPr/>
              <w:t xml:space="preserve"> Mängel sollen dem Verkäufer in Textform an die Gewährleistungsstelle des Verkäufers angezeigt werden; die Anzeige ist Obliegenheit und keine Voraussetzung für den Bestand der Mängelrechte. Der Käufer setzt dem Verkäufer zur Nacherfüllung eine angemessene Frist. Nach erfolglosem Fristablauf bleiben die gesetzlichen Rechte einschließlich Selbstvornahme und Kostenvorschuss (§ 637 BGB), Minderung, Rücktritt und Schadensersatz unberührt.</w:t>
            </w:r>
          </w:p>
        </w:tc>
        <w:tc>
          <w:tcPr>
            <w:tcW w:w="7620" w:type="dxa"/>
            <w:tcBorders/>
            <w:vAlign w:val="center"/>
          </w:tcPr>
          <w:p>
            <w:pPr>
              <w:pStyle w:val="TableContents"/>
              <w:bidi w:val="0"/>
              <w:spacing w:before="0" w:after="283"/>
              <w:rPr/>
            </w:pPr>
            <w:r>
              <w:rPr>
                <w:rStyle w:val="Strong"/>
              </w:rPr>
              <w:t>9.3</w:t>
            </w:r>
            <w:r>
              <w:rPr/>
              <w:t xml:space="preserve"> defects should be reported to the Seller in text form to the Seller’s warranty office; the notification is an obligation and not a prerequisite for the existence of the defect rights. The Buyer sets the Seller a reasonable period for subsequent performance. After an unsuccessful expiration of the deadline, the statutory rights including self-delivery and advance of costs (§ 637 BGB), reduction, withdrawal and damages remain unaffected.</w:t>
            </w:r>
          </w:p>
        </w:tc>
      </w:tr>
      <w:tr>
        <w:trPr/>
        <w:tc>
          <w:tcPr>
            <w:tcW w:w="7914" w:type="dxa"/>
            <w:tcBorders/>
            <w:vAlign w:val="center"/>
          </w:tcPr>
          <w:p>
            <w:pPr>
              <w:pStyle w:val="TableContents"/>
              <w:bidi w:val="0"/>
              <w:spacing w:before="0" w:after="283"/>
              <w:rPr/>
            </w:pPr>
            <w:r>
              <w:rPr>
                <w:rStyle w:val="Strong"/>
              </w:rPr>
              <w:t>9.4</w:t>
            </w:r>
            <w:r>
              <w:rPr/>
              <w:t xml:space="preserve"> Bei wartungsabhängigen Bauteilen gelten die übergebenen Wartungs- und Bedienungshinweise. Verschleiß bei bestimmungsgemäßem Gebrauch ist kein Mangel. Eine Verkürzung der gesetzlichen Mängelverjährung oder eine Beweislastverschiebung zulasten des Käufers ist mit dieser Regelung nicht verbunden.</w:t>
            </w:r>
          </w:p>
        </w:tc>
        <w:tc>
          <w:tcPr>
            <w:tcW w:w="7620" w:type="dxa"/>
            <w:tcBorders/>
            <w:vAlign w:val="center"/>
          </w:tcPr>
          <w:p>
            <w:pPr>
              <w:pStyle w:val="TableContents"/>
              <w:bidi w:val="0"/>
              <w:spacing w:before="0" w:after="283"/>
              <w:rPr/>
            </w:pPr>
            <w:r>
              <w:rPr>
                <w:rStyle w:val="Strong"/>
              </w:rPr>
              <w:t>9.4</w:t>
            </w:r>
            <w:r>
              <w:rPr/>
              <w:t xml:space="preserve"> In the case of maintenance-dependent components, the given maintenance and operating instructions apply. Wear during intended use is not a defect. A shortening of the statutory limitation of defects or a shift of the burden of proof at the expense of the Buyer is not associated with this regulation.</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Heading1"/>
              <w:bidi w:val="0"/>
              <w:spacing w:before="240" w:after="283"/>
              <w:ind w:hanging="0" w:start="0" w:end="0"/>
              <w:rPr/>
            </w:pPr>
            <w:bookmarkStart w:id="30" w:name="vormerkung"/>
            <w:bookmarkEnd w:id="30"/>
            <w:r>
              <w:rPr/>
              <w:t>§ 10 Vormerkung</w:t>
            </w:r>
          </w:p>
        </w:tc>
        <w:tc>
          <w:tcPr>
            <w:tcW w:w="7620" w:type="dxa"/>
            <w:tcBorders/>
            <w:vAlign w:val="center"/>
          </w:tcPr>
          <w:p>
            <w:pPr>
              <w:pStyle w:val="Heading1"/>
              <w:bidi w:val="0"/>
              <w:spacing w:before="240" w:after="283"/>
              <w:ind w:hanging="0" w:start="0" w:end="0"/>
              <w:rPr/>
            </w:pPr>
            <w:bookmarkStart w:id="31" w:name="preliminary-notice"/>
            <w:bookmarkEnd w:id="31"/>
            <w:r>
              <w:rPr/>
              <w:t>§ 10 Preliminary notice</w:t>
            </w:r>
          </w:p>
        </w:tc>
      </w:tr>
      <w:tr>
        <w:trPr/>
        <w:tc>
          <w:tcPr>
            <w:tcW w:w="7914" w:type="dxa"/>
            <w:tcBorders/>
            <w:vAlign w:val="center"/>
          </w:tcPr>
          <w:p>
            <w:pPr>
              <w:pStyle w:val="TableContents"/>
              <w:bidi w:val="0"/>
              <w:spacing w:before="0" w:after="283"/>
              <w:rPr/>
            </w:pPr>
            <w:r>
              <w:rPr>
                <w:rStyle w:val="Strong"/>
              </w:rPr>
              <w:t>10.1</w:t>
            </w:r>
            <w:r>
              <w:rPr/>
              <w:t xml:space="preserve"> Zur Sicherung des Anspruchs des Käufers auf Eigentumsverschaffung wird eine Auflassungsvormerkung nach § 883 BGB zugunsten des Käufers im Wohnungsgrundbuch eingetragen.</w:t>
            </w:r>
          </w:p>
        </w:tc>
        <w:tc>
          <w:tcPr>
            <w:tcW w:w="7620" w:type="dxa"/>
            <w:tcBorders/>
            <w:vAlign w:val="center"/>
          </w:tcPr>
          <w:p>
            <w:pPr>
              <w:pStyle w:val="TableContents"/>
              <w:bidi w:val="0"/>
              <w:spacing w:before="0" w:after="283"/>
              <w:rPr/>
            </w:pPr>
            <w:r>
              <w:rPr>
                <w:rStyle w:val="Strong"/>
              </w:rPr>
              <w:t>10.1</w:t>
            </w:r>
            <w:r>
              <w:rPr/>
              <w:t xml:space="preserve"> In order to secure the Buyer’s right to property provision, a priority notice of conveyance pursuant to § 883 BGB in favour of the Buyer is entered in the housing Land Register.</w:t>
            </w:r>
          </w:p>
        </w:tc>
      </w:tr>
      <w:tr>
        <w:trPr/>
        <w:tc>
          <w:tcPr>
            <w:tcW w:w="7914" w:type="dxa"/>
            <w:tcBorders/>
            <w:vAlign w:val="center"/>
          </w:tcPr>
          <w:p>
            <w:pPr>
              <w:pStyle w:val="TableContents"/>
              <w:bidi w:val="0"/>
              <w:spacing w:before="0" w:after="283"/>
              <w:rPr/>
            </w:pPr>
            <w:r>
              <w:rPr>
                <w:rStyle w:val="Strong"/>
              </w:rPr>
              <w:t>10.2</w:t>
            </w:r>
            <w:r>
              <w:rPr/>
              <w:t xml:space="preserve"> Der Käufer erteilt die Bewilligung zur Löschung der Vormerkung und übergibt sie der Notarin treuhänderisch. Die Notarin darf von der Bewilligung nur Gebrauch machen, wenn feststeht, dass der gesicherte Anspruch endgültig nicht mehr besteht (insbesondere nach wirksamem Rücktritt oder einvernehmlicher Aufhebung) </w:t>
            </w:r>
            <w:r>
              <w:rPr>
                <w:rStyle w:val="Strong"/>
              </w:rPr>
              <w:t>und</w:t>
            </w:r>
            <w:r>
              <w:rPr/>
              <w:t xml:space="preserve"> dem Käufer geleistete Zahlungen Zug um Zug zurückgewährt sind oder hierfür Sicherheit geleistet ist. Eine Löschung allein aufgrund einer einseitigen Verzugsbehauptung des Verkäufers ist ausgeschlossen.</w:t>
            </w:r>
          </w:p>
        </w:tc>
        <w:tc>
          <w:tcPr>
            <w:tcW w:w="7620" w:type="dxa"/>
            <w:tcBorders/>
            <w:vAlign w:val="center"/>
          </w:tcPr>
          <w:p>
            <w:pPr>
              <w:pStyle w:val="TableContents"/>
              <w:bidi w:val="0"/>
              <w:spacing w:before="0" w:after="283"/>
              <w:rPr/>
            </w:pPr>
            <w:r>
              <w:rPr>
                <w:rStyle w:val="Strong"/>
              </w:rPr>
              <w:t>10.2</w:t>
            </w:r>
            <w:r>
              <w:rPr/>
              <w:t xml:space="preserve"> The Buyer grants the authorization to delete the reservation and delivers it to the Notary in trust. The Notary may only make use of the authorization if it is established that the secured claim finally no longer exists (in particular after effective withdrawal or mutually agreed cancellation) and payments made to the Buyer are returned move by move or security is provided for this purpose. Deletion solely on the basis of a unilateral claim of default by the Seller is excluded.</w:t>
            </w:r>
          </w:p>
        </w:tc>
      </w:tr>
      <w:tr>
        <w:trPr/>
        <w:tc>
          <w:tcPr>
            <w:tcW w:w="7914" w:type="dxa"/>
            <w:tcBorders/>
            <w:vAlign w:val="center"/>
          </w:tcPr>
          <w:p>
            <w:pPr>
              <w:pStyle w:val="TableContents"/>
              <w:bidi w:val="0"/>
              <w:spacing w:before="0" w:after="283"/>
              <w:rPr/>
            </w:pPr>
            <w:r>
              <w:rPr>
                <w:rStyle w:val="Strong"/>
              </w:rPr>
              <w:t>10.3</w:t>
            </w:r>
            <w:r>
              <w:rPr/>
              <w:t xml:space="preserve"> Der Käufer beantragt die Löschung der Vormerkung Zug um Zug mit Vollzug der Auflassung.</w:t>
            </w:r>
          </w:p>
        </w:tc>
        <w:tc>
          <w:tcPr>
            <w:tcW w:w="7620" w:type="dxa"/>
            <w:tcBorders/>
            <w:vAlign w:val="center"/>
          </w:tcPr>
          <w:p>
            <w:pPr>
              <w:pStyle w:val="TableContents"/>
              <w:bidi w:val="0"/>
              <w:spacing w:before="0" w:after="283"/>
              <w:rPr/>
            </w:pPr>
            <w:r>
              <w:rPr>
                <w:rStyle w:val="Strong"/>
              </w:rPr>
              <w:t>10.3</w:t>
            </w:r>
            <w:r>
              <w:rPr/>
              <w:t xml:space="preserve"> The Buyer requests the deletion of the priority notice of conveyance concurrently with completion of the disposition.</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Heading1"/>
              <w:bidi w:val="0"/>
              <w:spacing w:before="240" w:after="283"/>
              <w:ind w:hanging="0" w:start="0" w:end="0"/>
              <w:rPr/>
            </w:pPr>
            <w:bookmarkStart w:id="32" w:name="auflassung"/>
            <w:bookmarkEnd w:id="32"/>
            <w:r>
              <w:rPr/>
              <w:t>§ 11 Auflassung</w:t>
            </w:r>
          </w:p>
        </w:tc>
        <w:tc>
          <w:tcPr>
            <w:tcW w:w="7620" w:type="dxa"/>
            <w:tcBorders/>
            <w:vAlign w:val="center"/>
          </w:tcPr>
          <w:p>
            <w:pPr>
              <w:pStyle w:val="Heading1"/>
              <w:bidi w:val="0"/>
              <w:spacing w:before="240" w:after="283"/>
              <w:ind w:hanging="0" w:start="0" w:end="0"/>
              <w:rPr/>
            </w:pPr>
            <w:bookmarkStart w:id="33" w:name="discontinuation"/>
            <w:bookmarkEnd w:id="33"/>
            <w:r>
              <w:rPr/>
              <w:t>§ 11 Discontinuation</w:t>
            </w:r>
          </w:p>
        </w:tc>
      </w:tr>
      <w:tr>
        <w:trPr/>
        <w:tc>
          <w:tcPr>
            <w:tcW w:w="7914" w:type="dxa"/>
            <w:tcBorders/>
            <w:vAlign w:val="center"/>
          </w:tcPr>
          <w:p>
            <w:pPr>
              <w:pStyle w:val="TableContents"/>
              <w:bidi w:val="0"/>
              <w:spacing w:before="0" w:after="283"/>
              <w:rPr/>
            </w:pPr>
            <w:r>
              <w:rPr/>
              <w:t>Verkäufer und Käufer sind über den Eigentumsübergang einig und bewilligen und beantragen die Eintragung. Die Notarin wird angewiesen, die Auflassung erst nach vollständiger Kaufpreiszahlung und nach Vorliegen der Lastenfreistellung für den Kaufgegenstand zur Eintragung zu bringen.</w:t>
            </w:r>
          </w:p>
        </w:tc>
        <w:tc>
          <w:tcPr>
            <w:tcW w:w="7620" w:type="dxa"/>
            <w:tcBorders/>
            <w:vAlign w:val="center"/>
          </w:tcPr>
          <w:p>
            <w:pPr>
              <w:pStyle w:val="TableContents"/>
              <w:bidi w:val="0"/>
              <w:spacing w:before="0" w:after="283"/>
              <w:rPr/>
            </w:pPr>
            <w:r>
              <w:rPr/>
              <w:t>The Seller and Buyer agree on the transfer of ownership and approve and apply for registration. The Notary is instructed to register the disposition only after full payment of the Purchase Price and after the release of the goods purchased.</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Heading1"/>
              <w:bidi w:val="0"/>
              <w:spacing w:before="240" w:after="283"/>
              <w:ind w:hanging="0" w:start="0" w:end="0"/>
              <w:rPr/>
            </w:pPr>
            <w:bookmarkStart w:id="34" w:name="vollmachten"/>
            <w:bookmarkEnd w:id="34"/>
            <w:r>
              <w:rPr/>
              <w:t>§ 12 Vollmachten</w:t>
            </w:r>
          </w:p>
        </w:tc>
        <w:tc>
          <w:tcPr>
            <w:tcW w:w="7620" w:type="dxa"/>
            <w:tcBorders/>
            <w:vAlign w:val="center"/>
          </w:tcPr>
          <w:p>
            <w:pPr>
              <w:pStyle w:val="Heading1"/>
              <w:bidi w:val="0"/>
              <w:spacing w:before="240" w:after="283"/>
              <w:ind w:hanging="0" w:start="0" w:end="0"/>
              <w:rPr/>
            </w:pPr>
            <w:bookmarkStart w:id="35" w:name="section-12-powers-of-attorney"/>
            <w:bookmarkEnd w:id="35"/>
            <w:r>
              <w:rPr/>
              <w:t>Section 12 Powers of Attorney</w:t>
            </w:r>
          </w:p>
        </w:tc>
      </w:tr>
      <w:tr>
        <w:trPr/>
        <w:tc>
          <w:tcPr>
            <w:tcW w:w="7914" w:type="dxa"/>
            <w:tcBorders/>
            <w:vAlign w:val="center"/>
          </w:tcPr>
          <w:p>
            <w:pPr>
              <w:pStyle w:val="TableContents"/>
              <w:bidi w:val="0"/>
              <w:spacing w:before="0" w:after="283"/>
              <w:rPr/>
            </w:pPr>
            <w:r>
              <w:rPr>
                <w:rStyle w:val="Strong"/>
              </w:rPr>
              <w:t>12.1</w:t>
            </w:r>
            <w:r>
              <w:rPr/>
              <w:t xml:space="preserve"> Der Käufer bevollmächtigt den Verkäufer, die Teilungserklärung einschließlich Gemeinschaftsordnung und die Aufteilungspläne zu ändern oder zu ergänzen, soweit dies zum Vollzug der Aufteilung, zur Berichtigung offenbarer Unrichtigkeiten, zur Anpassung an behördliche Auflagen oder zur zeichnerischen Anpassung nach der Ausführungsplanung erforderlich ist. Die Vollmacht berechtigt nicht zu Änderungen, die den Miteigentumsanteil, die Lage, den Zuschnitt, den Wert, die Nutzbarkeit, die Kostenlast, die Stimmrechte oder die Sondernutzungsrechte des Käufers nachteilig berühren; solche Änderungen bedürfen seiner gesonderten Zustimmung.</w:t>
            </w:r>
          </w:p>
        </w:tc>
        <w:tc>
          <w:tcPr>
            <w:tcW w:w="7620" w:type="dxa"/>
            <w:tcBorders/>
            <w:vAlign w:val="center"/>
          </w:tcPr>
          <w:p>
            <w:pPr>
              <w:pStyle w:val="TableContents"/>
              <w:bidi w:val="0"/>
              <w:spacing w:before="0" w:after="283"/>
              <w:rPr/>
            </w:pPr>
            <w:r>
              <w:rPr>
                <w:rStyle w:val="Strong"/>
              </w:rPr>
              <w:t>12.1</w:t>
            </w:r>
            <w:r>
              <w:rPr/>
              <w:t xml:space="preserve"> The Buyer authorises the Seller to amend or supplement the declaration of division, including Community rules, and the plans of division, insofar as this is necessary for the execution of the division, for the correction of obvious errors, for adjustment to administrative requirements or for the drawing adjustment according to the execution plan. The power of attorney shall not entitle any changes which adversely affect the Buyer’s co-ownership interest, location, shape, value, usability, cost burden, voting rights or special use rights; such amendments shall require his separate consent.</w:t>
            </w:r>
          </w:p>
        </w:tc>
      </w:tr>
      <w:tr>
        <w:trPr/>
        <w:tc>
          <w:tcPr>
            <w:tcW w:w="7914" w:type="dxa"/>
            <w:tcBorders/>
            <w:vAlign w:val="center"/>
          </w:tcPr>
          <w:p>
            <w:pPr>
              <w:pStyle w:val="TableContents"/>
              <w:bidi w:val="0"/>
              <w:spacing w:before="0" w:after="283"/>
              <w:rPr/>
            </w:pPr>
            <w:r>
              <w:rPr>
                <w:rStyle w:val="Strong"/>
              </w:rPr>
              <w:t>12.2</w:t>
            </w:r>
            <w:r>
              <w:rPr/>
              <w:t xml:space="preserve"> Die Vollmacht ist von den Beschränkungen des § 181 BGB befreit und im Innenverhältnis nur im vorstehenden Rahmen und unter Wahrung der berechtigten Interessen des Käufers auszuüben. Der Verkäufer teilt dem Käufer Gebrauch und Inhalt der Änderung in Textform mit.</w:t>
            </w:r>
          </w:p>
        </w:tc>
        <w:tc>
          <w:tcPr>
            <w:tcW w:w="7620" w:type="dxa"/>
            <w:tcBorders/>
            <w:vAlign w:val="center"/>
          </w:tcPr>
          <w:p>
            <w:pPr>
              <w:pStyle w:val="TableContents"/>
              <w:bidi w:val="0"/>
              <w:spacing w:before="0" w:after="283"/>
              <w:rPr/>
            </w:pPr>
            <w:r>
              <w:rPr>
                <w:rStyle w:val="Strong"/>
              </w:rPr>
              <w:t>12.2</w:t>
            </w:r>
            <w:r>
              <w:rPr/>
              <w:t xml:space="preserve"> The power of attorney is exempt from the restrictions of § 181 BGB and to exercise it internally only within the above framework and while safeguarding the legitimate interests of the Buyer. The Seller shall notify the Buyer of the use and content of the change in text form.</w:t>
            </w:r>
          </w:p>
        </w:tc>
      </w:tr>
      <w:tr>
        <w:trPr/>
        <w:tc>
          <w:tcPr>
            <w:tcW w:w="7914" w:type="dxa"/>
            <w:tcBorders/>
            <w:vAlign w:val="center"/>
          </w:tcPr>
          <w:p>
            <w:pPr>
              <w:pStyle w:val="TableContents"/>
              <w:bidi w:val="0"/>
              <w:spacing w:before="0" w:after="283"/>
              <w:rPr/>
            </w:pPr>
            <w:r>
              <w:rPr>
                <w:rStyle w:val="Strong"/>
              </w:rPr>
              <w:t>12.3</w:t>
            </w:r>
            <w:r>
              <w:rPr/>
              <w:t xml:space="preserve"> Der Käufer bevollmächtigt den Verkäufer ferner, die zum Vollzug dieses Vertrages erforderlichen verfahrensrechtlichen Erklärungen gegenüber Grundbuchamt und Behörden abzugeben.</w:t>
            </w:r>
          </w:p>
        </w:tc>
        <w:tc>
          <w:tcPr>
            <w:tcW w:w="7620" w:type="dxa"/>
            <w:tcBorders/>
            <w:vAlign w:val="center"/>
          </w:tcPr>
          <w:p>
            <w:pPr>
              <w:pStyle w:val="TableContents"/>
              <w:bidi w:val="0"/>
              <w:spacing w:before="0" w:after="283"/>
              <w:rPr/>
            </w:pPr>
            <w:r>
              <w:rPr>
                <w:rStyle w:val="Strong"/>
              </w:rPr>
              <w:t>12.3</w:t>
            </w:r>
            <w:r>
              <w:rPr/>
              <w:t xml:space="preserve"> The Buyer also authorizes the Seller to make the procedural declarations to the Land Registry and authorities necessary for the execution of this contract.</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Heading1"/>
              <w:bidi w:val="0"/>
              <w:spacing w:before="240" w:after="283"/>
              <w:ind w:hanging="0" w:start="0" w:end="0"/>
              <w:rPr/>
            </w:pPr>
            <w:bookmarkStart w:id="36" w:name="schlussbestimmungen"/>
            <w:bookmarkEnd w:id="36"/>
            <w:r>
              <w:rPr/>
              <w:t>§ 13 Schlussbestimmungen</w:t>
            </w:r>
          </w:p>
        </w:tc>
        <w:tc>
          <w:tcPr>
            <w:tcW w:w="7620" w:type="dxa"/>
            <w:tcBorders/>
            <w:vAlign w:val="center"/>
          </w:tcPr>
          <w:p>
            <w:pPr>
              <w:pStyle w:val="Heading1"/>
              <w:bidi w:val="0"/>
              <w:spacing w:before="240" w:after="283"/>
              <w:ind w:hanging="0" w:start="0" w:end="0"/>
              <w:rPr/>
            </w:pPr>
            <w:bookmarkStart w:id="37" w:name="final-provisions"/>
            <w:bookmarkEnd w:id="37"/>
            <w:r>
              <w:rPr/>
              <w:t>§ 13 Final provisions</w:t>
            </w:r>
          </w:p>
        </w:tc>
      </w:tr>
      <w:tr>
        <w:trPr/>
        <w:tc>
          <w:tcPr>
            <w:tcW w:w="7914" w:type="dxa"/>
            <w:tcBorders/>
            <w:vAlign w:val="center"/>
          </w:tcPr>
          <w:p>
            <w:pPr>
              <w:pStyle w:val="TableContents"/>
              <w:bidi w:val="0"/>
              <w:spacing w:before="0" w:after="283"/>
              <w:rPr/>
            </w:pPr>
            <w:r>
              <w:rPr>
                <w:rStyle w:val="Strong"/>
              </w:rPr>
              <w:t>13.1</w:t>
            </w:r>
            <w:r>
              <w:rPr/>
              <w:t xml:space="preserve"> Mündliche Nebenabreden bestehen nicht. Änderungen bedürfen der notariellen Beurkundung, soweit gesetzlich vorgeschrieben.</w:t>
            </w:r>
          </w:p>
        </w:tc>
        <w:tc>
          <w:tcPr>
            <w:tcW w:w="7620" w:type="dxa"/>
            <w:tcBorders/>
            <w:vAlign w:val="center"/>
          </w:tcPr>
          <w:p>
            <w:pPr>
              <w:pStyle w:val="TableContents"/>
              <w:bidi w:val="0"/>
              <w:spacing w:before="0" w:after="283"/>
              <w:rPr/>
            </w:pPr>
            <w:r>
              <w:rPr>
                <w:rStyle w:val="Strong"/>
              </w:rPr>
              <w:t>13.1</w:t>
            </w:r>
            <w:r>
              <w:rPr/>
              <w:t xml:space="preserve"> Oral ancillary arrangements do not exist. Changes require notarization, as required by law.</w:t>
            </w:r>
          </w:p>
        </w:tc>
      </w:tr>
      <w:tr>
        <w:trPr/>
        <w:tc>
          <w:tcPr>
            <w:tcW w:w="7914" w:type="dxa"/>
            <w:tcBorders/>
            <w:vAlign w:val="center"/>
          </w:tcPr>
          <w:p>
            <w:pPr>
              <w:pStyle w:val="TableContents"/>
              <w:bidi w:val="0"/>
              <w:spacing w:before="0" w:after="283"/>
              <w:rPr/>
            </w:pPr>
            <w:r>
              <w:rPr>
                <w:rStyle w:val="Strong"/>
              </w:rPr>
              <w:t>13.2</w:t>
            </w:r>
            <w:r>
              <w:rPr/>
              <w:t xml:space="preserve"> Ist eine Bestimmung unwirksam, bleibt der Vertrag im Übrigen wirksam; an die Stelle der unwirksamen Bestimmung tritt die gesetzliche Regelung (§ 306 BGB).</w:t>
            </w:r>
          </w:p>
        </w:tc>
        <w:tc>
          <w:tcPr>
            <w:tcW w:w="7620" w:type="dxa"/>
            <w:tcBorders/>
            <w:vAlign w:val="center"/>
          </w:tcPr>
          <w:p>
            <w:pPr>
              <w:pStyle w:val="TableContents"/>
              <w:bidi w:val="0"/>
              <w:spacing w:before="0" w:after="283"/>
              <w:rPr/>
            </w:pPr>
            <w:r>
              <w:rPr>
                <w:rStyle w:val="Strong"/>
              </w:rPr>
              <w:t>13.2</w:t>
            </w:r>
            <w:r>
              <w:rPr/>
              <w:t xml:space="preserve"> If a provision is invalid, the contract shall remain in effect; The ineffective provision is replaced by the statutory regulation (§ 306 BGB).</w:t>
            </w:r>
          </w:p>
        </w:tc>
      </w:tr>
      <w:tr>
        <w:trPr/>
        <w:tc>
          <w:tcPr>
            <w:tcW w:w="7914" w:type="dxa"/>
            <w:tcBorders/>
            <w:vAlign w:val="center"/>
          </w:tcPr>
          <w:p>
            <w:pPr>
              <w:pStyle w:val="TableContents"/>
              <w:bidi w:val="0"/>
              <w:spacing w:before="0" w:after="283"/>
              <w:rPr/>
            </w:pPr>
            <w:r>
              <w:rPr>
                <w:rStyle w:val="Strong"/>
              </w:rPr>
              <w:t>13.3</w:t>
            </w:r>
            <w:r>
              <w:rPr/>
              <w:t xml:space="preserve"> Die Kosten dieser Urkunde und ihres Vollzugs trägt der Käufer. Der gesetzliche Verbrauchergerichtsstand bleibt unberührt; eine Abweichung von § 29c ZPO wird nicht vereinbart.</w:t>
            </w:r>
          </w:p>
        </w:tc>
        <w:tc>
          <w:tcPr>
            <w:tcW w:w="7620" w:type="dxa"/>
            <w:tcBorders/>
            <w:vAlign w:val="center"/>
          </w:tcPr>
          <w:p>
            <w:pPr>
              <w:pStyle w:val="TableContents"/>
              <w:bidi w:val="0"/>
              <w:spacing w:before="0" w:after="283"/>
              <w:rPr/>
            </w:pPr>
            <w:r>
              <w:rPr>
                <w:rStyle w:val="Strong"/>
              </w:rPr>
              <w:t>13.3</w:t>
            </w:r>
            <w:r>
              <w:rPr/>
              <w:t xml:space="preserve"> The costs of this document and its execution shall be borne by the Buyer. The legal consumer jurisdiction remains unaffected; a deviation from § 29c ZPO is not agreed.</w:t>
            </w:r>
          </w:p>
        </w:tc>
      </w:tr>
      <w:tr>
        <w:trPr/>
        <w:tc>
          <w:tcPr>
            <w:tcW w:w="7914" w:type="dxa"/>
            <w:tcBorders/>
            <w:vAlign w:val="center"/>
          </w:tcPr>
          <w:p>
            <w:pPr>
              <w:pStyle w:val="TableContents"/>
              <w:bidi w:val="0"/>
              <w:spacing w:before="0" w:after="283"/>
              <w:rPr/>
            </w:pPr>
            <w:r>
              <w:rPr>
                <w:rStyle w:val="Strong"/>
              </w:rPr>
              <w:t>13.4</w:t>
            </w:r>
            <w:r>
              <w:rPr/>
              <w:t xml:space="preserve"> Der Käufer trägt die auf seine Einheit entfallenden Kosten der erstmaligen Einrichtung der WEG-Verwaltung. Der erste Verwalter wird für höchstens drei Jahre bestellt (§ 26 Abs. 2 WEG). Wartungs- und Betriebsführungsverträge für die Erstbetriebsphase werden mit ordentlicher Kündigungsmöglichkeit zum Ablauf des zweiten Betriebsjahres abgeschlossen; eine längere Bindung der Gemeinschaft an Unternehmen des Verkäuferumfeldes erfolgt nicht.</w:t>
            </w:r>
          </w:p>
        </w:tc>
        <w:tc>
          <w:tcPr>
            <w:tcW w:w="7620" w:type="dxa"/>
            <w:tcBorders/>
            <w:vAlign w:val="center"/>
          </w:tcPr>
          <w:p>
            <w:pPr>
              <w:pStyle w:val="TableContents"/>
              <w:bidi w:val="0"/>
              <w:spacing w:before="0" w:after="283"/>
              <w:rPr/>
            </w:pPr>
            <w:r>
              <w:rPr>
                <w:rStyle w:val="Strong"/>
              </w:rPr>
              <w:t>13.4</w:t>
            </w:r>
            <w:r>
              <w:rPr/>
              <w:t xml:space="preserve"> The purchaser shall bear the costs of the initial establishment of the WEG administration attributable to his unit. The first administrator is appointed for a maximum of three years (§ 26 para 2 WEG). maintenance and management contracts for the initial operating phase shall be concluded with ordinary notice at the end of the second year of operation; a longer commitment of the community to companies in the sales environment does not take place.</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Heading1"/>
              <w:bidi w:val="0"/>
              <w:spacing w:before="240" w:after="283"/>
              <w:ind w:hanging="0" w:start="0" w:end="0"/>
              <w:rPr/>
            </w:pPr>
            <w:bookmarkStart w:id="38" w:name="belehrungen"/>
            <w:bookmarkEnd w:id="38"/>
            <w:r>
              <w:rPr/>
              <w:t>§ 14 Belehrungen</w:t>
            </w:r>
          </w:p>
        </w:tc>
        <w:tc>
          <w:tcPr>
            <w:tcW w:w="7620" w:type="dxa"/>
            <w:tcBorders/>
            <w:vAlign w:val="center"/>
          </w:tcPr>
          <w:p>
            <w:pPr>
              <w:pStyle w:val="Heading1"/>
              <w:bidi w:val="0"/>
              <w:spacing w:before="240" w:after="283"/>
              <w:ind w:hanging="0" w:start="0" w:end="0"/>
              <w:rPr/>
            </w:pPr>
            <w:bookmarkStart w:id="39" w:name="instructions"/>
            <w:bookmarkEnd w:id="39"/>
            <w:r>
              <w:rPr/>
              <w:t>§ 14 Instructions</w:t>
            </w:r>
          </w:p>
        </w:tc>
      </w:tr>
      <w:tr>
        <w:trPr/>
        <w:tc>
          <w:tcPr>
            <w:tcW w:w="7914" w:type="dxa"/>
            <w:tcBorders/>
            <w:vAlign w:val="center"/>
          </w:tcPr>
          <w:p>
            <w:pPr>
              <w:pStyle w:val="TableContents"/>
              <w:bidi w:val="0"/>
              <w:spacing w:before="0" w:after="283"/>
              <w:rPr/>
            </w:pPr>
            <w:r>
              <w:rPr/>
              <w:t>Die Notarin hat die Beteiligten belehrt über Inhalt und Bedeutung des Vertrages, die Eigentumsübertragung erst mit Grundbucheintragung, die Bedeutung der Auflassungsvormerkung und der Belastungsvollmacht, die MaBV-Fälligkeitsvoraussetzungen, die 5-%-Sicherheit nach § 650m Abs. 2 BGB, die fünfjährige Mängelverjährung sowie die Möglichkeit, eigene technische Berater hinzuzuziehen. Sie hat darauf hingewiesen, dass sie als unparteiische Amtsträgerin keine wirtschaftliche, steuerliche oder bautechnische Beratung übernimmt und Baugrund, Bauüberwachung und Wirtschaftlichkeit von Wartungsverträgen nicht geprüft hat.</w:t>
            </w:r>
          </w:p>
        </w:tc>
        <w:tc>
          <w:tcPr>
            <w:tcW w:w="7620" w:type="dxa"/>
            <w:tcBorders/>
            <w:vAlign w:val="center"/>
          </w:tcPr>
          <w:p>
            <w:pPr>
              <w:pStyle w:val="TableContents"/>
              <w:bidi w:val="0"/>
              <w:spacing w:before="0" w:after="283"/>
              <w:rPr/>
            </w:pPr>
            <w:r>
              <w:rPr/>
              <w:t>The Notary has informed the participants about the content and significance of the contract, the transfer of ownership only with Land Register registration, the significance of the dismissal reservation and the power of attorney, the MaBV due date requirements, the 5% security according to § 650m para. 2 BGB, the five-year limitation period for defects and the possibility of consulting our own technical consultants. It pointed out that, as an impartial public office holder, it did not provide any economic, tax or construction consultancy and did not check the ground, construction supervision and profitability of maintenance contracts.</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Heading1"/>
              <w:bidi w:val="0"/>
              <w:spacing w:before="240" w:after="283"/>
              <w:ind w:hanging="0" w:start="0" w:end="0"/>
              <w:rPr/>
            </w:pPr>
            <w:bookmarkStart w:id="40" w:name="bezugsurkunden-anlagen-und-vollzugshinwe"/>
            <w:bookmarkEnd w:id="40"/>
            <w:r>
              <w:rPr/>
              <w:t>Bezugsurkunden, Anlagen und Vollzugshinweise</w:t>
            </w:r>
          </w:p>
        </w:tc>
        <w:tc>
          <w:tcPr>
            <w:tcW w:w="7620" w:type="dxa"/>
            <w:tcBorders/>
            <w:vAlign w:val="center"/>
          </w:tcPr>
          <w:p>
            <w:pPr>
              <w:pStyle w:val="Heading1"/>
              <w:bidi w:val="0"/>
              <w:spacing w:before="240" w:after="283"/>
              <w:ind w:hanging="0" w:start="0" w:end="0"/>
              <w:rPr/>
            </w:pPr>
            <w:bookmarkStart w:id="41" w:name="documents-annexes-and-enforcement-instru"/>
            <w:bookmarkEnd w:id="41"/>
            <w:r>
              <w:rPr/>
              <w:t>Documents, annexes and enforcement instructions</w:t>
            </w:r>
          </w:p>
        </w:tc>
      </w:tr>
      <w:tr>
        <w:trPr/>
        <w:tc>
          <w:tcPr>
            <w:tcW w:w="7914" w:type="dxa"/>
            <w:tcBorders/>
            <w:vAlign w:val="center"/>
          </w:tcPr>
          <w:p>
            <w:pPr>
              <w:pStyle w:val="TableContents"/>
              <w:bidi w:val="0"/>
              <w:spacing w:before="0" w:after="283"/>
              <w:rPr/>
            </w:pPr>
            <w:r>
              <w:rPr>
                <w:rStyle w:val="Strong"/>
              </w:rPr>
              <w:t>Bezugsurkunde 1</w:t>
            </w:r>
            <w:r>
              <w:rPr/>
              <w:t xml:space="preserve"> — Teilungserklärung einschließlich Gemeinschaftsordnung vom 21. Oktober 2025, UR-Nr. 1502/2025, nebst 1. Nachtrag vom 09. Februar 2026, UR-Nr. 188/2026.</w:t>
            </w:r>
          </w:p>
        </w:tc>
        <w:tc>
          <w:tcPr>
            <w:tcW w:w="7620" w:type="dxa"/>
            <w:tcBorders/>
            <w:vAlign w:val="center"/>
          </w:tcPr>
          <w:p>
            <w:pPr>
              <w:pStyle w:val="TableContents"/>
              <w:bidi w:val="0"/>
              <w:spacing w:before="0" w:after="283"/>
              <w:rPr/>
            </w:pPr>
            <w:r>
              <w:rPr/>
              <w:t>Declaration of partition including Community order of 21 October 2025, UR No. 1502/2025, with 1st addendum of 9 February 2026, UR No. 188/2026.</w:t>
            </w:r>
          </w:p>
        </w:tc>
      </w:tr>
      <w:tr>
        <w:trPr/>
        <w:tc>
          <w:tcPr>
            <w:tcW w:w="7914" w:type="dxa"/>
            <w:tcBorders/>
            <w:vAlign w:val="center"/>
          </w:tcPr>
          <w:p>
            <w:pPr>
              <w:pStyle w:val="TableContents"/>
              <w:bidi w:val="0"/>
              <w:spacing w:before="0" w:after="283"/>
              <w:rPr/>
            </w:pPr>
            <w:r>
              <w:rPr>
                <w:rStyle w:val="Strong"/>
              </w:rPr>
              <w:t>Anlage Baubeschreibung</w:t>
            </w:r>
            <w:r>
              <w:rPr/>
              <w:t xml:space="preserve"> — Baubeschreibung Fassung Mai 2026, Version 3.0; mitbeurkundeter Bestandteil dieser Urkunde und des geschuldeten Bausolls.</w:t>
            </w:r>
          </w:p>
        </w:tc>
        <w:tc>
          <w:tcPr>
            <w:tcW w:w="7620" w:type="dxa"/>
            <w:tcBorders/>
            <w:vAlign w:val="center"/>
          </w:tcPr>
          <w:p>
            <w:pPr>
              <w:pStyle w:val="TableContents"/>
              <w:bidi w:val="0"/>
              <w:spacing w:before="0" w:after="283"/>
              <w:rPr/>
            </w:pPr>
            <w:r>
              <w:rPr/>
              <w:t>Appendix Building Description — Building Description Version May 2026, Version 3.0; co-certified part of this document and of the due construction.</w:t>
            </w:r>
          </w:p>
        </w:tc>
      </w:tr>
      <w:tr>
        <w:trPr/>
        <w:tc>
          <w:tcPr>
            <w:tcW w:w="7914" w:type="dxa"/>
            <w:tcBorders/>
            <w:vAlign w:val="center"/>
          </w:tcPr>
          <w:p>
            <w:pPr>
              <w:pStyle w:val="TableContents"/>
              <w:bidi w:val="0"/>
              <w:spacing w:before="0" w:after="283"/>
              <w:rPr/>
            </w:pPr>
            <w:r>
              <w:rPr/>
              <w:t>Die Notarin wird mit dem Vollzug beauftragt und stellt Anträge erst, wenn die erforderlichen Erklärungen und Nachweise vorliegen. Mitteilungen über den Eintritt der Fälligkeitsvoraussetzungen nach § 3 erfolgen schriftlich an beide Parteien.</w:t>
            </w:r>
          </w:p>
        </w:tc>
        <w:tc>
          <w:tcPr>
            <w:tcW w:w="7620" w:type="dxa"/>
            <w:tcBorders/>
            <w:vAlign w:val="center"/>
          </w:tcPr>
          <w:p>
            <w:pPr>
              <w:pStyle w:val="TableContents"/>
              <w:bidi w:val="0"/>
              <w:spacing w:before="0" w:after="283"/>
              <w:rPr/>
            </w:pPr>
            <w:r>
              <w:rPr/>
              <w:t>The Notary is commissioned with the execution and makes requests only when the necessary explanations and proofs are available. Notices about the occurrence of the due date requirements according to § 3 shall be made in writing to both parties.</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Heading1"/>
              <w:bidi w:val="0"/>
              <w:spacing w:before="240" w:after="283"/>
              <w:ind w:hanging="0" w:start="0" w:end="0"/>
              <w:rPr/>
            </w:pPr>
            <w:bookmarkStart w:id="42" w:name="geschäftswert-und-kosten"/>
            <w:bookmarkEnd w:id="42"/>
            <w:r>
              <w:rPr/>
              <w:t>Geschäftswert und Kosten</w:t>
            </w:r>
          </w:p>
        </w:tc>
        <w:tc>
          <w:tcPr>
            <w:tcW w:w="7620" w:type="dxa"/>
            <w:tcBorders/>
            <w:vAlign w:val="center"/>
          </w:tcPr>
          <w:p>
            <w:pPr>
              <w:pStyle w:val="Heading1"/>
              <w:bidi w:val="0"/>
              <w:spacing w:before="240" w:after="283"/>
              <w:ind w:hanging="0" w:start="0" w:end="0"/>
              <w:rPr/>
            </w:pPr>
            <w:bookmarkStart w:id="43" w:name="goodwill-and-costs"/>
            <w:bookmarkEnd w:id="43"/>
            <w:r>
              <w:rPr/>
              <w:t>Goodwill and costs</w:t>
            </w:r>
          </w:p>
        </w:tc>
      </w:tr>
      <w:tr>
        <w:trPr/>
        <w:tc>
          <w:tcPr>
            <w:tcW w:w="7914" w:type="dxa"/>
            <w:tcBorders/>
            <w:vAlign w:val="center"/>
          </w:tcPr>
          <w:p>
            <w:pPr>
              <w:pStyle w:val="TableContents"/>
              <w:bidi w:val="0"/>
              <w:spacing w:before="0" w:after="283"/>
              <w:rPr/>
            </w:pPr>
            <w:r>
              <w:rPr/>
              <w:t>Der Geschäftswert dieser Urkunde wird mit dem Gesamtkaufpreis von 674.000,00 EUR angegeben. Die Kosten dieser Urkunde und ihres Vollzugs trägt nach § 13.3 der Käufer.</w:t>
            </w:r>
          </w:p>
        </w:tc>
        <w:tc>
          <w:tcPr>
            <w:tcW w:w="7620" w:type="dxa"/>
            <w:tcBorders/>
            <w:vAlign w:val="center"/>
          </w:tcPr>
          <w:p>
            <w:pPr>
              <w:pStyle w:val="TableContents"/>
              <w:bidi w:val="0"/>
              <w:spacing w:before="0" w:after="283"/>
              <w:rPr/>
            </w:pPr>
            <w:r>
              <w:rPr/>
              <w:t>The business value of this deed is indicated with the total Purchase Price of 674,000.00 EUR. The costs of this document and its execution shall be borne by the Buyer in accordance with § 13.3.</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Heading1"/>
              <w:bidi w:val="0"/>
              <w:spacing w:before="240" w:after="283"/>
              <w:ind w:hanging="0" w:start="0" w:end="0"/>
              <w:rPr/>
            </w:pPr>
            <w:bookmarkStart w:id="44" w:name="unterschriften"/>
            <w:bookmarkEnd w:id="44"/>
            <w:r>
              <w:rPr/>
              <w:t>Unterschriften</w:t>
            </w:r>
          </w:p>
        </w:tc>
        <w:tc>
          <w:tcPr>
            <w:tcW w:w="7620" w:type="dxa"/>
            <w:tcBorders/>
            <w:vAlign w:val="center"/>
          </w:tcPr>
          <w:p>
            <w:pPr>
              <w:pStyle w:val="Heading1"/>
              <w:bidi w:val="0"/>
              <w:spacing w:before="240" w:after="283"/>
              <w:ind w:hanging="0" w:start="0" w:end="0"/>
              <w:rPr/>
            </w:pPr>
            <w:bookmarkStart w:id="45" w:name="signatures"/>
            <w:bookmarkEnd w:id="45"/>
            <w:r>
              <w:rPr/>
              <w:t>Signatures</w:t>
            </w:r>
          </w:p>
        </w:tc>
      </w:tr>
      <w:tr>
        <w:trPr/>
        <w:tc>
          <w:tcPr>
            <w:tcW w:w="7914" w:type="dxa"/>
            <w:tcBorders/>
            <w:vAlign w:val="center"/>
          </w:tcPr>
          <w:p>
            <w:pPr>
              <w:pStyle w:val="TableContents"/>
              <w:bidi w:val="0"/>
              <w:spacing w:before="0" w:after="283"/>
              <w:rPr/>
            </w:pPr>
            <w:r>
              <w:rPr/>
              <w:t>Diese Niederschrift nebst Anlage Baubeschreibung wurde den Erschienenen von der Notarin vorgelesen, von ihnen genehmigt und sodann eigenhändig unterschrieben:</w:t>
            </w:r>
          </w:p>
        </w:tc>
        <w:tc>
          <w:tcPr>
            <w:tcW w:w="7620" w:type="dxa"/>
            <w:tcBorders/>
            <w:vAlign w:val="center"/>
          </w:tcPr>
          <w:p>
            <w:pPr>
              <w:pStyle w:val="TableContents"/>
              <w:bidi w:val="0"/>
              <w:spacing w:before="0" w:after="283"/>
              <w:rPr/>
            </w:pPr>
            <w:r>
              <w:rPr/>
              <w:t>This transcript together with the construction description was read to the publications by the Notary, approved by them and then signed by hand:</w:t>
            </w:r>
          </w:p>
        </w:tc>
      </w:tr>
      <w:tr>
        <w:trPr/>
        <w:tc>
          <w:tcPr>
            <w:tcW w:w="7914" w:type="dxa"/>
            <w:tcBorders/>
            <w:vAlign w:val="center"/>
          </w:tcPr>
          <w:p>
            <w:pPr>
              <w:pStyle w:val="TableContents"/>
              <w:bidi w:val="0"/>
              <w:spacing w:before="0" w:after="283"/>
              <w:rPr/>
            </w:pPr>
            <w:r>
              <w:rPr/>
            </w:r>
          </w:p>
        </w:tc>
        <w:tc>
          <w:tcPr>
            <w:tcW w:w="7620" w:type="dxa"/>
            <w:tcBorders/>
            <w:vAlign w:val="center"/>
          </w:tcPr>
          <w:p>
            <w:pPr>
              <w:pStyle w:val="TableContents"/>
              <w:bidi w:val="0"/>
              <w:spacing w:before="0" w:after="283"/>
              <w:rPr/>
            </w:pPr>
            <w:r>
              <w:rPr/>
            </w:r>
          </w:p>
        </w:tc>
      </w:tr>
      <w:tr>
        <w:trPr/>
        <w:tc>
          <w:tcPr>
            <w:tcW w:w="7914" w:type="dxa"/>
            <w:tcBorders/>
            <w:vAlign w:val="center"/>
          </w:tcPr>
          <w:p>
            <w:pPr>
              <w:pStyle w:val="TableContents"/>
              <w:bidi w:val="0"/>
              <w:spacing w:before="0" w:after="283"/>
              <w:rPr/>
            </w:pPr>
            <w:r>
              <w:rPr/>
            </w:r>
          </w:p>
        </w:tc>
        <w:tc>
          <w:tcPr>
            <w:tcW w:w="7620" w:type="dxa"/>
            <w:tcBorders/>
            <w:vAlign w:val="center"/>
          </w:tcPr>
          <w:p>
            <w:pPr>
              <w:pStyle w:val="TableContents"/>
              <w:bidi w:val="0"/>
              <w:spacing w:before="0" w:after="283"/>
              <w:rPr/>
            </w:pPr>
            <w:r>
              <w:rPr/>
            </w:r>
          </w:p>
        </w:tc>
      </w:tr>
      <w:tr>
        <w:trPr/>
        <w:tc>
          <w:tcPr>
            <w:tcW w:w="7914" w:type="dxa"/>
            <w:tcBorders/>
            <w:vAlign w:val="center"/>
          </w:tcPr>
          <w:p>
            <w:pPr>
              <w:pStyle w:val="TableContents"/>
              <w:bidi w:val="0"/>
              <w:spacing w:before="0" w:after="283"/>
              <w:rPr/>
            </w:pPr>
            <w:r>
              <w:rPr/>
              <w:t>——————————————————————————</w:t>
            </w:r>
          </w:p>
        </w:tc>
        <w:tc>
          <w:tcPr>
            <w:tcW w:w="7620" w:type="dxa"/>
            <w:tcBorders/>
            <w:vAlign w:val="center"/>
          </w:tcPr>
          <w:p>
            <w:pPr>
              <w:pStyle w:val="TableContents"/>
              <w:bidi w:val="0"/>
              <w:spacing w:before="0" w:after="283"/>
              <w:rPr/>
            </w:pPr>
            <w:r>
              <w:rPr/>
              <w:t>——————————————————————————</w:t>
            </w:r>
          </w:p>
        </w:tc>
      </w:tr>
      <w:tr>
        <w:trPr/>
        <w:tc>
          <w:tcPr>
            <w:tcW w:w="7914" w:type="dxa"/>
            <w:tcBorders/>
            <w:vAlign w:val="center"/>
          </w:tcPr>
          <w:p>
            <w:pPr>
              <w:pStyle w:val="TableContents"/>
              <w:bidi w:val="0"/>
              <w:spacing w:before="0" w:after="283"/>
              <w:rPr/>
            </w:pPr>
            <w:r>
              <w:rPr/>
              <w:t>Gisbert Tönnemann-Loose (für Verkäufer)</w:t>
            </w:r>
          </w:p>
        </w:tc>
        <w:tc>
          <w:tcPr>
            <w:tcW w:w="7620" w:type="dxa"/>
            <w:tcBorders/>
            <w:vAlign w:val="center"/>
          </w:tcPr>
          <w:p>
            <w:pPr>
              <w:pStyle w:val="TableContents"/>
              <w:bidi w:val="0"/>
              <w:spacing w:before="0" w:after="283"/>
              <w:rPr/>
            </w:pPr>
            <w:r>
              <w:rPr/>
              <w:t>Gisbert Tönnemann-Loose (for sellers)</w:t>
            </w:r>
          </w:p>
        </w:tc>
      </w:tr>
      <w:tr>
        <w:trPr/>
        <w:tc>
          <w:tcPr>
            <w:tcW w:w="7914" w:type="dxa"/>
            <w:tcBorders/>
            <w:vAlign w:val="center"/>
          </w:tcPr>
          <w:p>
            <w:pPr>
              <w:pStyle w:val="TableContents"/>
              <w:bidi w:val="0"/>
              <w:spacing w:before="0" w:after="283"/>
              <w:rPr/>
            </w:pPr>
            <w:r>
              <w:rPr/>
            </w:r>
          </w:p>
        </w:tc>
        <w:tc>
          <w:tcPr>
            <w:tcW w:w="7620" w:type="dxa"/>
            <w:tcBorders/>
            <w:vAlign w:val="center"/>
          </w:tcPr>
          <w:p>
            <w:pPr>
              <w:pStyle w:val="TableContents"/>
              <w:bidi w:val="0"/>
              <w:spacing w:before="0" w:after="283"/>
              <w:rPr/>
            </w:pPr>
            <w:r>
              <w:rPr/>
            </w:r>
          </w:p>
        </w:tc>
      </w:tr>
      <w:tr>
        <w:trPr/>
        <w:tc>
          <w:tcPr>
            <w:tcW w:w="7914" w:type="dxa"/>
            <w:tcBorders/>
            <w:vAlign w:val="center"/>
          </w:tcPr>
          <w:p>
            <w:pPr>
              <w:pStyle w:val="TableContents"/>
              <w:bidi w:val="0"/>
              <w:spacing w:before="0" w:after="283"/>
              <w:rPr/>
            </w:pPr>
            <w:r>
              <w:rPr/>
            </w:r>
          </w:p>
        </w:tc>
        <w:tc>
          <w:tcPr>
            <w:tcW w:w="7620" w:type="dxa"/>
            <w:tcBorders/>
            <w:vAlign w:val="center"/>
          </w:tcPr>
          <w:p>
            <w:pPr>
              <w:pStyle w:val="TableContents"/>
              <w:bidi w:val="0"/>
              <w:spacing w:before="0" w:after="283"/>
              <w:rPr/>
            </w:pPr>
            <w:r>
              <w:rPr/>
            </w:r>
          </w:p>
        </w:tc>
      </w:tr>
      <w:tr>
        <w:trPr/>
        <w:tc>
          <w:tcPr>
            <w:tcW w:w="7914" w:type="dxa"/>
            <w:tcBorders/>
            <w:vAlign w:val="center"/>
          </w:tcPr>
          <w:p>
            <w:pPr>
              <w:pStyle w:val="TableContents"/>
              <w:bidi w:val="0"/>
              <w:spacing w:before="0" w:after="283"/>
              <w:rPr/>
            </w:pPr>
            <w:r>
              <w:rPr/>
              <w:t>——————————————————————————</w:t>
            </w:r>
          </w:p>
        </w:tc>
        <w:tc>
          <w:tcPr>
            <w:tcW w:w="7620" w:type="dxa"/>
            <w:tcBorders/>
            <w:vAlign w:val="center"/>
          </w:tcPr>
          <w:p>
            <w:pPr>
              <w:pStyle w:val="TableContents"/>
              <w:bidi w:val="0"/>
              <w:spacing w:before="0" w:after="283"/>
              <w:rPr/>
            </w:pPr>
            <w:r>
              <w:rPr/>
              <w:t>——————————————————————————</w:t>
            </w:r>
          </w:p>
        </w:tc>
      </w:tr>
      <w:tr>
        <w:trPr/>
        <w:tc>
          <w:tcPr>
            <w:tcW w:w="7914" w:type="dxa"/>
            <w:tcBorders/>
            <w:vAlign w:val="center"/>
          </w:tcPr>
          <w:p>
            <w:pPr>
              <w:pStyle w:val="TableContents"/>
              <w:bidi w:val="0"/>
              <w:spacing w:before="0" w:after="283"/>
              <w:rPr/>
            </w:pPr>
            <w:r>
              <w:rPr/>
              <w:t>Dr. Henrike Salentin-Voßkamp (Käufer)</w:t>
            </w:r>
          </w:p>
        </w:tc>
        <w:tc>
          <w:tcPr>
            <w:tcW w:w="7620" w:type="dxa"/>
            <w:tcBorders/>
            <w:vAlign w:val="center"/>
          </w:tcPr>
          <w:p>
            <w:pPr>
              <w:pStyle w:val="TableContents"/>
              <w:bidi w:val="0"/>
              <w:spacing w:before="0" w:after="283"/>
              <w:rPr/>
            </w:pPr>
            <w:r>
              <w:rPr/>
              <w:t>Dr. Henrike Salentin-Voßkamp (Buyer)</w:t>
            </w:r>
          </w:p>
        </w:tc>
      </w:tr>
      <w:tr>
        <w:trPr/>
        <w:tc>
          <w:tcPr>
            <w:tcW w:w="7914" w:type="dxa"/>
            <w:tcBorders/>
            <w:vAlign w:val="center"/>
          </w:tcPr>
          <w:p>
            <w:pPr>
              <w:pStyle w:val="TableContents"/>
              <w:bidi w:val="0"/>
              <w:spacing w:before="0" w:after="283"/>
              <w:rPr/>
            </w:pPr>
            <w:r>
              <w:rPr/>
            </w:r>
          </w:p>
        </w:tc>
        <w:tc>
          <w:tcPr>
            <w:tcW w:w="7620" w:type="dxa"/>
            <w:tcBorders/>
            <w:vAlign w:val="center"/>
          </w:tcPr>
          <w:p>
            <w:pPr>
              <w:pStyle w:val="TableContents"/>
              <w:bidi w:val="0"/>
              <w:spacing w:before="0" w:after="283"/>
              <w:rPr/>
            </w:pPr>
            <w:r>
              <w:rPr/>
            </w:r>
          </w:p>
        </w:tc>
      </w:tr>
      <w:tr>
        <w:trPr/>
        <w:tc>
          <w:tcPr>
            <w:tcW w:w="7914" w:type="dxa"/>
            <w:tcBorders/>
            <w:vAlign w:val="center"/>
          </w:tcPr>
          <w:p>
            <w:pPr>
              <w:pStyle w:val="TableContents"/>
              <w:bidi w:val="0"/>
              <w:spacing w:before="0" w:after="283"/>
              <w:rPr/>
            </w:pPr>
            <w:r>
              <w:rPr/>
            </w:r>
          </w:p>
        </w:tc>
        <w:tc>
          <w:tcPr>
            <w:tcW w:w="7620" w:type="dxa"/>
            <w:tcBorders/>
            <w:vAlign w:val="center"/>
          </w:tcPr>
          <w:p>
            <w:pPr>
              <w:pStyle w:val="TableContents"/>
              <w:bidi w:val="0"/>
              <w:spacing w:before="0" w:after="283"/>
              <w:rPr/>
            </w:pPr>
            <w:r>
              <w:rPr/>
            </w:r>
          </w:p>
        </w:tc>
      </w:tr>
      <w:tr>
        <w:trPr/>
        <w:tc>
          <w:tcPr>
            <w:tcW w:w="7914" w:type="dxa"/>
            <w:tcBorders/>
            <w:vAlign w:val="center"/>
          </w:tcPr>
          <w:p>
            <w:pPr>
              <w:pStyle w:val="TableContents"/>
              <w:bidi w:val="0"/>
              <w:spacing w:before="0" w:after="283"/>
              <w:rPr/>
            </w:pPr>
            <w:r>
              <w:rPr/>
              <w:t>——————————————————————————</w:t>
            </w:r>
          </w:p>
        </w:tc>
        <w:tc>
          <w:tcPr>
            <w:tcW w:w="7620" w:type="dxa"/>
            <w:tcBorders/>
            <w:vAlign w:val="center"/>
          </w:tcPr>
          <w:p>
            <w:pPr>
              <w:pStyle w:val="TableContents"/>
              <w:bidi w:val="0"/>
              <w:spacing w:before="0" w:after="283"/>
              <w:rPr/>
            </w:pPr>
            <w:r>
              <w:rPr/>
              <w:t>——————————————————————————</w:t>
            </w:r>
          </w:p>
        </w:tc>
      </w:tr>
      <w:tr>
        <w:trPr/>
        <w:tc>
          <w:tcPr>
            <w:tcW w:w="7914" w:type="dxa"/>
            <w:tcBorders/>
            <w:vAlign w:val="center"/>
          </w:tcPr>
          <w:p>
            <w:pPr>
              <w:pStyle w:val="TableContents"/>
              <w:bidi w:val="0"/>
              <w:spacing w:before="0" w:after="283"/>
              <w:rPr/>
            </w:pPr>
            <w:r>
              <w:rPr/>
              <w:t>Dr. Cornelia Brakelmann-Stüve, Notarin</w:t>
            </w:r>
          </w:p>
        </w:tc>
        <w:tc>
          <w:tcPr>
            <w:tcW w:w="7620" w:type="dxa"/>
            <w:tcBorders/>
            <w:vAlign w:val="center"/>
          </w:tcPr>
          <w:p>
            <w:pPr>
              <w:pStyle w:val="TableContents"/>
              <w:bidi w:val="0"/>
              <w:spacing w:before="0" w:after="283"/>
              <w:rPr/>
            </w:pPr>
            <w:r>
              <w:rPr/>
              <w:t>Dr Cornelia Brakelmann-Stüve, Notary</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Heading1"/>
              <w:bidi w:val="0"/>
              <w:spacing w:before="240" w:after="283"/>
              <w:ind w:hanging="0" w:start="0" w:end="0"/>
              <w:rPr/>
            </w:pPr>
            <w:bookmarkStart w:id="46" w:name="anlage-baubeschreibung"/>
            <w:bookmarkEnd w:id="46"/>
            <w:r>
              <w:rPr/>
              <w:t>Anlage: Baubeschreibung</w:t>
            </w:r>
          </w:p>
        </w:tc>
        <w:tc>
          <w:tcPr>
            <w:tcW w:w="7620" w:type="dxa"/>
            <w:tcBorders/>
            <w:vAlign w:val="center"/>
          </w:tcPr>
          <w:p>
            <w:pPr>
              <w:pStyle w:val="Heading1"/>
              <w:bidi w:val="0"/>
              <w:spacing w:before="240" w:after="283"/>
              <w:ind w:hanging="0" w:start="0" w:end="0"/>
              <w:rPr/>
            </w:pPr>
            <w:bookmarkStart w:id="47" w:name="annex-building-specification"/>
            <w:bookmarkEnd w:id="47"/>
            <w:r>
              <w:rPr/>
              <w:t>Annex: Building Specification</w:t>
            </w:r>
          </w:p>
        </w:tc>
      </w:tr>
      <w:tr>
        <w:trPr/>
        <w:tc>
          <w:tcPr>
            <w:tcW w:w="7914" w:type="dxa"/>
            <w:tcBorders/>
            <w:vAlign w:val="center"/>
          </w:tcPr>
          <w:p>
            <w:pPr>
              <w:pStyle w:val="TableContents"/>
              <w:bidi w:val="0"/>
              <w:spacing w:before="0" w:after="283"/>
              <w:rPr/>
            </w:pPr>
            <w:r>
              <w:rPr/>
              <w:t>Bauvorhaben: Wohnquartier „Marewald Höfe”, Gemarkung Eilbek, Flur 12, Flurstück 344/9</w:t>
            </w:r>
          </w:p>
        </w:tc>
        <w:tc>
          <w:tcPr>
            <w:tcW w:w="7620" w:type="dxa"/>
            <w:tcBorders/>
            <w:vAlign w:val="center"/>
          </w:tcPr>
          <w:p>
            <w:pPr>
              <w:pStyle w:val="TableContents"/>
              <w:bidi w:val="0"/>
              <w:spacing w:before="0" w:after="283"/>
              <w:rPr/>
            </w:pPr>
            <w:r>
              <w:rPr/>
              <w:t>Construction project: residential quarter “Marewald Höfe”, Eilbek district, corridor 12, parcel 344/9</w:t>
            </w:r>
          </w:p>
        </w:tc>
      </w:tr>
      <w:tr>
        <w:trPr/>
        <w:tc>
          <w:tcPr>
            <w:tcW w:w="7914" w:type="dxa"/>
            <w:tcBorders/>
            <w:vAlign w:val="center"/>
          </w:tcPr>
          <w:p>
            <w:pPr>
              <w:pStyle w:val="TableContents"/>
              <w:bidi w:val="0"/>
              <w:spacing w:before="0" w:after="283"/>
              <w:rPr/>
            </w:pPr>
            <w:r>
              <w:rPr/>
              <w:t>Bauträgerin: Marewald Wohnbau GmbH &amp; Co. KG, Mundsburger Damm 5, 22087 Hamburg</w:t>
            </w:r>
          </w:p>
        </w:tc>
        <w:tc>
          <w:tcPr>
            <w:tcW w:w="7620" w:type="dxa"/>
            <w:tcBorders/>
            <w:vAlign w:val="center"/>
          </w:tcPr>
          <w:p>
            <w:pPr>
              <w:pStyle w:val="TableContents"/>
              <w:bidi w:val="0"/>
              <w:spacing w:before="0" w:after="283"/>
              <w:rPr/>
            </w:pPr>
            <w:r>
              <w:rPr/>
              <w:t>Developer: Marewald Wohnbau GmbH &amp; Co. KG, Mundsburger Damm 5, 22087 Hamburg</w:t>
            </w:r>
          </w:p>
        </w:tc>
      </w:tr>
      <w:tr>
        <w:trPr/>
        <w:tc>
          <w:tcPr>
            <w:tcW w:w="7914" w:type="dxa"/>
            <w:tcBorders/>
            <w:vAlign w:val="center"/>
          </w:tcPr>
          <w:p>
            <w:pPr>
              <w:pStyle w:val="TableContents"/>
              <w:bidi w:val="0"/>
              <w:spacing w:before="0" w:after="283"/>
              <w:rPr/>
            </w:pPr>
            <w:r>
              <w:rPr/>
              <w:t>Fassung: Mai 2026 — Version 3.0</w:t>
            </w:r>
          </w:p>
        </w:tc>
        <w:tc>
          <w:tcPr>
            <w:tcW w:w="7620" w:type="dxa"/>
            <w:tcBorders/>
            <w:vAlign w:val="center"/>
          </w:tcPr>
          <w:p>
            <w:pPr>
              <w:pStyle w:val="TableContents"/>
              <w:bidi w:val="0"/>
              <w:spacing w:before="0" w:after="283"/>
              <w:rPr/>
            </w:pPr>
            <w:r>
              <w:rPr/>
              <w:t>Version May 2026 — Version 3.0</w:t>
            </w:r>
          </w:p>
        </w:tc>
      </w:tr>
      <w:tr>
        <w:trPr/>
        <w:tc>
          <w:tcPr>
            <w:tcW w:w="7914" w:type="dxa"/>
            <w:tcBorders/>
            <w:vAlign w:val="center"/>
          </w:tcPr>
          <w:p>
            <w:pPr>
              <w:pStyle w:val="TableContents"/>
              <w:bidi w:val="0"/>
              <w:spacing w:before="0" w:after="283"/>
              <w:rPr/>
            </w:pPr>
            <w:r>
              <w:rPr/>
              <w:t>Bezug: Haus C, Wohnung C-2.14 (2. Obergeschoss) nebst Kellerabteil K-C14, Balkon B-C14 und Tiefgaragenstellplatz TG-58</w:t>
            </w:r>
          </w:p>
        </w:tc>
        <w:tc>
          <w:tcPr>
            <w:tcW w:w="7620" w:type="dxa"/>
            <w:tcBorders/>
            <w:vAlign w:val="center"/>
          </w:tcPr>
          <w:p>
            <w:pPr>
              <w:pStyle w:val="TableContents"/>
              <w:bidi w:val="0"/>
              <w:spacing w:before="0" w:after="283"/>
              <w:rPr/>
            </w:pPr>
            <w:r>
              <w:rPr/>
              <w:t>Reference: House C, apartment C-2.14 (2nd floor) with basement compartment K-C14, balcony B-C14 and underground parking space TG-58</w:t>
            </w:r>
          </w:p>
        </w:tc>
      </w:tr>
      <w:tr>
        <w:trPr/>
        <w:tc>
          <w:tcPr>
            <w:tcW w:w="7914" w:type="dxa"/>
            <w:tcBorders/>
            <w:vAlign w:val="center"/>
          </w:tcPr>
          <w:p>
            <w:pPr>
              <w:pStyle w:val="Heading2"/>
              <w:bidi w:val="0"/>
              <w:spacing w:before="200" w:after="120"/>
              <w:ind w:hanging="0" w:start="0" w:end="0"/>
              <w:rPr/>
            </w:pPr>
            <w:bookmarkStart w:id="48" w:name="vorbemerkungen-zur-baubeschreibung"/>
            <w:bookmarkEnd w:id="48"/>
            <w:r>
              <w:rPr/>
              <w:t>Vorbemerkungen zur Baubeschreibung</w:t>
            </w:r>
          </w:p>
        </w:tc>
        <w:tc>
          <w:tcPr>
            <w:tcW w:w="7620" w:type="dxa"/>
            <w:tcBorders/>
            <w:vAlign w:val="center"/>
          </w:tcPr>
          <w:p>
            <w:pPr>
              <w:pStyle w:val="Heading2"/>
              <w:bidi w:val="0"/>
              <w:spacing w:before="200" w:after="120"/>
              <w:ind w:hanging="0" w:start="0" w:end="0"/>
              <w:rPr/>
            </w:pPr>
            <w:bookmarkStart w:id="49" w:name="preliminary-remarks-on-the-description-o"/>
            <w:bookmarkEnd w:id="49"/>
            <w:r>
              <w:rPr/>
              <w:t>Preliminary remarks on the description of the building</w:t>
            </w:r>
          </w:p>
        </w:tc>
      </w:tr>
      <w:tr>
        <w:trPr/>
        <w:tc>
          <w:tcPr>
            <w:tcW w:w="7914" w:type="dxa"/>
            <w:tcBorders/>
            <w:vAlign w:val="center"/>
          </w:tcPr>
          <w:p>
            <w:pPr>
              <w:pStyle w:val="TableContents"/>
              <w:bidi w:val="0"/>
              <w:spacing w:before="0" w:after="283"/>
              <w:rPr/>
            </w:pPr>
            <w:r>
              <w:rPr>
                <w:rStyle w:val="Strong"/>
              </w:rPr>
              <w:t>V.1</w:t>
            </w:r>
            <w:r>
              <w:rPr/>
              <w:t xml:space="preserve"> Diese Baubeschreibung beschreibt das Bausoll abschließend und ist mitbeurkundeter Bestandteil des Kaufvertrages. Wo sie konkrete Werte, Klassen oder Fabrikatsfamilien nennt, sind diese verbindlich; wo sie „gleichwertig” zulässt, ist die Gleichwertigkeit am genannten Kennwert zu messen.</w:t>
            </w:r>
          </w:p>
        </w:tc>
        <w:tc>
          <w:tcPr>
            <w:tcW w:w="7620" w:type="dxa"/>
            <w:tcBorders/>
            <w:vAlign w:val="center"/>
          </w:tcPr>
          <w:p>
            <w:pPr>
              <w:pStyle w:val="TableContents"/>
              <w:bidi w:val="0"/>
              <w:spacing w:before="0" w:after="283"/>
              <w:rPr/>
            </w:pPr>
            <w:r>
              <w:rPr>
                <w:rStyle w:val="Strong"/>
              </w:rPr>
              <w:t>V.1</w:t>
            </w:r>
            <w:r>
              <w:rPr/>
              <w:t xml:space="preserve"> This construction description describes the construction target in conclusion and is a certified part of the purchase contract. Where it specifies specific values, classes or families of manufacture, these are mandatory; where it allows ‘equivalent’, equivalence shall be measured on the said characteristic.</w:t>
            </w:r>
          </w:p>
        </w:tc>
      </w:tr>
      <w:tr>
        <w:trPr/>
        <w:tc>
          <w:tcPr>
            <w:tcW w:w="7914" w:type="dxa"/>
            <w:tcBorders/>
            <w:vAlign w:val="center"/>
          </w:tcPr>
          <w:p>
            <w:pPr>
              <w:pStyle w:val="TableContents"/>
              <w:bidi w:val="0"/>
              <w:spacing w:before="0" w:after="283"/>
              <w:rPr/>
            </w:pPr>
            <w:r>
              <w:rPr>
                <w:rStyle w:val="Strong"/>
              </w:rPr>
              <w:t>V.2</w:t>
            </w:r>
            <w:r>
              <w:rPr/>
              <w:t xml:space="preserve"> Benannte Fabrikate sind beispielhaft; der Verkäufer darf gleichwertige Produkte einsetzen, wenn der genannte Mindeststandard (Maß, Klasse, Kennwert) eingehalten wird. Ein Anspruch auf ein bestimmtes Fabrikat besteht nur, wenn es ausdrücklich als verbindlich bezeichnet ist.</w:t>
            </w:r>
          </w:p>
        </w:tc>
        <w:tc>
          <w:tcPr>
            <w:tcW w:w="7620" w:type="dxa"/>
            <w:tcBorders/>
            <w:vAlign w:val="center"/>
          </w:tcPr>
          <w:p>
            <w:pPr>
              <w:pStyle w:val="TableContents"/>
              <w:bidi w:val="0"/>
              <w:spacing w:before="0" w:after="283"/>
              <w:rPr/>
            </w:pPr>
            <w:r>
              <w:rPr>
                <w:rStyle w:val="Strong"/>
              </w:rPr>
              <w:t>V.2</w:t>
            </w:r>
            <w:r>
              <w:rPr/>
              <w:t xml:space="preserve"> The named products are exemplary; the Seller may use equivalent products if the minimum standard mentioned (measurement, class, characteristic) is complied with. A claim to a particular make exists only if it is expressly designated as binding.</w:t>
            </w:r>
          </w:p>
        </w:tc>
      </w:tr>
      <w:tr>
        <w:trPr/>
        <w:tc>
          <w:tcPr>
            <w:tcW w:w="7914" w:type="dxa"/>
            <w:tcBorders/>
            <w:vAlign w:val="center"/>
          </w:tcPr>
          <w:p>
            <w:pPr>
              <w:pStyle w:val="TableContents"/>
              <w:bidi w:val="0"/>
              <w:spacing w:before="0" w:after="283"/>
              <w:rPr/>
            </w:pPr>
            <w:r>
              <w:rPr>
                <w:rStyle w:val="Strong"/>
              </w:rPr>
              <w:t>V.3</w:t>
            </w:r>
            <w:r>
              <w:rPr/>
              <w:t xml:space="preserve"> Maßangaben in Plänen sind, soweit nicht als verbindlich bezeichnet, ca.-Angaben; geringfügige, bauphysikalisch oder statisch bedingte Verschiebungen von Schächten, Unterzügen und abgehängten Decken bleiben vorbehalten und sind kein Mangel, solange die genannten Kennwerte und die Nutzbarkeit erhalten bleiben.</w:t>
            </w:r>
          </w:p>
        </w:tc>
        <w:tc>
          <w:tcPr>
            <w:tcW w:w="7620" w:type="dxa"/>
            <w:tcBorders/>
            <w:vAlign w:val="center"/>
          </w:tcPr>
          <w:p>
            <w:pPr>
              <w:pStyle w:val="TableContents"/>
              <w:bidi w:val="0"/>
              <w:spacing w:before="0" w:after="283"/>
              <w:rPr/>
            </w:pPr>
            <w:r>
              <w:rPr>
                <w:rStyle w:val="Strong"/>
              </w:rPr>
              <w:t>V.3</w:t>
            </w:r>
            <w:r>
              <w:rPr/>
              <w:t xml:space="preserve"> Dimensional specifications in plans are, unless designated as binding, approximate specifications; minor, structural or static displacements of shafts, underlays and suspended ceilings are reserved and are not defects, as long as the stated characteristics and usability are maintained.</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Heading1"/>
              <w:bidi w:val="0"/>
              <w:spacing w:before="240" w:after="283"/>
              <w:ind w:hanging="0" w:start="0" w:end="0"/>
              <w:rPr/>
            </w:pPr>
            <w:bookmarkStart w:id="50" w:name="allgemeines-konstruktion"/>
            <w:bookmarkEnd w:id="50"/>
            <w:r>
              <w:rPr/>
              <w:t>1 Allgemeines, Konstruktion</w:t>
            </w:r>
          </w:p>
        </w:tc>
        <w:tc>
          <w:tcPr>
            <w:tcW w:w="7620" w:type="dxa"/>
            <w:tcBorders/>
            <w:vAlign w:val="center"/>
          </w:tcPr>
          <w:p>
            <w:pPr>
              <w:pStyle w:val="Heading1"/>
              <w:bidi w:val="0"/>
              <w:spacing w:before="240" w:after="283"/>
              <w:ind w:hanging="0" w:start="0" w:end="0"/>
              <w:rPr/>
            </w:pPr>
            <w:bookmarkStart w:id="51" w:name="general-construction"/>
            <w:bookmarkEnd w:id="51"/>
            <w:r>
              <w:rPr/>
              <w:t>1 General, construction</w:t>
            </w:r>
          </w:p>
        </w:tc>
      </w:tr>
      <w:tr>
        <w:trPr/>
        <w:tc>
          <w:tcPr>
            <w:tcW w:w="7914" w:type="dxa"/>
            <w:tcBorders/>
            <w:vAlign w:val="center"/>
          </w:tcPr>
          <w:p>
            <w:pPr>
              <w:pStyle w:val="TableContents"/>
              <w:bidi w:val="0"/>
              <w:spacing w:before="0" w:after="283"/>
              <w:rPr/>
            </w:pPr>
            <w:r>
              <w:rPr>
                <w:rStyle w:val="Strong"/>
              </w:rPr>
              <w:t>1.1</w:t>
            </w:r>
            <w:r>
              <w:rPr/>
              <w:t xml:space="preserve"> Haus C wird in Massivbauweise (Stahlbeton/Mauerwerk) mit Flachdach errichtet. Die Wohnung C-2.14 liegt im 2. Obergeschoss.</w:t>
            </w:r>
          </w:p>
        </w:tc>
        <w:tc>
          <w:tcPr>
            <w:tcW w:w="7620" w:type="dxa"/>
            <w:tcBorders/>
            <w:vAlign w:val="center"/>
          </w:tcPr>
          <w:p>
            <w:pPr>
              <w:pStyle w:val="TableContents"/>
              <w:bidi w:val="0"/>
              <w:spacing w:before="0" w:after="283"/>
              <w:rPr/>
            </w:pPr>
            <w:r>
              <w:rPr>
                <w:rStyle w:val="Strong"/>
              </w:rPr>
              <w:t>1.1</w:t>
            </w:r>
            <w:r>
              <w:rPr/>
              <w:t xml:space="preserve"> House C is built in solid construction (steel concrete / wall work) with flat roof. Apartment C-2.14 is on the 2nd floor.</w:t>
            </w:r>
          </w:p>
        </w:tc>
      </w:tr>
      <w:tr>
        <w:trPr/>
        <w:tc>
          <w:tcPr>
            <w:tcW w:w="7914" w:type="dxa"/>
            <w:tcBorders/>
            <w:vAlign w:val="center"/>
          </w:tcPr>
          <w:p>
            <w:pPr>
              <w:pStyle w:val="TableContents"/>
              <w:bidi w:val="0"/>
              <w:spacing w:before="0" w:after="283"/>
              <w:rPr/>
            </w:pPr>
            <w:r>
              <w:rPr>
                <w:rStyle w:val="Strong"/>
              </w:rPr>
              <w:t>1.2</w:t>
            </w:r>
            <w:r>
              <w:rPr/>
              <w:t xml:space="preserve"> Die Ausstattung entspricht der Linie „Marewald Komfort C”. Soweit einzelne Festlegungen offenbleiben, gilt mittlere Art und Güte nach Abschnitt V und § 5.5 des Vertrages.</w:t>
            </w:r>
          </w:p>
        </w:tc>
        <w:tc>
          <w:tcPr>
            <w:tcW w:w="7620" w:type="dxa"/>
            <w:tcBorders/>
            <w:vAlign w:val="center"/>
          </w:tcPr>
          <w:p>
            <w:pPr>
              <w:pStyle w:val="TableContents"/>
              <w:bidi w:val="0"/>
              <w:spacing w:before="0" w:after="283"/>
              <w:rPr/>
            </w:pPr>
            <w:r>
              <w:rPr>
                <w:rStyle w:val="Strong"/>
              </w:rPr>
              <w:t>1.2</w:t>
            </w:r>
            <w:r>
              <w:rPr/>
              <w:t xml:space="preserve"> The equipment corresponds to the line “Marewald Comfort C”. As far as individual provisions remain open, medium type and quality shall apply according to Section V and § 5.5 of the contract.</w:t>
            </w:r>
          </w:p>
        </w:tc>
      </w:tr>
      <w:tr>
        <w:trPr/>
        <w:tc>
          <w:tcPr>
            <w:tcW w:w="7914" w:type="dxa"/>
            <w:tcBorders/>
            <w:vAlign w:val="center"/>
          </w:tcPr>
          <w:p>
            <w:pPr>
              <w:pStyle w:val="Heading1"/>
              <w:bidi w:val="0"/>
              <w:spacing w:before="240" w:after="283"/>
              <w:ind w:hanging="0" w:start="0" w:end="0"/>
              <w:rPr/>
            </w:pPr>
            <w:bookmarkStart w:id="52" w:name="baugrund-gründung-abdichtung"/>
            <w:bookmarkEnd w:id="52"/>
            <w:r>
              <w:rPr/>
              <w:t>2 Baugrund, Gründung, Abdichtung</w:t>
            </w:r>
          </w:p>
        </w:tc>
        <w:tc>
          <w:tcPr>
            <w:tcW w:w="7620" w:type="dxa"/>
            <w:tcBorders/>
            <w:vAlign w:val="center"/>
          </w:tcPr>
          <w:p>
            <w:pPr>
              <w:pStyle w:val="Heading1"/>
              <w:bidi w:val="0"/>
              <w:spacing w:before="240" w:after="283"/>
              <w:ind w:hanging="0" w:start="0" w:end="0"/>
              <w:rPr/>
            </w:pPr>
            <w:bookmarkStart w:id="53" w:name="building-ground-foundation-sealing"/>
            <w:bookmarkEnd w:id="53"/>
            <w:r>
              <w:rPr/>
              <w:t>2 Building ground, foundation, sealing</w:t>
            </w:r>
          </w:p>
        </w:tc>
      </w:tr>
      <w:tr>
        <w:trPr/>
        <w:tc>
          <w:tcPr>
            <w:tcW w:w="7914" w:type="dxa"/>
            <w:tcBorders/>
            <w:vAlign w:val="center"/>
          </w:tcPr>
          <w:p>
            <w:pPr>
              <w:pStyle w:val="TableContents"/>
              <w:bidi w:val="0"/>
              <w:spacing w:before="0" w:after="283"/>
              <w:rPr/>
            </w:pPr>
            <w:r>
              <w:rPr>
                <w:rStyle w:val="Strong"/>
              </w:rPr>
              <w:t>2.1</w:t>
            </w:r>
            <w:r>
              <w:rPr/>
              <w:t xml:space="preserve"> Gründung und Abdichtung erfolgen nach dem geprüften Standsicherheitsnachweis und dem Abdichtungskonzept. Erdberührte Bauteile werden nach der einschlägigen Abdichtungsnorm gegen die nach Baugrundgutachten maßgebliche Wassereinwirkung abgedichtet (mindestens gegen Bodenfeuchte und nichtstauendes Sickerwasser; bei drückendem Wasser als wasserundurchlässige Konstruktion).</w:t>
            </w:r>
          </w:p>
        </w:tc>
        <w:tc>
          <w:tcPr>
            <w:tcW w:w="7620" w:type="dxa"/>
            <w:tcBorders/>
            <w:vAlign w:val="center"/>
          </w:tcPr>
          <w:p>
            <w:pPr>
              <w:pStyle w:val="TableContents"/>
              <w:bidi w:val="0"/>
              <w:spacing w:before="0" w:after="283"/>
              <w:rPr/>
            </w:pPr>
            <w:r>
              <w:rPr>
                <w:rStyle w:val="Strong"/>
              </w:rPr>
              <w:t>2.1</w:t>
            </w:r>
            <w:r>
              <w:rPr/>
              <w:t xml:space="preserve"> Foundation and sealing are carried out according to the tested stability proof and the sealing concept. Ground-contacted components are sealed according to the relevant sealing standard against the water effect that is relevant according to the building ground survey (at least against soil moisture and non-congesting seepage water; in the case of oppressive water as a water-impermeable structure).</w:t>
            </w:r>
          </w:p>
        </w:tc>
      </w:tr>
      <w:tr>
        <w:trPr/>
        <w:tc>
          <w:tcPr>
            <w:tcW w:w="7914" w:type="dxa"/>
            <w:tcBorders/>
            <w:vAlign w:val="center"/>
          </w:tcPr>
          <w:p>
            <w:pPr>
              <w:pStyle w:val="Heading1"/>
              <w:bidi w:val="0"/>
              <w:spacing w:before="240" w:after="283"/>
              <w:ind w:hanging="0" w:start="0" w:end="0"/>
              <w:rPr/>
            </w:pPr>
            <w:bookmarkStart w:id="54" w:name="fassade-wärmedämmung"/>
            <w:bookmarkEnd w:id="54"/>
            <w:r>
              <w:rPr/>
              <w:t>3 Fassade, Wärmedämmung</w:t>
            </w:r>
          </w:p>
        </w:tc>
        <w:tc>
          <w:tcPr>
            <w:tcW w:w="7620" w:type="dxa"/>
            <w:tcBorders/>
            <w:vAlign w:val="center"/>
          </w:tcPr>
          <w:p>
            <w:pPr>
              <w:pStyle w:val="Heading1"/>
              <w:bidi w:val="0"/>
              <w:spacing w:before="240" w:after="283"/>
              <w:ind w:hanging="0" w:start="0" w:end="0"/>
              <w:rPr/>
            </w:pPr>
            <w:bookmarkStart w:id="55" w:name="facade-thermal-insulation"/>
            <w:bookmarkEnd w:id="55"/>
            <w:r>
              <w:rPr/>
              <w:t>3 Facade, thermal insulation</w:t>
            </w:r>
          </w:p>
        </w:tc>
      </w:tr>
      <w:tr>
        <w:trPr/>
        <w:tc>
          <w:tcPr>
            <w:tcW w:w="7914" w:type="dxa"/>
            <w:tcBorders/>
            <w:vAlign w:val="center"/>
          </w:tcPr>
          <w:p>
            <w:pPr>
              <w:pStyle w:val="TableContents"/>
              <w:bidi w:val="0"/>
              <w:spacing w:before="0" w:after="283"/>
              <w:rPr/>
            </w:pPr>
            <w:r>
              <w:rPr>
                <w:rStyle w:val="Strong"/>
              </w:rPr>
              <w:t>3.1</w:t>
            </w:r>
            <w:r>
              <w:rPr/>
              <w:t xml:space="preserve"> Die Außenwände erhalten ein Wärmedämmverbundsystem oder eine vorgehängte Fassade nach Fassadenkonzept Haus C. Der wärmeschutztechnische Standard entspricht mindestens den GEG-Anforderungen zum Bauantrag (§ 5.10 des Vertrages).</w:t>
            </w:r>
          </w:p>
        </w:tc>
        <w:tc>
          <w:tcPr>
            <w:tcW w:w="7620" w:type="dxa"/>
            <w:tcBorders/>
            <w:vAlign w:val="center"/>
          </w:tcPr>
          <w:p>
            <w:pPr>
              <w:pStyle w:val="TableContents"/>
              <w:bidi w:val="0"/>
              <w:spacing w:before="0" w:after="283"/>
              <w:rPr/>
            </w:pPr>
            <w:r>
              <w:rPr>
                <w:rStyle w:val="Strong"/>
              </w:rPr>
              <w:t>3.1</w:t>
            </w:r>
            <w:r>
              <w:rPr/>
              <w:t xml:space="preserve"> The outer walls receive a thermal insulation composite system or a curtained facade according to the facade concept House C. The thermal protection standard meets at least the GEG requirements for the building application (§ 5.10 of the contract).</w:t>
            </w:r>
          </w:p>
        </w:tc>
      </w:tr>
      <w:tr>
        <w:trPr/>
        <w:tc>
          <w:tcPr>
            <w:tcW w:w="7914" w:type="dxa"/>
            <w:tcBorders/>
            <w:vAlign w:val="center"/>
          </w:tcPr>
          <w:p>
            <w:pPr>
              <w:pStyle w:val="Heading1"/>
              <w:bidi w:val="0"/>
              <w:spacing w:before="240" w:after="283"/>
              <w:ind w:hanging="0" w:start="0" w:end="0"/>
              <w:rPr/>
            </w:pPr>
            <w:bookmarkStart w:id="56" w:name="fenster-außentüren"/>
            <w:bookmarkEnd w:id="56"/>
            <w:r>
              <w:rPr/>
              <w:t>4 Fenster, Außentüren</w:t>
            </w:r>
          </w:p>
        </w:tc>
        <w:tc>
          <w:tcPr>
            <w:tcW w:w="7620" w:type="dxa"/>
            <w:tcBorders/>
            <w:vAlign w:val="center"/>
          </w:tcPr>
          <w:p>
            <w:pPr>
              <w:pStyle w:val="Heading1"/>
              <w:bidi w:val="0"/>
              <w:spacing w:before="240" w:after="283"/>
              <w:ind w:hanging="0" w:start="0" w:end="0"/>
              <w:rPr/>
            </w:pPr>
            <w:bookmarkStart w:id="57" w:name="windows-exterior-doors"/>
            <w:bookmarkEnd w:id="57"/>
            <w:r>
              <w:rPr/>
              <w:t>4 windows, exterior doors</w:t>
            </w:r>
          </w:p>
        </w:tc>
      </w:tr>
      <w:tr>
        <w:trPr/>
        <w:tc>
          <w:tcPr>
            <w:tcW w:w="7914" w:type="dxa"/>
            <w:tcBorders/>
            <w:vAlign w:val="center"/>
          </w:tcPr>
          <w:p>
            <w:pPr>
              <w:pStyle w:val="TableContents"/>
              <w:bidi w:val="0"/>
              <w:spacing w:before="0" w:after="283"/>
              <w:rPr/>
            </w:pPr>
            <w:r>
              <w:rPr>
                <w:rStyle w:val="Strong"/>
              </w:rPr>
              <w:t>4.1</w:t>
            </w:r>
            <w:r>
              <w:rPr/>
              <w:t xml:space="preserve"> Fenster der Wohnung C-2.14 werden als Kunststoff- oder Kunststoff-Aluminium-Fenster mit Dreischeiben-Isolierverglasung (Uw ≤ 1,0 W/(m²·K)) ausgeführt. Mindestens die Schlafraumfenster erhalten außenliegenden Sonnenschutz; Profil, Öffnungsart und Farbton bestimmt der Verkäufer im Rahmen des Fassadenkonzepts.</w:t>
            </w:r>
          </w:p>
        </w:tc>
        <w:tc>
          <w:tcPr>
            <w:tcW w:w="7620" w:type="dxa"/>
            <w:tcBorders/>
            <w:vAlign w:val="center"/>
          </w:tcPr>
          <w:p>
            <w:pPr>
              <w:pStyle w:val="TableContents"/>
              <w:bidi w:val="0"/>
              <w:spacing w:before="0" w:after="283"/>
              <w:rPr/>
            </w:pPr>
            <w:r>
              <w:rPr>
                <w:rStyle w:val="Strong"/>
              </w:rPr>
              <w:t>4.1</w:t>
            </w:r>
            <w:r>
              <w:rPr/>
              <w:t xml:space="preserve"> Windows of apartment C-2.14 are designed as plastic or plastic aluminum windows with three-pane insulating glazing (Uw ≤ 1.0 W/(m2·K)). At least the bedroom windows shall be provided with external sun protection; Profile, opening type and colour shade are determined by the Seller within the framework of the facade concept.</w:t>
            </w:r>
          </w:p>
        </w:tc>
      </w:tr>
      <w:tr>
        <w:trPr/>
        <w:tc>
          <w:tcPr>
            <w:tcW w:w="7914" w:type="dxa"/>
            <w:tcBorders/>
            <w:vAlign w:val="center"/>
          </w:tcPr>
          <w:p>
            <w:pPr>
              <w:pStyle w:val="Heading1"/>
              <w:bidi w:val="0"/>
              <w:spacing w:before="240" w:after="283"/>
              <w:ind w:hanging="0" w:start="0" w:end="0"/>
              <w:rPr/>
            </w:pPr>
            <w:bookmarkStart w:id="58" w:name="innenwände-putz-estrich"/>
            <w:bookmarkEnd w:id="58"/>
            <w:r>
              <w:rPr/>
              <w:t>5 Innenwände, Putz, Estrich</w:t>
            </w:r>
          </w:p>
        </w:tc>
        <w:tc>
          <w:tcPr>
            <w:tcW w:w="7620" w:type="dxa"/>
            <w:tcBorders/>
            <w:vAlign w:val="center"/>
          </w:tcPr>
          <w:p>
            <w:pPr>
              <w:pStyle w:val="Heading1"/>
              <w:bidi w:val="0"/>
              <w:spacing w:before="240" w:after="283"/>
              <w:ind w:hanging="0" w:start="0" w:end="0"/>
              <w:rPr/>
            </w:pPr>
            <w:bookmarkStart w:id="59" w:name="interior-walls-plaster-screed"/>
            <w:bookmarkEnd w:id="59"/>
            <w:r>
              <w:rPr/>
              <w:t>5 Interior walls, plaster, screed</w:t>
            </w:r>
          </w:p>
        </w:tc>
      </w:tr>
      <w:tr>
        <w:trPr/>
        <w:tc>
          <w:tcPr>
            <w:tcW w:w="7914" w:type="dxa"/>
            <w:tcBorders/>
            <w:vAlign w:val="center"/>
          </w:tcPr>
          <w:p>
            <w:pPr>
              <w:pStyle w:val="TableContents"/>
              <w:bidi w:val="0"/>
              <w:spacing w:before="0" w:after="283"/>
              <w:rPr/>
            </w:pPr>
            <w:r>
              <w:rPr>
                <w:rStyle w:val="Strong"/>
              </w:rPr>
              <w:t>5.1</w:t>
            </w:r>
            <w:r>
              <w:rPr/>
              <w:t xml:space="preserve"> Wohnungstrennwände und Wände zum Treppenhaus werden nach Schallschutzanforderung (Abschnitt 11) ausgeführt. Innenwände werden verputzt oder in Trockenbau hergestellt und malerfertig vorbereitet; ein Anstrich der Wohnräume ist nicht enthalten. In den Wohnräumen wird ein schwimmender Estrich auf Trittschalldämmung eingebracht.</w:t>
            </w:r>
          </w:p>
        </w:tc>
        <w:tc>
          <w:tcPr>
            <w:tcW w:w="7620" w:type="dxa"/>
            <w:tcBorders/>
            <w:vAlign w:val="center"/>
          </w:tcPr>
          <w:p>
            <w:pPr>
              <w:pStyle w:val="TableContents"/>
              <w:bidi w:val="0"/>
              <w:spacing w:before="0" w:after="283"/>
              <w:rPr/>
            </w:pPr>
            <w:r>
              <w:rPr>
                <w:rStyle w:val="Strong"/>
              </w:rPr>
              <w:t>5.1</w:t>
            </w:r>
            <w:r>
              <w:rPr/>
              <w:t xml:space="preserve"> Residential partitions and stairwell walls shall be designed in accordance with noise protection requirement (Section 11). Interior walls are plastered or made in drywall and painted; a paint on the living quarters is not included. In the living rooms, a floating screed is introduced on footstep sound insulation.</w:t>
            </w:r>
          </w:p>
        </w:tc>
      </w:tr>
      <w:tr>
        <w:trPr/>
        <w:tc>
          <w:tcPr>
            <w:tcW w:w="7914" w:type="dxa"/>
            <w:tcBorders/>
            <w:vAlign w:val="center"/>
          </w:tcPr>
          <w:p>
            <w:pPr>
              <w:pStyle w:val="Heading1"/>
              <w:bidi w:val="0"/>
              <w:spacing w:before="240" w:after="283"/>
              <w:ind w:hanging="0" w:start="0" w:end="0"/>
              <w:rPr/>
            </w:pPr>
            <w:bookmarkStart w:id="60" w:name="bodenbeläge-fliesen"/>
            <w:bookmarkEnd w:id="60"/>
            <w:r>
              <w:rPr/>
              <w:t>6 Bodenbeläge, Fliesen</w:t>
            </w:r>
          </w:p>
        </w:tc>
        <w:tc>
          <w:tcPr>
            <w:tcW w:w="7620" w:type="dxa"/>
            <w:tcBorders/>
            <w:vAlign w:val="center"/>
          </w:tcPr>
          <w:p>
            <w:pPr>
              <w:pStyle w:val="Heading1"/>
              <w:bidi w:val="0"/>
              <w:spacing w:before="240" w:after="283"/>
              <w:ind w:hanging="0" w:start="0" w:end="0"/>
              <w:rPr/>
            </w:pPr>
            <w:bookmarkStart w:id="61" w:name="floor-coverings-tiles"/>
            <w:bookmarkEnd w:id="61"/>
            <w:r>
              <w:rPr/>
              <w:t>6 Floor coverings, tiles</w:t>
            </w:r>
          </w:p>
        </w:tc>
      </w:tr>
      <w:tr>
        <w:trPr/>
        <w:tc>
          <w:tcPr>
            <w:tcW w:w="7914" w:type="dxa"/>
            <w:tcBorders/>
            <w:vAlign w:val="center"/>
          </w:tcPr>
          <w:p>
            <w:pPr>
              <w:pStyle w:val="TableContents"/>
              <w:bidi w:val="0"/>
              <w:spacing w:before="0" w:after="283"/>
              <w:rPr/>
            </w:pPr>
            <w:r>
              <w:rPr>
                <w:rStyle w:val="Strong"/>
              </w:rPr>
              <w:t>6.1</w:t>
            </w:r>
            <w:r>
              <w:rPr/>
              <w:t xml:space="preserve"> Wohn- und Schlafräume erhalten Mehrschicht-Parkett oder Design-Vinyl der Serie MK-Boden (Nutzungsklasse mindestens 23/31). Bad und Gäste-WC erhalten Feinsteinzeugfliesen der Serie MK-Bad (Formate 30 × 60 cm oder 60 × 60 cm). Die Auswahl erfolgt in der Bemusterung aus diesen Serien.</w:t>
            </w:r>
          </w:p>
        </w:tc>
        <w:tc>
          <w:tcPr>
            <w:tcW w:w="7620" w:type="dxa"/>
            <w:tcBorders/>
            <w:vAlign w:val="center"/>
          </w:tcPr>
          <w:p>
            <w:pPr>
              <w:pStyle w:val="TableContents"/>
              <w:bidi w:val="0"/>
              <w:spacing w:before="0" w:after="283"/>
              <w:rPr/>
            </w:pPr>
            <w:r>
              <w:rPr>
                <w:rStyle w:val="Strong"/>
              </w:rPr>
              <w:t>6.1</w:t>
            </w:r>
            <w:r>
              <w:rPr/>
              <w:t xml:space="preserve"> Living and sleeping rooms receive multi-layer parquet or design vinyl of the MK floor series (use class at least 23/31). Bathroom and guest toilet receive porcelain tiles of the series MK-Bad (formats 30 × 60 cm or 60 × 60 cm). The selection is made in the sample from these series.</w:t>
            </w:r>
          </w:p>
        </w:tc>
      </w:tr>
      <w:tr>
        <w:trPr/>
        <w:tc>
          <w:tcPr>
            <w:tcW w:w="7914" w:type="dxa"/>
            <w:tcBorders/>
            <w:vAlign w:val="center"/>
          </w:tcPr>
          <w:p>
            <w:pPr>
              <w:pStyle w:val="Heading1"/>
              <w:bidi w:val="0"/>
              <w:spacing w:before="240" w:after="283"/>
              <w:ind w:hanging="0" w:start="0" w:end="0"/>
              <w:rPr/>
            </w:pPr>
            <w:bookmarkStart w:id="62" w:name="innentüren-wohnungseingangstür"/>
            <w:bookmarkEnd w:id="62"/>
            <w:r>
              <w:rPr/>
              <w:t>7 Innentüren, Wohnungseingangstür</w:t>
            </w:r>
          </w:p>
        </w:tc>
        <w:tc>
          <w:tcPr>
            <w:tcW w:w="7620" w:type="dxa"/>
            <w:tcBorders/>
            <w:vAlign w:val="center"/>
          </w:tcPr>
          <w:p>
            <w:pPr>
              <w:pStyle w:val="Heading1"/>
              <w:bidi w:val="0"/>
              <w:spacing w:before="240" w:after="283"/>
              <w:ind w:hanging="0" w:start="0" w:end="0"/>
              <w:rPr/>
            </w:pPr>
            <w:bookmarkStart w:id="63" w:name="interior-doors-apartment-entrance-door"/>
            <w:bookmarkEnd w:id="63"/>
            <w:r>
              <w:rPr/>
              <w:t>7 Interior doors, apartment entrance door</w:t>
            </w:r>
          </w:p>
        </w:tc>
      </w:tr>
      <w:tr>
        <w:trPr/>
        <w:tc>
          <w:tcPr>
            <w:tcW w:w="7914" w:type="dxa"/>
            <w:tcBorders/>
            <w:vAlign w:val="center"/>
          </w:tcPr>
          <w:p>
            <w:pPr>
              <w:pStyle w:val="TableContents"/>
              <w:bidi w:val="0"/>
              <w:spacing w:before="0" w:after="283"/>
              <w:rPr/>
            </w:pPr>
            <w:r>
              <w:rPr>
                <w:rStyle w:val="Strong"/>
              </w:rPr>
              <w:t>7.1</w:t>
            </w:r>
            <w:r>
              <w:rPr/>
              <w:t xml:space="preserve"> Innentüren als glatte Zimmertüren (CPL- oder Lackoberfläche). Die Wohnungseingangstür wird als einbruchhemmende Tür mindestens der Widerstandsklasse RC 2 mit Mehrfachverriegelung und Spion ausgeführt.</w:t>
            </w:r>
          </w:p>
        </w:tc>
        <w:tc>
          <w:tcPr>
            <w:tcW w:w="7620" w:type="dxa"/>
            <w:tcBorders/>
            <w:vAlign w:val="center"/>
          </w:tcPr>
          <w:p>
            <w:pPr>
              <w:pStyle w:val="TableContents"/>
              <w:bidi w:val="0"/>
              <w:spacing w:before="0" w:after="283"/>
              <w:rPr/>
            </w:pPr>
            <w:r>
              <w:rPr>
                <w:rStyle w:val="Strong"/>
              </w:rPr>
              <w:t>7.1</w:t>
            </w:r>
            <w:r>
              <w:rPr/>
              <w:t xml:space="preserve"> Interior doors as smooth room doors (CPL or paint surface). The apartment entrance door is designed as an intrusion-inhibiting door of at least resistance class RC 2 with multiple locking and spy.</w:t>
            </w:r>
          </w:p>
        </w:tc>
      </w:tr>
      <w:tr>
        <w:trPr/>
        <w:tc>
          <w:tcPr>
            <w:tcW w:w="7914" w:type="dxa"/>
            <w:tcBorders/>
            <w:vAlign w:val="center"/>
          </w:tcPr>
          <w:p>
            <w:pPr>
              <w:pStyle w:val="Heading1"/>
              <w:bidi w:val="0"/>
              <w:spacing w:before="240" w:after="283"/>
              <w:ind w:hanging="0" w:start="0" w:end="0"/>
              <w:rPr/>
            </w:pPr>
            <w:bookmarkStart w:id="64" w:name="sanitär-heizung-lüftung"/>
            <w:bookmarkEnd w:id="64"/>
            <w:r>
              <w:rPr/>
              <w:t>8 Sanitär, Heizung, Lüftung</w:t>
            </w:r>
          </w:p>
        </w:tc>
        <w:tc>
          <w:tcPr>
            <w:tcW w:w="7620" w:type="dxa"/>
            <w:tcBorders/>
            <w:vAlign w:val="center"/>
          </w:tcPr>
          <w:p>
            <w:pPr>
              <w:pStyle w:val="Heading1"/>
              <w:bidi w:val="0"/>
              <w:spacing w:before="240" w:after="283"/>
              <w:ind w:hanging="0" w:start="0" w:end="0"/>
              <w:rPr/>
            </w:pPr>
            <w:bookmarkStart w:id="65" w:name="sanitary-heating-ventilation"/>
            <w:bookmarkEnd w:id="65"/>
            <w:r>
              <w:rPr/>
              <w:t>8 Sanitary, heating, ventilation</w:t>
            </w:r>
          </w:p>
        </w:tc>
      </w:tr>
      <w:tr>
        <w:trPr/>
        <w:tc>
          <w:tcPr>
            <w:tcW w:w="7914" w:type="dxa"/>
            <w:tcBorders/>
            <w:vAlign w:val="center"/>
          </w:tcPr>
          <w:p>
            <w:pPr>
              <w:pStyle w:val="TableContents"/>
              <w:bidi w:val="0"/>
              <w:spacing w:before="0" w:after="283"/>
              <w:rPr/>
            </w:pPr>
            <w:r>
              <w:rPr>
                <w:rStyle w:val="Strong"/>
              </w:rPr>
              <w:t>8.1</w:t>
            </w:r>
            <w:r>
              <w:rPr/>
              <w:t xml:space="preserve"> Bad und Gäste-WC werden mit weißen Sanitärobjekten der Serie MK-Sanitär (Waschtisch, Wand-WC, bodengleiche Dusche, in C-2.14 zusätzlich Badewanne nach Ausführungsplan) und verchromten Einhebelmischern ausgestattet.</w:t>
            </w:r>
          </w:p>
        </w:tc>
        <w:tc>
          <w:tcPr>
            <w:tcW w:w="7620" w:type="dxa"/>
            <w:tcBorders/>
            <w:vAlign w:val="center"/>
          </w:tcPr>
          <w:p>
            <w:pPr>
              <w:pStyle w:val="TableContents"/>
              <w:bidi w:val="0"/>
              <w:spacing w:before="0" w:after="283"/>
              <w:rPr/>
            </w:pPr>
            <w:r>
              <w:rPr>
                <w:rStyle w:val="Strong"/>
              </w:rPr>
              <w:t>8.1</w:t>
            </w:r>
            <w:r>
              <w:rPr/>
              <w:t xml:space="preserve"> Bathroom and guest toilet are equipped with white sanitary objects of the MK sanitary series (washing table, wall toilet, floor-level shower, in C-2.14 additionally bathtub according to execution plan) and chrome-plated single-lever mixers.</w:t>
            </w:r>
          </w:p>
        </w:tc>
      </w:tr>
      <w:tr>
        <w:trPr/>
        <w:tc>
          <w:tcPr>
            <w:tcW w:w="7914" w:type="dxa"/>
            <w:tcBorders/>
            <w:vAlign w:val="center"/>
          </w:tcPr>
          <w:p>
            <w:pPr>
              <w:pStyle w:val="TableContents"/>
              <w:bidi w:val="0"/>
              <w:spacing w:before="0" w:after="283"/>
              <w:rPr/>
            </w:pPr>
            <w:r>
              <w:rPr>
                <w:rStyle w:val="Strong"/>
              </w:rPr>
              <w:t>8.2</w:t>
            </w:r>
            <w:r>
              <w:rPr/>
              <w:t xml:space="preserve"> Beheizung und Warmwasser erfolgen über die zentrale Quartiersversorgung (Wärmepumpe mit Spitzenlastkessel) und Fußbodenheizung in allen Aufenthaltsräumen. Innenliegende Bäder erhalten eine mechanische Entlüftung; eine bestimmte kontrollierte Wohnraumlüftung mit Wärmerückgewinnung wird nur geschuldet, soweit der GEG-Nachweis sie erfordert.</w:t>
            </w:r>
          </w:p>
        </w:tc>
        <w:tc>
          <w:tcPr>
            <w:tcW w:w="7620" w:type="dxa"/>
            <w:tcBorders/>
            <w:vAlign w:val="center"/>
          </w:tcPr>
          <w:p>
            <w:pPr>
              <w:pStyle w:val="TableContents"/>
              <w:bidi w:val="0"/>
              <w:spacing w:before="0" w:after="283"/>
              <w:rPr/>
            </w:pPr>
            <w:r>
              <w:rPr>
                <w:rStyle w:val="Strong"/>
              </w:rPr>
              <w:t>8.2</w:t>
            </w:r>
            <w:r>
              <w:rPr/>
              <w:t xml:space="preserve"> Heating and hot water are provided via the central quarter supply (heat pump with peak load boiler) and underfloor heating in all rooms. internal baths shall be mechanically ventilated; a certain controlled residential ventilation with heat recovery is only due to the extent that the GEG proof requires it.</w:t>
            </w:r>
          </w:p>
        </w:tc>
      </w:tr>
      <w:tr>
        <w:trPr/>
        <w:tc>
          <w:tcPr>
            <w:tcW w:w="7914" w:type="dxa"/>
            <w:tcBorders/>
            <w:vAlign w:val="center"/>
          </w:tcPr>
          <w:p>
            <w:pPr>
              <w:pStyle w:val="Heading1"/>
              <w:bidi w:val="0"/>
              <w:spacing w:before="240" w:after="283"/>
              <w:ind w:hanging="0" w:start="0" w:end="0"/>
              <w:rPr/>
            </w:pPr>
            <w:bookmarkStart w:id="66" w:name="elektro-medien"/>
            <w:bookmarkEnd w:id="66"/>
            <w:r>
              <w:rPr/>
              <w:t>9 Elektro, Medien</w:t>
            </w:r>
          </w:p>
        </w:tc>
        <w:tc>
          <w:tcPr>
            <w:tcW w:w="7620" w:type="dxa"/>
            <w:tcBorders/>
            <w:vAlign w:val="center"/>
          </w:tcPr>
          <w:p>
            <w:pPr>
              <w:pStyle w:val="Heading1"/>
              <w:bidi w:val="0"/>
              <w:spacing w:before="240" w:after="283"/>
              <w:ind w:hanging="0" w:start="0" w:end="0"/>
              <w:rPr/>
            </w:pPr>
            <w:bookmarkStart w:id="67" w:name="electric-media"/>
            <w:bookmarkEnd w:id="67"/>
            <w:r>
              <w:rPr/>
              <w:t>9 Electric, Media</w:t>
            </w:r>
          </w:p>
        </w:tc>
      </w:tr>
      <w:tr>
        <w:trPr/>
        <w:tc>
          <w:tcPr>
            <w:tcW w:w="7914" w:type="dxa"/>
            <w:tcBorders/>
            <w:vAlign w:val="center"/>
          </w:tcPr>
          <w:p>
            <w:pPr>
              <w:pStyle w:val="TableContents"/>
              <w:bidi w:val="0"/>
              <w:spacing w:before="0" w:after="283"/>
              <w:rPr/>
            </w:pPr>
            <w:r>
              <w:rPr>
                <w:rStyle w:val="Strong"/>
              </w:rPr>
              <w:t>9.1</w:t>
            </w:r>
            <w:r>
              <w:rPr/>
              <w:t xml:space="preserve"> Die Elektroinstallation entspricht mindestens der Ausstattungsklasse 2 nach DIN 18015-2. Die Wohnung erhält einen Multimedia-Anschluss im Wohnbereich; eine bestimmte Bandbreite oder ein bestimmter Anbieter wird nicht geschuldet. Zusätzliche Elektropunkte sind Sonderwunsch.</w:t>
            </w:r>
          </w:p>
        </w:tc>
        <w:tc>
          <w:tcPr>
            <w:tcW w:w="7620" w:type="dxa"/>
            <w:tcBorders/>
            <w:vAlign w:val="center"/>
          </w:tcPr>
          <w:p>
            <w:pPr>
              <w:pStyle w:val="TableContents"/>
              <w:bidi w:val="0"/>
              <w:spacing w:before="0" w:after="283"/>
              <w:rPr/>
            </w:pPr>
            <w:r>
              <w:rPr>
                <w:rStyle w:val="Strong"/>
              </w:rPr>
              <w:t>9.1</w:t>
            </w:r>
            <w:r>
              <w:rPr/>
              <w:t xml:space="preserve"> The electrical installation corresponds at least to equipment class 2 according to DIN 18015-2. The apartment receives a multimedia connection in the living area; a certain bandwidth or a certain provider is not owed. Additional electric points are special request.</w:t>
            </w:r>
          </w:p>
        </w:tc>
      </w:tr>
      <w:tr>
        <w:trPr/>
        <w:tc>
          <w:tcPr>
            <w:tcW w:w="7914" w:type="dxa"/>
            <w:tcBorders/>
            <w:vAlign w:val="center"/>
          </w:tcPr>
          <w:p>
            <w:pPr>
              <w:pStyle w:val="Heading1"/>
              <w:bidi w:val="0"/>
              <w:spacing w:before="240" w:after="283"/>
              <w:ind w:hanging="0" w:start="0" w:end="0"/>
              <w:rPr/>
            </w:pPr>
            <w:bookmarkStart w:id="68" w:name="tiefgarage-stellplatz"/>
            <w:bookmarkEnd w:id="68"/>
            <w:r>
              <w:rPr/>
              <w:t>10 Tiefgarage, Stellplatz</w:t>
            </w:r>
          </w:p>
        </w:tc>
        <w:tc>
          <w:tcPr>
            <w:tcW w:w="7620" w:type="dxa"/>
            <w:tcBorders/>
            <w:vAlign w:val="center"/>
          </w:tcPr>
          <w:p>
            <w:pPr>
              <w:pStyle w:val="Heading1"/>
              <w:bidi w:val="0"/>
              <w:spacing w:before="240" w:after="283"/>
              <w:ind w:hanging="0" w:start="0" w:end="0"/>
              <w:rPr/>
            </w:pPr>
            <w:bookmarkStart w:id="69" w:name="underground-parking-space"/>
            <w:bookmarkEnd w:id="69"/>
            <w:r>
              <w:rPr/>
              <w:t>10 underground parking space</w:t>
            </w:r>
          </w:p>
        </w:tc>
      </w:tr>
      <w:tr>
        <w:trPr/>
        <w:tc>
          <w:tcPr>
            <w:tcW w:w="7914" w:type="dxa"/>
            <w:tcBorders/>
            <w:vAlign w:val="center"/>
          </w:tcPr>
          <w:p>
            <w:pPr>
              <w:pStyle w:val="TableContents"/>
              <w:bidi w:val="0"/>
              <w:spacing w:before="0" w:after="283"/>
              <w:rPr/>
            </w:pPr>
            <w:r>
              <w:rPr>
                <w:rStyle w:val="Strong"/>
              </w:rPr>
              <w:t>10.1</w:t>
            </w:r>
            <w:r>
              <w:rPr/>
              <w:t xml:space="preserve"> Die Tiefgarage wird in Stahlbeton mit maschineller Be- und Entlüftung, Bodenbeschichtung, Entwässerung und der nach Brandschutzkonzept erforderlichen Ausstattung hergestellt. Der Stellplatz TG-58 hält mindestens die bauordnungsrechtlich erforderlichen Mindestmaße ein.</w:t>
            </w:r>
          </w:p>
        </w:tc>
        <w:tc>
          <w:tcPr>
            <w:tcW w:w="7620" w:type="dxa"/>
            <w:tcBorders/>
            <w:vAlign w:val="center"/>
          </w:tcPr>
          <w:p>
            <w:pPr>
              <w:pStyle w:val="TableContents"/>
              <w:bidi w:val="0"/>
              <w:spacing w:before="0" w:after="283"/>
              <w:rPr/>
            </w:pPr>
            <w:r>
              <w:rPr>
                <w:rStyle w:val="Strong"/>
              </w:rPr>
              <w:t>10.1</w:t>
            </w:r>
            <w:r>
              <w:rPr/>
              <w:t xml:space="preserve"> The underground garage is produced in reinforced concrete with mechanical ventilation, floor coating, drainage and the equipment required according to the fire protection concept. The parking space TG-58 meets at least the minimum dimensions required by building code law.</w:t>
            </w:r>
          </w:p>
        </w:tc>
      </w:tr>
      <w:tr>
        <w:trPr/>
        <w:tc>
          <w:tcPr>
            <w:tcW w:w="7914" w:type="dxa"/>
            <w:tcBorders/>
            <w:vAlign w:val="center"/>
          </w:tcPr>
          <w:p>
            <w:pPr>
              <w:pStyle w:val="Heading1"/>
              <w:bidi w:val="0"/>
              <w:spacing w:before="240" w:after="283"/>
              <w:ind w:hanging="0" w:start="0" w:end="0"/>
              <w:rPr/>
            </w:pPr>
            <w:bookmarkStart w:id="70" w:name="schallschutz-verbindliche-mindestwerte"/>
            <w:bookmarkEnd w:id="70"/>
            <w:r>
              <w:rPr/>
              <w:t>11 Schallschutz (verbindliche Mindestwerte)</w:t>
            </w:r>
          </w:p>
        </w:tc>
        <w:tc>
          <w:tcPr>
            <w:tcW w:w="7620" w:type="dxa"/>
            <w:tcBorders/>
            <w:vAlign w:val="center"/>
          </w:tcPr>
          <w:p>
            <w:pPr>
              <w:pStyle w:val="Heading1"/>
              <w:bidi w:val="0"/>
              <w:spacing w:before="240" w:after="283"/>
              <w:ind w:hanging="0" w:start="0" w:end="0"/>
              <w:rPr/>
            </w:pPr>
            <w:bookmarkStart w:id="71" w:name="soundproofing-mandatory-minimum-values"/>
            <w:bookmarkEnd w:id="71"/>
            <w:r>
              <w:rPr/>
              <w:t>11 Soundproofing (mandatory minimum values)</w:t>
            </w:r>
          </w:p>
        </w:tc>
      </w:tr>
      <w:tr>
        <w:trPr/>
        <w:tc>
          <w:tcPr>
            <w:tcW w:w="7914" w:type="dxa"/>
            <w:tcBorders/>
            <w:vAlign w:val="center"/>
          </w:tcPr>
          <w:p>
            <w:pPr>
              <w:pStyle w:val="TableContents"/>
              <w:bidi w:val="0"/>
              <w:spacing w:before="0" w:after="283"/>
              <w:rPr/>
            </w:pPr>
            <w:r>
              <w:rPr>
                <w:rStyle w:val="Strong"/>
              </w:rPr>
              <w:t>11.1</w:t>
            </w:r>
            <w:r>
              <w:rPr/>
              <w:t xml:space="preserve"> Geschuldet ist mindestens der Schallschutz nach DIN 4109-1 mit folgenden verbindlichen Mindest-Kennwerten für die Wohnung C-2.14:</w:t>
            </w:r>
          </w:p>
        </w:tc>
        <w:tc>
          <w:tcPr>
            <w:tcW w:w="7620" w:type="dxa"/>
            <w:tcBorders/>
            <w:vAlign w:val="center"/>
          </w:tcPr>
          <w:p>
            <w:pPr>
              <w:pStyle w:val="TableContents"/>
              <w:bidi w:val="0"/>
              <w:spacing w:before="0" w:after="283"/>
              <w:rPr/>
            </w:pPr>
            <w:r>
              <w:rPr>
                <w:rStyle w:val="Strong"/>
              </w:rPr>
              <w:t>11.1</w:t>
            </w:r>
            <w:r>
              <w:rPr/>
              <w:t xml:space="preserve"> At least the noise protection according to DIN 4109-1 with the following mandatory minimum parameters for the apartment C-2.14 is owed:</w:t>
            </w:r>
          </w:p>
        </w:tc>
      </w:tr>
      <w:tr>
        <w:trPr/>
        <w:tc>
          <w:tcPr>
            <w:tcW w:w="7914" w:type="dxa"/>
            <w:tcBorders/>
            <w:vAlign w:val="center"/>
          </w:tcPr>
          <w:p>
            <w:pPr>
              <w:pStyle w:val="TableContents"/>
              <w:numPr>
                <w:ilvl w:val="0"/>
                <w:numId w:val="10"/>
              </w:numPr>
              <w:tabs>
                <w:tab w:val="clear" w:pos="1134"/>
                <w:tab w:val="left" w:pos="709" w:leader="none"/>
              </w:tabs>
              <w:bidi w:val="0"/>
              <w:spacing w:before="0" w:after="0"/>
              <w:ind w:hanging="283" w:start="709"/>
              <w:rPr/>
            </w:pPr>
            <w:r>
              <w:rPr/>
              <w:t xml:space="preserve">Luftschalldämmung gegenüber fremden Wohnungen und dem Treppenhaus: bewertetes Bau-Schalldämm-Maß R′w ≥ 54 dB; </w:t>
            </w:r>
          </w:p>
          <w:p>
            <w:pPr>
              <w:pStyle w:val="TableContents"/>
              <w:numPr>
                <w:ilvl w:val="0"/>
                <w:numId w:val="10"/>
              </w:numPr>
              <w:tabs>
                <w:tab w:val="clear" w:pos="1134"/>
                <w:tab w:val="left" w:pos="709" w:leader="none"/>
              </w:tabs>
              <w:bidi w:val="0"/>
              <w:spacing w:before="0" w:after="0"/>
              <w:ind w:hanging="283" w:start="709"/>
              <w:rPr/>
            </w:pPr>
            <w:r>
              <w:rPr/>
              <w:t xml:space="preserve">Trittschallschutz von fremden Wohnungen/Treppenhaus: bewerteter Norm-Trittschallpegel L′n,w ≤ 50 dB; </w:t>
            </w:r>
          </w:p>
          <w:p>
            <w:pPr>
              <w:pStyle w:val="TableContents"/>
              <w:numPr>
                <w:ilvl w:val="0"/>
                <w:numId w:val="10"/>
              </w:numPr>
              <w:tabs>
                <w:tab w:val="clear" w:pos="1134"/>
                <w:tab w:val="left" w:pos="709" w:leader="none"/>
              </w:tabs>
              <w:bidi w:val="0"/>
              <w:spacing w:before="0" w:after="283"/>
              <w:ind w:hanging="283" w:start="709"/>
              <w:rPr/>
            </w:pPr>
            <w:r>
              <w:rPr/>
              <w:t xml:space="preserve">Schallschutz gegenüber haustechnischen Anlagen (Aufzug, Lüftung, Wasserinstallation): nach DIN 4109-1. </w:t>
            </w:r>
          </w:p>
        </w:tc>
        <w:tc>
          <w:tcPr>
            <w:tcW w:w="7620" w:type="dxa"/>
            <w:tcBorders/>
            <w:vAlign w:val="center"/>
          </w:tcPr>
          <w:p>
            <w:pPr>
              <w:pStyle w:val="TableContents"/>
              <w:numPr>
                <w:ilvl w:val="0"/>
                <w:numId w:val="11"/>
              </w:numPr>
              <w:tabs>
                <w:tab w:val="clear" w:pos="1134"/>
                <w:tab w:val="left" w:pos="709" w:leader="none"/>
              </w:tabs>
              <w:bidi w:val="0"/>
              <w:spacing w:before="0" w:after="0"/>
              <w:ind w:hanging="283" w:start="709"/>
              <w:rPr/>
            </w:pPr>
            <w:r>
              <w:rPr/>
              <w:t xml:space="preserve">airborne acoustic insulation from other dwellings and stairwells: assessed construction sound insulation measure R′w ≥ 54 dB; </w:t>
            </w:r>
          </w:p>
          <w:p>
            <w:pPr>
              <w:pStyle w:val="TableContents"/>
              <w:numPr>
                <w:ilvl w:val="0"/>
                <w:numId w:val="11"/>
              </w:numPr>
              <w:tabs>
                <w:tab w:val="clear" w:pos="1134"/>
                <w:tab w:val="left" w:pos="709" w:leader="none"/>
              </w:tabs>
              <w:bidi w:val="0"/>
              <w:spacing w:before="0" w:after="0"/>
              <w:ind w:hanging="283" w:start="709"/>
              <w:rPr/>
            </w:pPr>
            <w:r>
              <w:rPr/>
              <w:t xml:space="preserve">footstep sound protection of other dwellings/staircase: assessed standard footstep sound level L′n,w ≤ 50 dB; </w:t>
            </w:r>
          </w:p>
          <w:p>
            <w:pPr>
              <w:pStyle w:val="TableContents"/>
              <w:numPr>
                <w:ilvl w:val="0"/>
                <w:numId w:val="11"/>
              </w:numPr>
              <w:tabs>
                <w:tab w:val="clear" w:pos="1134"/>
                <w:tab w:val="left" w:pos="709" w:leader="none"/>
              </w:tabs>
              <w:bidi w:val="0"/>
              <w:spacing w:before="0" w:after="283"/>
              <w:ind w:hanging="283" w:start="709"/>
              <w:rPr/>
            </w:pPr>
            <w:r>
              <w:rPr/>
              <w:t xml:space="preserve">Sound insulation against building systems (elevator, ventilation, water installation): according to DIN 4109-1. </w:t>
            </w:r>
          </w:p>
        </w:tc>
      </w:tr>
      <w:tr>
        <w:trPr/>
        <w:tc>
          <w:tcPr>
            <w:tcW w:w="7914" w:type="dxa"/>
            <w:tcBorders/>
            <w:vAlign w:val="center"/>
          </w:tcPr>
          <w:p>
            <w:pPr>
              <w:pStyle w:val="TableContents"/>
              <w:bidi w:val="0"/>
              <w:spacing w:before="0" w:after="283"/>
              <w:rPr/>
            </w:pPr>
            <w:r>
              <w:rPr>
                <w:rStyle w:val="Strong"/>
              </w:rPr>
              <w:t>11.2</w:t>
            </w:r>
            <w:r>
              <w:rPr/>
              <w:t xml:space="preserve"> Ein erhöhter Schallschutz (z. B. nach VDI 4100 oder Beiblatt 2 zu DIN 4109) wird </w:t>
            </w:r>
            <w:r>
              <w:rPr>
                <w:rStyle w:val="Strong"/>
              </w:rPr>
              <w:t>nicht</w:t>
            </w:r>
            <w:r>
              <w:rPr/>
              <w:t xml:space="preserve"> geschuldet, soweit er nicht hier mit Kennwert vereinbart ist.</w:t>
            </w:r>
          </w:p>
        </w:tc>
        <w:tc>
          <w:tcPr>
            <w:tcW w:w="7620" w:type="dxa"/>
            <w:tcBorders/>
            <w:vAlign w:val="center"/>
          </w:tcPr>
          <w:p>
            <w:pPr>
              <w:pStyle w:val="TableContents"/>
              <w:bidi w:val="0"/>
              <w:spacing w:before="0" w:after="283"/>
              <w:rPr/>
            </w:pPr>
            <w:r>
              <w:rPr>
                <w:rStyle w:val="Strong"/>
              </w:rPr>
              <w:t>11.2</w:t>
            </w:r>
            <w:r>
              <w:rPr/>
              <w:t xml:space="preserve"> Increased sound insulation (e.g. according to VDI 4100 or Addendum 2 to DIN 4109) is not due, unless agreed here with the characteristic value.</w:t>
            </w:r>
          </w:p>
        </w:tc>
      </w:tr>
      <w:tr>
        <w:trPr/>
        <w:tc>
          <w:tcPr>
            <w:tcW w:w="7914" w:type="dxa"/>
            <w:tcBorders/>
            <w:vAlign w:val="center"/>
          </w:tcPr>
          <w:p>
            <w:pPr>
              <w:pStyle w:val="Heading1"/>
              <w:bidi w:val="0"/>
              <w:spacing w:before="240" w:after="283"/>
              <w:ind w:hanging="0" w:start="0" w:end="0"/>
              <w:rPr/>
            </w:pPr>
            <w:bookmarkStart w:id="72" w:name="brand--wärme--feuchteschutz"/>
            <w:bookmarkEnd w:id="72"/>
            <w:r>
              <w:rPr/>
              <w:t>12 Brand-, Wärme-, Feuchteschutz</w:t>
            </w:r>
          </w:p>
        </w:tc>
        <w:tc>
          <w:tcPr>
            <w:tcW w:w="7620" w:type="dxa"/>
            <w:tcBorders/>
            <w:vAlign w:val="center"/>
          </w:tcPr>
          <w:p>
            <w:pPr>
              <w:pStyle w:val="Heading1"/>
              <w:bidi w:val="0"/>
              <w:spacing w:before="240" w:after="283"/>
              <w:ind w:hanging="0" w:start="0" w:end="0"/>
              <w:rPr/>
            </w:pPr>
            <w:bookmarkStart w:id="73" w:name="fire-heat-and-moisture-protection"/>
            <w:bookmarkEnd w:id="73"/>
            <w:r>
              <w:rPr/>
              <w:t>12 Fire, heat and moisture protection</w:t>
            </w:r>
          </w:p>
        </w:tc>
      </w:tr>
      <w:tr>
        <w:trPr/>
        <w:tc>
          <w:tcPr>
            <w:tcW w:w="7914" w:type="dxa"/>
            <w:tcBorders/>
            <w:vAlign w:val="center"/>
          </w:tcPr>
          <w:p>
            <w:pPr>
              <w:pStyle w:val="TableContents"/>
              <w:bidi w:val="0"/>
              <w:spacing w:before="0" w:after="283"/>
              <w:rPr/>
            </w:pPr>
            <w:r>
              <w:rPr>
                <w:rStyle w:val="Strong"/>
              </w:rPr>
              <w:t>12.1</w:t>
            </w:r>
            <w:r>
              <w:rPr/>
              <w:t xml:space="preserve"> Brand-, Wärme- und Feuchteschutz werden im öffentlich-rechtlich erforderlichen Umfang nachgewiesen und ausgeführt. Die hierfür erforderlichen Nachweise werden nach § 650n BGB übergeben.</w:t>
            </w:r>
          </w:p>
        </w:tc>
        <w:tc>
          <w:tcPr>
            <w:tcW w:w="7620" w:type="dxa"/>
            <w:tcBorders/>
            <w:vAlign w:val="center"/>
          </w:tcPr>
          <w:p>
            <w:pPr>
              <w:pStyle w:val="TableContents"/>
              <w:bidi w:val="0"/>
              <w:spacing w:before="0" w:after="283"/>
              <w:rPr/>
            </w:pPr>
            <w:r>
              <w:rPr>
                <w:rStyle w:val="Strong"/>
              </w:rPr>
              <w:t>12.1</w:t>
            </w:r>
            <w:r>
              <w:rPr/>
              <w:t xml:space="preserve"> Fire, heat and moisture protection are proven and carried out to the extent required by public law. The proofs required for this are handed over in accordance with § 650n BGB.</w:t>
            </w:r>
          </w:p>
        </w:tc>
      </w:tr>
      <w:tr>
        <w:trPr/>
        <w:tc>
          <w:tcPr>
            <w:tcW w:w="7914" w:type="dxa"/>
            <w:tcBorders/>
            <w:vAlign w:val="center"/>
          </w:tcPr>
          <w:p>
            <w:pPr>
              <w:pStyle w:val="Heading1"/>
              <w:bidi w:val="0"/>
              <w:spacing w:before="240" w:after="283"/>
              <w:ind w:hanging="0" w:start="0" w:end="0"/>
              <w:rPr/>
            </w:pPr>
            <w:bookmarkStart w:id="74" w:name="außenanlagen-balkon"/>
            <w:bookmarkEnd w:id="74"/>
            <w:r>
              <w:rPr/>
              <w:t>13 Außenanlagen, Balkon</w:t>
            </w:r>
          </w:p>
        </w:tc>
        <w:tc>
          <w:tcPr>
            <w:tcW w:w="7620" w:type="dxa"/>
            <w:tcBorders/>
            <w:vAlign w:val="center"/>
          </w:tcPr>
          <w:p>
            <w:pPr>
              <w:pStyle w:val="Heading1"/>
              <w:bidi w:val="0"/>
              <w:spacing w:before="240" w:after="283"/>
              <w:ind w:hanging="0" w:start="0" w:end="0"/>
              <w:rPr/>
            </w:pPr>
            <w:bookmarkStart w:id="75" w:name="outdoor-facilities-balcony"/>
            <w:bookmarkEnd w:id="75"/>
            <w:r>
              <w:rPr/>
              <w:t>13 outdoor facilities, balcony</w:t>
            </w:r>
          </w:p>
        </w:tc>
      </w:tr>
      <w:tr>
        <w:trPr/>
        <w:tc>
          <w:tcPr>
            <w:tcW w:w="7914" w:type="dxa"/>
            <w:tcBorders/>
            <w:vAlign w:val="center"/>
          </w:tcPr>
          <w:p>
            <w:pPr>
              <w:pStyle w:val="TableContents"/>
              <w:bidi w:val="0"/>
              <w:spacing w:before="0" w:after="283"/>
              <w:rPr/>
            </w:pPr>
            <w:r>
              <w:rPr>
                <w:rStyle w:val="Strong"/>
              </w:rPr>
              <w:t>13.1</w:t>
            </w:r>
            <w:r>
              <w:rPr/>
              <w:t xml:space="preserve"> Innenhof, Wege, Pflanzflächen, Fahrradräume und Spielfläche werden nach dem Freiflächenkonzept hergestellt; ihre Fertigstellung kann witterungsbedingt nach dem Bezug der Wohnung liegen, ist aber Teil der vollständigen Fertigstellung (§ 3.2, 7. Rate). Der Balkon B-C14 erhält einen Plattenbelag auf Stelzlagern und eine Entwässerung nach Ausführungsplan.</w:t>
            </w:r>
          </w:p>
        </w:tc>
        <w:tc>
          <w:tcPr>
            <w:tcW w:w="7620" w:type="dxa"/>
            <w:tcBorders/>
            <w:vAlign w:val="center"/>
          </w:tcPr>
          <w:p>
            <w:pPr>
              <w:pStyle w:val="TableContents"/>
              <w:bidi w:val="0"/>
              <w:spacing w:before="0" w:after="283"/>
              <w:rPr/>
            </w:pPr>
            <w:r>
              <w:rPr>
                <w:rStyle w:val="Strong"/>
              </w:rPr>
              <w:t>13.1</w:t>
            </w:r>
            <w:r>
              <w:rPr/>
              <w:t xml:space="preserve"> courtyard, pathways, planting areas, bicycle spaces and playground shall be produced in accordance with the open-air concept; their completion may be due to weather conditions after the occupation of the apartment, but is part of the complete completion (§ 3.2, 7th rate). The balcony B-C14 receives a slab covering on stilt bearings and drainage according to execution plan.</w:t>
            </w:r>
          </w:p>
        </w:tc>
      </w:tr>
      <w:tr>
        <w:trPr/>
        <w:tc>
          <w:tcPr>
            <w:tcW w:w="7914" w:type="dxa"/>
            <w:tcBorders/>
            <w:vAlign w:val="center"/>
          </w:tcPr>
          <w:p>
            <w:pPr>
              <w:pStyle w:val="Heading1"/>
              <w:bidi w:val="0"/>
              <w:spacing w:before="240" w:after="283"/>
              <w:ind w:hanging="0" w:start="0" w:end="0"/>
              <w:rPr/>
            </w:pPr>
            <w:bookmarkStart w:id="76" w:name="wohnfläche-bemusterung"/>
            <w:bookmarkEnd w:id="76"/>
            <w:r>
              <w:rPr/>
              <w:t>14 Wohnfläche, Bemusterung</w:t>
            </w:r>
          </w:p>
        </w:tc>
        <w:tc>
          <w:tcPr>
            <w:tcW w:w="7620" w:type="dxa"/>
            <w:tcBorders/>
            <w:vAlign w:val="center"/>
          </w:tcPr>
          <w:p>
            <w:pPr>
              <w:pStyle w:val="Heading1"/>
              <w:bidi w:val="0"/>
              <w:spacing w:before="240" w:after="283"/>
              <w:ind w:hanging="0" w:start="0" w:end="0"/>
              <w:rPr/>
            </w:pPr>
            <w:bookmarkStart w:id="77" w:name="living-space-samples"/>
            <w:bookmarkEnd w:id="77"/>
            <w:r>
              <w:rPr/>
              <w:t>14 Living space, samples</w:t>
            </w:r>
          </w:p>
        </w:tc>
      </w:tr>
      <w:tr>
        <w:trPr/>
        <w:tc>
          <w:tcPr>
            <w:tcW w:w="7914" w:type="dxa"/>
            <w:tcBorders/>
            <w:vAlign w:val="center"/>
          </w:tcPr>
          <w:p>
            <w:pPr>
              <w:pStyle w:val="TableContents"/>
              <w:bidi w:val="0"/>
              <w:spacing w:before="0" w:after="283"/>
              <w:rPr/>
            </w:pPr>
            <w:r>
              <w:rPr>
                <w:rStyle w:val="Strong"/>
              </w:rPr>
              <w:t>14.1</w:t>
            </w:r>
            <w:r>
              <w:rPr/>
              <w:t xml:space="preserve"> Die Wohnfläche der Wohnung C-2.14 beträgt ca. 84,6 m² nach Wohnflächenverordnung; maßgeblich ist die nach Fertigstellung tatsächlich erbrachte Ausführung mit der Anpassungsregel des § 5.9 des Vertrages.</w:t>
            </w:r>
          </w:p>
        </w:tc>
        <w:tc>
          <w:tcPr>
            <w:tcW w:w="7620" w:type="dxa"/>
            <w:tcBorders/>
            <w:vAlign w:val="center"/>
          </w:tcPr>
          <w:p>
            <w:pPr>
              <w:pStyle w:val="TableContents"/>
              <w:bidi w:val="0"/>
              <w:spacing w:before="0" w:after="283"/>
              <w:rPr/>
            </w:pPr>
            <w:r>
              <w:rPr>
                <w:rStyle w:val="Strong"/>
              </w:rPr>
              <w:t>14.1</w:t>
            </w:r>
            <w:r>
              <w:rPr/>
              <w:t xml:space="preserve"> The living space of apartment C-2.14 is approximately 84.6 m2 according to the Living Space Ordinance; The decisive factor is the execution actually performed after completion with the adjustment rule of § 5.9 of the contract.</w:t>
            </w:r>
          </w:p>
        </w:tc>
      </w:tr>
      <w:tr>
        <w:trPr/>
        <w:tc>
          <w:tcPr>
            <w:tcW w:w="7914" w:type="dxa"/>
            <w:tcBorders/>
            <w:vAlign w:val="center"/>
          </w:tcPr>
          <w:p>
            <w:pPr>
              <w:pStyle w:val="TableContents"/>
              <w:bidi w:val="0"/>
              <w:spacing w:before="0" w:after="283"/>
              <w:rPr/>
            </w:pPr>
            <w:r>
              <w:rPr>
                <w:rStyle w:val="Strong"/>
              </w:rPr>
              <w:t>14.2</w:t>
            </w:r>
            <w:r>
              <w:rPr/>
              <w:t xml:space="preserve"> Die Bemusterung erfolgt aus den Serien MK-Boden, MK-Bad, MK-Sanitär und MK-Tür. Drei Beratungsstunden sind im Kaufpreis enthalten; weiterer Aufwand wird nach § 3.5 des Vertrages vergütet. Auswahlen außerhalb dieser Serien sind Sonderwünsche.</w:t>
            </w:r>
          </w:p>
        </w:tc>
        <w:tc>
          <w:tcPr>
            <w:tcW w:w="7620" w:type="dxa"/>
            <w:tcBorders/>
            <w:vAlign w:val="center"/>
          </w:tcPr>
          <w:p>
            <w:pPr>
              <w:pStyle w:val="TableContents"/>
              <w:bidi w:val="0"/>
              <w:spacing w:before="0" w:after="283"/>
              <w:rPr/>
            </w:pPr>
            <w:r>
              <w:rPr>
                <w:rStyle w:val="Strong"/>
              </w:rPr>
              <w:t>14.2</w:t>
            </w:r>
            <w:r>
              <w:rPr/>
              <w:t xml:space="preserve"> Samples are made from the series MK-Boden, MK-Bad, MK-Sanitär and MK-Door. Three consultation hours are included in the Purchase Price; further expenses are reimbursed in accordance with § 3.5 of the contract. Selections outside of these series are special requests.</w:t>
            </w:r>
          </w:p>
        </w:tc>
      </w:tr>
      <w:tr>
        <w:trPr/>
        <w:tc>
          <w:tcPr>
            <w:tcW w:w="7914" w:type="dxa"/>
            <w:tcBorders/>
            <w:vAlign w:val="center"/>
          </w:tcPr>
          <w:p>
            <w:pPr>
              <w:pStyle w:val="Heading1"/>
              <w:bidi w:val="0"/>
              <w:spacing w:before="240" w:after="283"/>
              <w:ind w:hanging="0" w:start="0" w:end="0"/>
              <w:rPr/>
            </w:pPr>
            <w:bookmarkStart w:id="78" w:name="schlussbestimmungen-der-baubeschreibung"/>
            <w:bookmarkEnd w:id="78"/>
            <w:r>
              <w:rPr/>
              <w:t>Schlussbestimmungen der Baubeschreibung</w:t>
            </w:r>
          </w:p>
        </w:tc>
        <w:tc>
          <w:tcPr>
            <w:tcW w:w="7620" w:type="dxa"/>
            <w:tcBorders/>
            <w:vAlign w:val="center"/>
          </w:tcPr>
          <w:p>
            <w:pPr>
              <w:pStyle w:val="Heading1"/>
              <w:bidi w:val="0"/>
              <w:spacing w:before="240" w:after="283"/>
              <w:ind w:hanging="0" w:start="0" w:end="0"/>
              <w:rPr/>
            </w:pPr>
            <w:bookmarkStart w:id="79" w:name="final-provisions-of-the-building-specifi"/>
            <w:bookmarkEnd w:id="79"/>
            <w:r>
              <w:rPr/>
              <w:t>Final Provisions of the Building Specification</w:t>
            </w:r>
          </w:p>
        </w:tc>
      </w:tr>
      <w:tr>
        <w:trPr/>
        <w:tc>
          <w:tcPr>
            <w:tcW w:w="7914" w:type="dxa"/>
            <w:tcBorders/>
            <w:vAlign w:val="center"/>
          </w:tcPr>
          <w:p>
            <w:pPr>
              <w:pStyle w:val="TableContents"/>
              <w:bidi w:val="0"/>
              <w:spacing w:before="0" w:after="283"/>
              <w:rPr/>
            </w:pPr>
            <w:r>
              <w:rPr/>
              <w:t>Diese Baubeschreibung ist mit dem Kaufvertrag mitbeurkundet. Bei Widersprüchen zwischen Baubeschreibung, Plänen und Vertragstext gilt die für den Käufer günstigere Auslegung, soweit sich aus dem Vertrag nichts Eindeutiges ergibt (§ 305c Abs. 2 BGB).</w:t>
            </w:r>
          </w:p>
        </w:tc>
        <w:tc>
          <w:tcPr>
            <w:tcW w:w="7620" w:type="dxa"/>
            <w:tcBorders/>
            <w:vAlign w:val="center"/>
          </w:tcPr>
          <w:p>
            <w:pPr>
              <w:pStyle w:val="TableContents"/>
              <w:bidi w:val="0"/>
              <w:spacing w:before="0" w:after="283"/>
              <w:rPr/>
            </w:pPr>
            <w:r>
              <w:rPr/>
              <w:t>This construction description is notarized with the purchase contract. In the event of contradictions between the description of the building, plans and the text of the contract, the more favourable interpretation for the Buyer applies, insofar as nothing clear emerges from the contract (§ 305c para 2 BGB).</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914" w:type="dxa"/>
            <w:tcBorders/>
            <w:vAlign w:val="center"/>
          </w:tcPr>
          <w:p>
            <w:pPr>
              <w:pStyle w:val="Heading1"/>
              <w:bidi w:val="0"/>
              <w:spacing w:before="240" w:after="283"/>
              <w:ind w:hanging="0" w:start="0" w:end="0"/>
              <w:rPr/>
            </w:pPr>
            <w:bookmarkStart w:id="80" w:name="sprachvorrang"/>
            <w:bookmarkEnd w:id="80"/>
            <w:r>
              <w:rPr/>
              <w:t>Sprachvorrang</w:t>
            </w:r>
          </w:p>
        </w:tc>
        <w:tc>
          <w:tcPr>
            <w:tcW w:w="7620" w:type="dxa"/>
            <w:tcBorders/>
            <w:vAlign w:val="center"/>
          </w:tcPr>
          <w:p>
            <w:pPr>
              <w:pStyle w:val="Heading1"/>
              <w:bidi w:val="0"/>
              <w:spacing w:before="240" w:after="283"/>
              <w:ind w:hanging="0" w:start="0" w:end="0"/>
              <w:rPr/>
            </w:pPr>
            <w:bookmarkStart w:id="81" w:name="language-precedence"/>
            <w:bookmarkEnd w:id="81"/>
            <w:r>
              <w:rPr/>
              <w:t>Language Precedence</w:t>
            </w:r>
          </w:p>
        </w:tc>
      </w:tr>
      <w:tr>
        <w:trPr/>
        <w:tc>
          <w:tcPr>
            <w:tcW w:w="7914" w:type="dxa"/>
            <w:tcBorders/>
            <w:vAlign w:val="center"/>
          </w:tcPr>
          <w:p>
            <w:pPr>
              <w:pStyle w:val="TableContents"/>
              <w:bidi w:val="0"/>
              <w:spacing w:before="0" w:after="283"/>
              <w:rPr/>
            </w:pPr>
            <w:r>
              <w:rPr>
                <w:rStyle w:val="Strong"/>
              </w:rPr>
              <w:t>SV.1</w:t>
            </w:r>
            <w:r>
              <w:rPr/>
              <w:t xml:space="preserve"> Bei Konflikten, Auslegungszweifeln, Abweichungen, Übersetzungsungenauigkeiten oder sonstigen Widersprüchen zwischen der deutschen und der englischen Sprachfassung ist ausschließlich die deutsche Sprachfassung maßgeblich. Die englische Sprachfassung tritt in jedem Fall hinter die deutsche Sprachfassung zurück und dient allein als Verständnishilfe.</w:t>
            </w:r>
          </w:p>
        </w:tc>
        <w:tc>
          <w:tcPr>
            <w:tcW w:w="7620" w:type="dxa"/>
            <w:tcBorders/>
            <w:vAlign w:val="center"/>
          </w:tcPr>
          <w:p>
            <w:pPr>
              <w:pStyle w:val="TableContents"/>
              <w:bidi w:val="0"/>
              <w:spacing w:before="0" w:after="283"/>
              <w:rPr/>
            </w:pPr>
            <w:r>
              <w:rPr>
                <w:rStyle w:val="Strong"/>
              </w:rPr>
              <w:t>SV.1</w:t>
            </w:r>
            <w:r>
              <w:rPr/>
              <w:t xml:space="preserve"> In the event of conflicts, doubts of interpretation, deviations, translation inaccuracies or any other inconsistencies between the German and English language versions, only the German language version shall be authoritative. The English language version shall in all cases be subordinate to the German language version and serves solely as a comprehension aid.</w:t>
            </w:r>
          </w:p>
        </w:tc>
      </w:tr>
    </w:tbl>
    <w:p>
      <w:pPr>
        <w:pStyle w:val="BodyText"/>
        <w:bidi w:val="0"/>
        <w:spacing w:before="0" w:after="283"/>
        <w:rPr/>
      </w:pPr>
      <w:r>
        <w:rPr/>
      </w:r>
    </w:p>
    <w:sectPr>
      <w:type w:val="nextPage"/>
      <w:pgSz w:orient="landscape" w:w="16838" w:h="11906"/>
      <w:pgMar w:left="652" w:right="652" w:gutter="0" w:header="0" w:top="765" w:footer="0" w:bottom="709"/>
      <w:pgNumType w:fmt="decimal"/>
      <w:formProt w:val="false"/>
      <w:textDirection w:val="lrTb"/>
      <w:docGrid w:type="default" w:linePitch="600" w:charSpace="4751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erif">
    <w:altName w:val="Georgia"/>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3">
    <w:lvl w:ilvl="0">
      <w:start w:val="1"/>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4">
    <w:lvl w:ilvl="0">
      <w:start w:val="2"/>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5">
    <w:lvl w:ilvl="0">
      <w:start w:val="2"/>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6">
    <w:lvl w:ilvl="0">
      <w:start w:val="3"/>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7">
    <w:lvl w:ilvl="0">
      <w:start w:val="3"/>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8">
    <w:lvl w:ilvl="0">
      <w:start w:val="4"/>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9">
    <w:lvl w:ilvl="0">
      <w:start w:val="4"/>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2"/>
    </w:pPr>
    <w:rPr>
      <w:rFonts w:ascii="DejaVu Serif;Georgia;serif" w:hAnsi="DejaVu Serif;Georgia;serif" w:eastAsia="DejaVu Serif;Georgia;serif" w:cs="DejaVu Serif;Georgia;serif"/>
      <w:color w:val="111111"/>
      <w:sz w:val="17"/>
      <w:szCs w:val="17"/>
      <w:lang w:val="en-US" w:eastAsia="zh-CN" w:bidi="hi-IN"/>
    </w:rPr>
  </w:style>
  <w:style w:type="paragraph" w:styleId="Heading1">
    <w:name w:val="heading 1"/>
    <w:basedOn w:val="Heading"/>
    <w:next w:val="BodyText"/>
    <w:qFormat/>
    <w:pPr>
      <w:keepNext w:val="true"/>
      <w:pBdr>
        <w:bottom w:val="single" w:sz="2" w:space="1" w:color="333333"/>
      </w:pBdr>
    </w:pPr>
    <w:rPr>
      <w:b/>
      <w:bCs/>
      <w:sz w:val="23"/>
      <w:szCs w:val="23"/>
    </w:rPr>
  </w:style>
  <w:style w:type="paragraph" w:styleId="Heading2">
    <w:name w:val="heading 2"/>
    <w:basedOn w:val="Heading"/>
    <w:next w:val="BodyText"/>
    <w:qFormat/>
    <w:pPr>
      <w:keepNext w:val="true"/>
      <w:numPr>
        <w:ilvl w:val="0"/>
        <w:numId w:val="0"/>
      </w:numPr>
      <w:spacing w:before="200" w:after="120"/>
      <w:outlineLvl w:val="1"/>
    </w:pPr>
    <w:rPr>
      <w:rFonts w:ascii="Liberation Serif" w:hAnsi="Liberation Serif" w:eastAsia="Songti SC" w:cs="Arial Unicode MS"/>
      <w:b/>
      <w:bCs/>
      <w:sz w:val="20"/>
      <w:szCs w:val="20"/>
    </w:rPr>
  </w:style>
  <w:style w:type="paragraph" w:styleId="Heading3">
    <w:name w:val="heading 3"/>
    <w:basedOn w:val="Heading"/>
    <w:next w:val="BodyText"/>
    <w:qFormat/>
    <w:pPr>
      <w:keepNext w:val="true"/>
      <w:numPr>
        <w:ilvl w:val="0"/>
        <w:numId w:val="0"/>
      </w:numPr>
      <w:spacing w:before="140" w:after="120"/>
      <w:outlineLvl w:val="2"/>
    </w:pPr>
    <w:rPr>
      <w:rFonts w:ascii="Liberation Serif" w:hAnsi="Liberation Serif" w:eastAsia="Songti SC" w:cs="Arial Unicode MS"/>
      <w:b/>
      <w:bCs/>
      <w:sz w:val="18"/>
      <w:szCs w:val="1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lockQuotation">
    <w:name w:val="Block Quotation"/>
    <w:basedOn w:val="Normal"/>
    <w:qFormat/>
    <w:pPr>
      <w:pBdr>
        <w:left w:val="single" w:sz="6" w:space="1" w:color="AAAAAA"/>
      </w:pBdr>
      <w:spacing w:before="0" w:after="283"/>
      <w:ind w:hanging="0" w:start="567" w:end="567"/>
    </w:pPr>
    <w:rPr/>
  </w:style>
  <w:style w:type="paragraph" w:styleId="Heading1doc-title">
    <w:name w:val="Heading 1.doc-title"/>
    <w:basedOn w:val="Heading1"/>
    <w:qFormat/>
    <w:pPr/>
    <w:rPr>
      <w:spacing w:val="0"/>
      <w:sz w:val="32"/>
      <w:szCs w:val="32"/>
    </w:rPr>
  </w:style>
  <w:style w:type="paragraph" w:styleId="BodyTextdoc-note">
    <w:name w:val="Body Text.doc-note"/>
    <w:basedOn w:val="BodyText"/>
    <w:qFormat/>
    <w:pPr/>
    <w:rPr>
      <w:color w:val="333333"/>
      <w:sz w:val="17"/>
      <w:szCs w:val="17"/>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LibreOfficeDev/26.8.0.0.alpha0$MacOSX_AARCH64 LibreOffice_project/2c87e51eeaa2b413ff4ae097b2705eea1995d8e5</Application>
  <AppVersion>15.0000</AppVersion>
  <Pages>1</Pages>
  <Words>9323</Words>
  <Characters>56222</Characters>
  <CharactersWithSpaces>65163</CharactersWithSpaces>
  <Paragraphs>402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Wohnungsbauträgervertrag mit Auflassung — Deutsch/English</dc:title>
</cp:coreProperties>
</file>

<file path=docProps/custom.xml><?xml version="1.0" encoding="utf-8"?>
<Properties xmlns="http://schemas.openxmlformats.org/officeDocument/2006/custom-properties" xmlns:vt="http://schemas.openxmlformats.org/officeDocument/2006/docPropsVTypes"/>
</file>