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738"/>
        <w:gridCol w:w="7796"/>
      </w:tblGrid>
      <w:tr>
        <w:trPr>
          <w:tblHeader w:val="true"/>
        </w:trPr>
        <w:tc>
          <w:tcPr>
            <w:tcW w:w="7738" w:type="dxa"/>
            <w:tcBorders/>
            <w:vAlign w:val="center"/>
          </w:tcPr>
          <w:p>
            <w:pPr>
              <w:pStyle w:val="TableHeading"/>
              <w:suppressLineNumbers/>
              <w:bidi w:val="0"/>
              <w:spacing w:before="0" w:after="283"/>
              <w:jc w:val="center"/>
              <w:rPr/>
            </w:pPr>
            <w:r>
              <w:rPr/>
              <w:t>Deutsche Fassung</w:t>
            </w:r>
          </w:p>
        </w:tc>
        <w:tc>
          <w:tcPr>
            <w:tcW w:w="7796" w:type="dxa"/>
            <w:tcBorders/>
            <w:vAlign w:val="center"/>
          </w:tcPr>
          <w:p>
            <w:pPr>
              <w:pStyle w:val="TableHeading"/>
              <w:suppressLineNumbers/>
              <w:bidi w:val="0"/>
              <w:spacing w:before="0" w:after="283"/>
              <w:jc w:val="center"/>
              <w:rPr/>
            </w:pPr>
            <w:r>
              <w:rPr/>
              <w:t>English convenience translation</w:t>
            </w:r>
          </w:p>
        </w:tc>
      </w:tr>
      <w:tr>
        <w:trPr/>
        <w:tc>
          <w:tcPr>
            <w:tcW w:w="7738" w:type="dxa"/>
            <w:tcBorders/>
            <w:vAlign w:val="center"/>
          </w:tcPr>
          <w:p>
            <w:pPr>
              <w:pStyle w:val="Heading1"/>
              <w:bidi w:val="0"/>
              <w:spacing w:before="240" w:after="283"/>
              <w:ind w:hanging="0" w:start="0" w:end="0"/>
              <w:rPr/>
            </w:pPr>
            <w:bookmarkStart w:id="0" w:name="bauträgervertrag"/>
            <w:bookmarkEnd w:id="0"/>
            <w:r>
              <w:rPr/>
              <w:t>Bauträgervertrag</w:t>
            </w:r>
          </w:p>
        </w:tc>
        <w:tc>
          <w:tcPr>
            <w:tcW w:w="7796"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738"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796"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738" w:type="dxa"/>
            <w:tcBorders/>
            <w:vAlign w:val="center"/>
          </w:tcPr>
          <w:p>
            <w:pPr>
              <w:pStyle w:val="TableContents"/>
              <w:bidi w:val="0"/>
              <w:spacing w:before="0" w:after="283"/>
              <w:rPr/>
            </w:pPr>
            <w:r>
              <w:rPr>
                <w:rStyle w:val="Strong"/>
              </w:rPr>
              <w:t>S.0</w:t>
            </w:r>
            <w:r>
              <w:rPr/>
              <w:t xml:space="preserve"> Diese Urkunde ist in einer deutsch-englischen Lesefassung erstellt. Der amtierende Notar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796"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 w:name="ur-nr.-1882026-kq"/>
            <w:bookmarkEnd w:id="4"/>
            <w:r>
              <w:rPr/>
              <w:t>UR-Nr. 188/2026 KQ</w:t>
            </w:r>
          </w:p>
        </w:tc>
        <w:tc>
          <w:tcPr>
            <w:tcW w:w="7796" w:type="dxa"/>
            <w:tcBorders/>
            <w:vAlign w:val="center"/>
          </w:tcPr>
          <w:p>
            <w:pPr>
              <w:pStyle w:val="Heading1"/>
              <w:bidi w:val="0"/>
              <w:spacing w:before="240" w:after="283"/>
              <w:ind w:hanging="0" w:start="0" w:end="0"/>
              <w:rPr/>
            </w:pPr>
            <w:bookmarkStart w:id="5" w:name="ur-no-1882026-kq"/>
            <w:bookmarkEnd w:id="5"/>
            <w:r>
              <w:rPr/>
              <w:t>UR No 188/2026 KQ</w:t>
            </w:r>
          </w:p>
        </w:tc>
      </w:tr>
      <w:tr>
        <w:trPr/>
        <w:tc>
          <w:tcPr>
            <w:tcW w:w="7738" w:type="dxa"/>
            <w:tcBorders/>
            <w:vAlign w:val="center"/>
          </w:tcPr>
          <w:p>
            <w:pPr>
              <w:pStyle w:val="Heading2"/>
              <w:bidi w:val="0"/>
              <w:spacing w:before="200" w:after="120"/>
              <w:ind w:hanging="0" w:start="0" w:end="0"/>
              <w:rPr/>
            </w:pPr>
            <w:bookmarkStart w:id="6" w:name="verhandelt"/>
            <w:bookmarkEnd w:id="6"/>
            <w:r>
              <w:rPr/>
              <w:t>Verhandelt</w:t>
            </w:r>
          </w:p>
        </w:tc>
        <w:tc>
          <w:tcPr>
            <w:tcW w:w="7796" w:type="dxa"/>
            <w:tcBorders/>
            <w:vAlign w:val="center"/>
          </w:tcPr>
          <w:p>
            <w:pPr>
              <w:pStyle w:val="Heading2"/>
              <w:bidi w:val="0"/>
              <w:spacing w:before="200" w:after="120"/>
              <w:ind w:hanging="0" w:start="0" w:end="0"/>
              <w:rPr/>
            </w:pPr>
            <w:bookmarkStart w:id="7" w:name="negotiated"/>
            <w:bookmarkEnd w:id="7"/>
            <w:r>
              <w:rPr/>
              <w:t>Negotiated</w:t>
            </w:r>
          </w:p>
        </w:tc>
      </w:tr>
      <w:tr>
        <w:trPr/>
        <w:tc>
          <w:tcPr>
            <w:tcW w:w="7738" w:type="dxa"/>
            <w:tcBorders/>
            <w:vAlign w:val="center"/>
          </w:tcPr>
          <w:p>
            <w:pPr>
              <w:pStyle w:val="TableContents"/>
              <w:bidi w:val="0"/>
              <w:spacing w:before="0" w:after="283"/>
              <w:rPr/>
            </w:pPr>
            <w:r>
              <w:rPr/>
              <w:t>zu Berlin, am 14. März 2026</w:t>
            </w:r>
          </w:p>
        </w:tc>
        <w:tc>
          <w:tcPr>
            <w:tcW w:w="7796" w:type="dxa"/>
            <w:tcBorders/>
            <w:vAlign w:val="center"/>
          </w:tcPr>
          <w:p>
            <w:pPr>
              <w:pStyle w:val="TableContents"/>
              <w:bidi w:val="0"/>
              <w:spacing w:before="0" w:after="283"/>
              <w:rPr/>
            </w:pPr>
            <w:r>
              <w:rPr/>
              <w:t>in Berlin, on 14 March 2026</w:t>
            </w:r>
          </w:p>
        </w:tc>
      </w:tr>
      <w:tr>
        <w:trPr/>
        <w:tc>
          <w:tcPr>
            <w:tcW w:w="7738" w:type="dxa"/>
            <w:tcBorders/>
            <w:vAlign w:val="center"/>
          </w:tcPr>
          <w:p>
            <w:pPr>
              <w:pStyle w:val="TableContents"/>
              <w:bidi w:val="0"/>
              <w:spacing w:before="0" w:after="283"/>
              <w:rPr/>
            </w:pPr>
            <w:r>
              <w:rPr/>
              <w:t>Vor mir, dem unterzeichnenden Notar im Bezirk des Kammergerichts</w:t>
            </w:r>
          </w:p>
        </w:tc>
        <w:tc>
          <w:tcPr>
            <w:tcW w:w="7796" w:type="dxa"/>
            <w:tcBorders/>
            <w:vAlign w:val="center"/>
          </w:tcPr>
          <w:p>
            <w:pPr>
              <w:pStyle w:val="TableContents"/>
              <w:bidi w:val="0"/>
              <w:spacing w:before="0" w:after="283"/>
              <w:rPr/>
            </w:pPr>
            <w:r>
              <w:rPr/>
              <w:t>Before me, the undersigned Notary in the district of the Kammergericht</w:t>
            </w:r>
          </w:p>
        </w:tc>
      </w:tr>
      <w:tr>
        <w:trPr/>
        <w:tc>
          <w:tcPr>
            <w:tcW w:w="7738" w:type="dxa"/>
            <w:tcBorders/>
            <w:vAlign w:val="center"/>
          </w:tcPr>
          <w:p>
            <w:pPr>
              <w:pStyle w:val="TableContents"/>
              <w:bidi w:val="0"/>
              <w:spacing w:before="0" w:after="283"/>
              <w:rPr/>
            </w:pPr>
            <w:r>
              <w:rPr>
                <w:rStyle w:val="Strong"/>
              </w:rPr>
              <w:t>Dr. Adalbert von Sickingen-Querfurt</w:t>
            </w:r>
          </w:p>
        </w:tc>
        <w:tc>
          <w:tcPr>
            <w:tcW w:w="7796" w:type="dxa"/>
            <w:tcBorders/>
            <w:vAlign w:val="center"/>
          </w:tcPr>
          <w:p>
            <w:pPr>
              <w:pStyle w:val="TableContents"/>
              <w:bidi w:val="0"/>
              <w:spacing w:before="0" w:after="283"/>
              <w:rPr/>
            </w:pPr>
            <w:r>
              <w:rPr>
                <w:rStyle w:val="Strong"/>
              </w:rPr>
              <w:t>Dr. Adalbert von Sickingen-Querfurt</w:t>
            </w:r>
          </w:p>
        </w:tc>
      </w:tr>
      <w:tr>
        <w:trPr/>
        <w:tc>
          <w:tcPr>
            <w:tcW w:w="7738" w:type="dxa"/>
            <w:tcBorders/>
            <w:vAlign w:val="center"/>
          </w:tcPr>
          <w:p>
            <w:pPr>
              <w:pStyle w:val="TableContents"/>
              <w:bidi w:val="0"/>
              <w:spacing w:before="0" w:after="283"/>
              <w:rPr/>
            </w:pPr>
            <w:r>
              <w:rPr/>
              <w:t>Kurfürstendamm 211, 10719 Berlin</w:t>
            </w:r>
          </w:p>
        </w:tc>
        <w:tc>
          <w:tcPr>
            <w:tcW w:w="7796" w:type="dxa"/>
            <w:tcBorders/>
            <w:vAlign w:val="center"/>
          </w:tcPr>
          <w:p>
            <w:pPr>
              <w:pStyle w:val="TableContents"/>
              <w:bidi w:val="0"/>
              <w:spacing w:before="0" w:after="283"/>
              <w:rPr/>
            </w:pPr>
            <w:r>
              <w:rPr/>
              <w:t>Kurfürstendamm 211, 10719 Berlin</w:t>
            </w:r>
          </w:p>
        </w:tc>
      </w:tr>
      <w:tr>
        <w:trPr/>
        <w:tc>
          <w:tcPr>
            <w:tcW w:w="7738" w:type="dxa"/>
            <w:tcBorders/>
            <w:vAlign w:val="center"/>
          </w:tcPr>
          <w:p>
            <w:pPr>
              <w:pStyle w:val="TableContents"/>
              <w:bidi w:val="0"/>
              <w:spacing w:before="0" w:after="283"/>
              <w:rPr/>
            </w:pPr>
            <w:r>
              <w:rPr/>
              <w:t>erschienen heute:</w:t>
            </w:r>
          </w:p>
        </w:tc>
        <w:tc>
          <w:tcPr>
            <w:tcW w:w="7796" w:type="dxa"/>
            <w:tcBorders/>
            <w:vAlign w:val="center"/>
          </w:tcPr>
          <w:p>
            <w:pPr>
              <w:pStyle w:val="TableContents"/>
              <w:bidi w:val="0"/>
              <w:spacing w:before="0" w:after="283"/>
              <w:rPr/>
            </w:pPr>
            <w:r>
              <w:rPr/>
              <w:t>appeared today:</w:t>
            </w:r>
          </w:p>
        </w:tc>
      </w:tr>
      <w:tr>
        <w:trPr/>
        <w:tc>
          <w:tcPr>
            <w:tcW w:w="7738" w:type="dxa"/>
            <w:tcBorders/>
            <w:vAlign w:val="center"/>
          </w:tcPr>
          <w:p>
            <w:pPr>
              <w:pStyle w:val="TableContents"/>
              <w:bidi w:val="0"/>
              <w:spacing w:before="0" w:after="283"/>
              <w:rPr/>
            </w:pPr>
            <w:r>
              <w:rPr/>
              <w:t xml:space="preserve">Frau </w:t>
            </w:r>
            <w:r>
              <w:rPr>
                <w:rStyle w:val="Strong"/>
              </w:rPr>
              <w:t>Roswitha Quendel-Bingenheimer</w:t>
            </w:r>
            <w:r>
              <w:rPr/>
              <w:t>, geboren am 11.08.1971,</w:t>
            </w:r>
          </w:p>
        </w:tc>
        <w:tc>
          <w:tcPr>
            <w:tcW w:w="7796" w:type="dxa"/>
            <w:tcBorders/>
            <w:vAlign w:val="center"/>
          </w:tcPr>
          <w:p>
            <w:pPr>
              <w:pStyle w:val="TableContents"/>
              <w:bidi w:val="0"/>
              <w:spacing w:before="0" w:after="283"/>
              <w:rPr/>
            </w:pPr>
            <w:r>
              <w:rPr/>
              <w:t>Ms Roswitha Quendel-Bingenheimer, born 11.08.1971,</w:t>
            </w:r>
          </w:p>
        </w:tc>
      </w:tr>
      <w:tr>
        <w:trPr/>
        <w:tc>
          <w:tcPr>
            <w:tcW w:w="7738" w:type="dxa"/>
            <w:tcBorders/>
            <w:vAlign w:val="center"/>
          </w:tcPr>
          <w:p>
            <w:pPr>
              <w:pStyle w:val="TableContents"/>
              <w:bidi w:val="0"/>
              <w:spacing w:before="0" w:after="283"/>
              <w:rPr/>
            </w:pPr>
            <w:r>
              <w:rPr/>
              <w:t>geschäftsansässig: Schloßstraße 88, 12163 Berlin,</w:t>
            </w:r>
          </w:p>
        </w:tc>
        <w:tc>
          <w:tcPr>
            <w:tcW w:w="7796" w:type="dxa"/>
            <w:tcBorders/>
            <w:vAlign w:val="center"/>
          </w:tcPr>
          <w:p>
            <w:pPr>
              <w:pStyle w:val="TableContents"/>
              <w:bidi w:val="0"/>
              <w:spacing w:before="0" w:after="283"/>
              <w:rPr/>
            </w:pPr>
            <w:r>
              <w:rPr/>
              <w:t>business address: Schloßstraße 88, 12163 Berlin,</w:t>
            </w:r>
          </w:p>
        </w:tc>
      </w:tr>
      <w:tr>
        <w:trPr/>
        <w:tc>
          <w:tcPr>
            <w:tcW w:w="7738" w:type="dxa"/>
            <w:tcBorders/>
            <w:vAlign w:val="center"/>
          </w:tcPr>
          <w:p>
            <w:pPr>
              <w:pStyle w:val="TableContents"/>
              <w:bidi w:val="0"/>
              <w:spacing w:before="0" w:after="283"/>
              <w:rPr/>
            </w:pPr>
            <w:r>
              <w:rPr/>
              <w:t>dem Notar von Person bekannt,</w:t>
            </w:r>
          </w:p>
        </w:tc>
        <w:tc>
          <w:tcPr>
            <w:tcW w:w="7796" w:type="dxa"/>
            <w:tcBorders/>
            <w:vAlign w:val="center"/>
          </w:tcPr>
          <w:p>
            <w:pPr>
              <w:pStyle w:val="TableContents"/>
              <w:bidi w:val="0"/>
              <w:spacing w:before="0" w:after="283"/>
              <w:rPr/>
            </w:pPr>
            <w:r>
              <w:rPr/>
              <w:t>personally known to the Notary,</w:t>
            </w:r>
          </w:p>
        </w:tc>
      </w:tr>
      <w:tr>
        <w:trPr/>
        <w:tc>
          <w:tcPr>
            <w:tcW w:w="7738" w:type="dxa"/>
            <w:tcBorders/>
            <w:vAlign w:val="center"/>
          </w:tcPr>
          <w:p>
            <w:pPr>
              <w:pStyle w:val="TableContents"/>
              <w:bidi w:val="0"/>
              <w:spacing w:before="0" w:after="283"/>
              <w:rPr/>
            </w:pPr>
            <w:r>
              <w:rPr/>
              <w:t>handelnd nachfolgend nicht im eigenen Namen, sondern als Bevollmächtigte für die</w:t>
            </w:r>
          </w:p>
        </w:tc>
        <w:tc>
          <w:tcPr>
            <w:tcW w:w="7796" w:type="dxa"/>
            <w:tcBorders/>
            <w:vAlign w:val="center"/>
          </w:tcPr>
          <w:p>
            <w:pPr>
              <w:pStyle w:val="TableContents"/>
              <w:bidi w:val="0"/>
              <w:spacing w:before="0" w:after="283"/>
              <w:rPr/>
            </w:pPr>
            <w:r>
              <w:rPr/>
              <w:t>not in their own name, but as agents for the</w:t>
            </w:r>
          </w:p>
        </w:tc>
      </w:tr>
      <w:tr>
        <w:trPr/>
        <w:tc>
          <w:tcPr>
            <w:tcW w:w="7738" w:type="dxa"/>
            <w:tcBorders/>
            <w:vAlign w:val="center"/>
          </w:tcPr>
          <w:p>
            <w:pPr>
              <w:pStyle w:val="TableContents"/>
              <w:bidi w:val="0"/>
              <w:spacing w:before="0" w:after="283"/>
              <w:rPr/>
            </w:pPr>
            <w:r>
              <w:rPr>
                <w:rStyle w:val="Strong"/>
              </w:rPr>
              <w:t>Hohenwartshofen Quartiersentwicklung GmbH &amp; Co. KG</w:t>
            </w:r>
          </w:p>
        </w:tc>
        <w:tc>
          <w:tcPr>
            <w:tcW w:w="7796" w:type="dxa"/>
            <w:tcBorders/>
            <w:vAlign w:val="center"/>
          </w:tcPr>
          <w:p>
            <w:pPr>
              <w:pStyle w:val="TableContents"/>
              <w:bidi w:val="0"/>
              <w:spacing w:before="0" w:after="283"/>
              <w:rPr/>
            </w:pPr>
            <w:r>
              <w:rPr>
                <w:rStyle w:val="Strong"/>
              </w:rPr>
              <w:t>Hohenwartshofen Quartiersentwicklung GmbH &amp; Co. KG</w:t>
            </w:r>
          </w:p>
        </w:tc>
      </w:tr>
      <w:tr>
        <w:trPr/>
        <w:tc>
          <w:tcPr>
            <w:tcW w:w="7738" w:type="dxa"/>
            <w:tcBorders/>
            <w:vAlign w:val="center"/>
          </w:tcPr>
          <w:p>
            <w:pPr>
              <w:pStyle w:val="TableContents"/>
              <w:bidi w:val="0"/>
              <w:spacing w:before="0" w:after="283"/>
              <w:rPr/>
            </w:pPr>
            <w:r>
              <w:rPr/>
              <w:t>(vormals firmierend unter Hohenwartshofen-Drewitz Immobilien GmbH &amp; Co. KG; Amtsgericht Charlottenburg, HRA 52188 B; Komplementärin: Hohenwartshofen Verwaltungs GmbH, Amtsgericht Charlottenburg, HRB 187 552 B),</w:t>
            </w:r>
          </w:p>
        </w:tc>
        <w:tc>
          <w:tcPr>
            <w:tcW w:w="7796" w:type="dxa"/>
            <w:tcBorders/>
            <w:vAlign w:val="center"/>
          </w:tcPr>
          <w:p>
            <w:pPr>
              <w:pStyle w:val="TableContents"/>
              <w:bidi w:val="0"/>
              <w:spacing w:before="0" w:after="283"/>
              <w:rPr/>
            </w:pPr>
            <w:r>
              <w:rPr/>
              <w:t>(formerly known as Hohenwartshofen-Drewitz Immobilien GmbH &amp; Co. KG); District Court Charlottenburg, HRA 52188 B; General: Hohenwartshofen Verwaltungs GmbH, District Court Charlottenburg, HRB 187 552 B,</w:t>
            </w:r>
          </w:p>
        </w:tc>
      </w:tr>
      <w:tr>
        <w:trPr/>
        <w:tc>
          <w:tcPr>
            <w:tcW w:w="7738" w:type="dxa"/>
            <w:tcBorders/>
            <w:vAlign w:val="center"/>
          </w:tcPr>
          <w:p>
            <w:pPr>
              <w:pStyle w:val="TableContents"/>
              <w:bidi w:val="0"/>
              <w:spacing w:before="0" w:after="283"/>
              <w:rPr/>
            </w:pPr>
            <w:r>
              <w:rPr/>
              <w:t>Geschäftsanschrift: Schloßstraße 88, 12163 Berlin,</w:t>
            </w:r>
          </w:p>
        </w:tc>
        <w:tc>
          <w:tcPr>
            <w:tcW w:w="7796" w:type="dxa"/>
            <w:tcBorders/>
            <w:vAlign w:val="center"/>
          </w:tcPr>
          <w:p>
            <w:pPr>
              <w:pStyle w:val="TableContents"/>
              <w:bidi w:val="0"/>
              <w:spacing w:before="0" w:after="283"/>
              <w:rPr/>
            </w:pPr>
            <w:r>
              <w:rPr/>
              <w:t>business address: Schloßstraße 88, 12163 Berlin,</w:t>
            </w:r>
          </w:p>
        </w:tc>
      </w:tr>
      <w:tr>
        <w:trPr/>
        <w:tc>
          <w:tcPr>
            <w:tcW w:w="7738" w:type="dxa"/>
            <w:tcBorders/>
            <w:vAlign w:val="center"/>
          </w:tcPr>
          <w:p>
            <w:pPr>
              <w:pStyle w:val="TableContents"/>
              <w:bidi w:val="0"/>
              <w:spacing w:before="0" w:after="283"/>
              <w:rPr/>
            </w:pPr>
            <w:r>
              <w:rPr/>
              <w:t xml:space="preserve">— </w:t>
            </w:r>
            <w:r>
              <w:rPr/>
              <w:t>nachstehend auch „Verkäufer” genannt —,</w:t>
            </w:r>
          </w:p>
        </w:tc>
        <w:tc>
          <w:tcPr>
            <w:tcW w:w="7796" w:type="dxa"/>
            <w:tcBorders/>
            <w:vAlign w:val="center"/>
          </w:tcPr>
          <w:p>
            <w:pPr>
              <w:pStyle w:val="TableContents"/>
              <w:bidi w:val="0"/>
              <w:spacing w:before="0" w:after="283"/>
              <w:rPr/>
            </w:pPr>
            <w:r>
              <w:rPr/>
              <w:t>hereinafter referred to as ‘the Seller’,</w:t>
            </w:r>
          </w:p>
        </w:tc>
      </w:tr>
      <w:tr>
        <w:trPr/>
        <w:tc>
          <w:tcPr>
            <w:tcW w:w="7738" w:type="dxa"/>
            <w:tcBorders/>
            <w:vAlign w:val="center"/>
          </w:tcPr>
          <w:p>
            <w:pPr>
              <w:pStyle w:val="TableContents"/>
              <w:bidi w:val="0"/>
              <w:spacing w:before="0" w:after="283"/>
              <w:rPr/>
            </w:pPr>
            <w:r>
              <w:rPr/>
              <w:t>aufgrund notariell beglaubigter Vollmacht vom 22.10.2025, UR-Nr. 1402/2025 W des Notars Egmont Wachtelborn, Berlin. Das Original der Vollmacht lag bei Beurkundung vor; eine Fotokopie derselben wird in beglaubigter Fotokopie als Anhang a zu dieser Urkunde genommen.</w:t>
            </w:r>
          </w:p>
        </w:tc>
        <w:tc>
          <w:tcPr>
            <w:tcW w:w="7796" w:type="dxa"/>
            <w:tcBorders/>
            <w:vAlign w:val="center"/>
          </w:tcPr>
          <w:p>
            <w:pPr>
              <w:pStyle w:val="TableContents"/>
              <w:bidi w:val="0"/>
              <w:spacing w:before="0" w:after="283"/>
              <w:rPr/>
            </w:pPr>
            <w:r>
              <w:rPr/>
              <w:t>based on notarized power of attorney dated 22.10.2025, UR No. 1402/2025 W of the Notary Egmont Wachtelborn, Berlin. The original of the power of attorney was available at certification; a photocopy of the same shall be taken in certified photocopy as Annex a to this document.</w:t>
            </w:r>
          </w:p>
        </w:tc>
      </w:tr>
      <w:tr>
        <w:trPr/>
        <w:tc>
          <w:tcPr>
            <w:tcW w:w="7738" w:type="dxa"/>
            <w:tcBorders/>
            <w:vAlign w:val="center"/>
          </w:tcPr>
          <w:p>
            <w:pPr>
              <w:pStyle w:val="TableContents"/>
              <w:bidi w:val="0"/>
              <w:spacing w:before="0" w:after="283"/>
              <w:rPr/>
            </w:pPr>
            <w:r>
              <w:rPr/>
              <w:t xml:space="preserve">Herr </w:t>
            </w:r>
            <w:r>
              <w:rPr>
                <w:rStyle w:val="Strong"/>
              </w:rPr>
              <w:t>Dr. Eberwein Übelacker-Strohmeyer</w:t>
            </w:r>
            <w:r>
              <w:rPr/>
              <w:t>, geboren am 03.02.1968,</w:t>
            </w:r>
          </w:p>
        </w:tc>
        <w:tc>
          <w:tcPr>
            <w:tcW w:w="7796" w:type="dxa"/>
            <w:tcBorders/>
            <w:vAlign w:val="center"/>
          </w:tcPr>
          <w:p>
            <w:pPr>
              <w:pStyle w:val="TableContents"/>
              <w:bidi w:val="0"/>
              <w:spacing w:before="0" w:after="283"/>
              <w:rPr/>
            </w:pPr>
            <w:r>
              <w:rPr/>
              <w:t>Mr Dr Eberwein Übelacker-Strohmeyer, born on 03.02.1968,</w:t>
            </w:r>
          </w:p>
        </w:tc>
      </w:tr>
      <w:tr>
        <w:trPr/>
        <w:tc>
          <w:tcPr>
            <w:tcW w:w="7738" w:type="dxa"/>
            <w:tcBorders/>
            <w:vAlign w:val="center"/>
          </w:tcPr>
          <w:p>
            <w:pPr>
              <w:pStyle w:val="TableContents"/>
              <w:bidi w:val="0"/>
              <w:spacing w:before="0" w:after="283"/>
              <w:rPr/>
            </w:pPr>
            <w:r>
              <w:rPr/>
              <w:t>wohnhaft: Königin-Luise-Straße 47, 14195 Berlin,</w:t>
            </w:r>
          </w:p>
        </w:tc>
        <w:tc>
          <w:tcPr>
            <w:tcW w:w="7796" w:type="dxa"/>
            <w:tcBorders/>
            <w:vAlign w:val="center"/>
          </w:tcPr>
          <w:p>
            <w:pPr>
              <w:pStyle w:val="TableContents"/>
              <w:bidi w:val="0"/>
              <w:spacing w:before="0" w:after="283"/>
              <w:rPr/>
            </w:pPr>
            <w:r>
              <w:rPr/>
              <w:t>resident at: Königin-Luise-Straße 47, 14195 Berlin,</w:t>
            </w:r>
          </w:p>
        </w:tc>
      </w:tr>
      <w:tr>
        <w:trPr/>
        <w:tc>
          <w:tcPr>
            <w:tcW w:w="7738" w:type="dxa"/>
            <w:tcBorders/>
            <w:vAlign w:val="center"/>
          </w:tcPr>
          <w:p>
            <w:pPr>
              <w:pStyle w:val="TableContents"/>
              <w:bidi w:val="0"/>
              <w:spacing w:before="0" w:after="283"/>
              <w:rPr/>
            </w:pPr>
            <w:r>
              <w:rPr/>
              <w:t>ausgewiesen durch gültigen Personalausweis,</w:t>
            </w:r>
          </w:p>
        </w:tc>
        <w:tc>
          <w:tcPr>
            <w:tcW w:w="7796" w:type="dxa"/>
            <w:tcBorders/>
            <w:vAlign w:val="center"/>
          </w:tcPr>
          <w:p>
            <w:pPr>
              <w:pStyle w:val="TableContents"/>
              <w:bidi w:val="0"/>
              <w:spacing w:before="0" w:after="283"/>
              <w:rPr/>
            </w:pPr>
            <w:r>
              <w:rPr/>
              <w:t>identified by a valid identity card,</w:t>
            </w:r>
          </w:p>
        </w:tc>
      </w:tr>
      <w:tr>
        <w:trPr/>
        <w:tc>
          <w:tcPr>
            <w:tcW w:w="7738" w:type="dxa"/>
            <w:tcBorders/>
            <w:vAlign w:val="center"/>
          </w:tcPr>
          <w:p>
            <w:pPr>
              <w:pStyle w:val="TableContents"/>
              <w:bidi w:val="0"/>
              <w:spacing w:before="0" w:after="283"/>
              <w:rPr/>
            </w:pPr>
            <w:r>
              <w:rPr/>
              <w:t xml:space="preserve">— </w:t>
            </w:r>
            <w:r>
              <w:rPr/>
              <w:t>nachstehend auch „Käufer” genannt —.</w:t>
            </w:r>
          </w:p>
        </w:tc>
        <w:tc>
          <w:tcPr>
            <w:tcW w:w="7796" w:type="dxa"/>
            <w:tcBorders/>
            <w:vAlign w:val="center"/>
          </w:tcPr>
          <w:p>
            <w:pPr>
              <w:pStyle w:val="TableContents"/>
              <w:bidi w:val="0"/>
              <w:spacing w:before="0" w:after="283"/>
              <w:rPr/>
            </w:pPr>
            <w:r>
              <w:rPr/>
              <w:t>hereinafter also referred to as ‘Buyer’.</w:t>
            </w:r>
          </w:p>
        </w:tc>
      </w:tr>
      <w:tr>
        <w:trPr/>
        <w:tc>
          <w:tcPr>
            <w:tcW w:w="7738" w:type="dxa"/>
            <w:tcBorders/>
            <w:vAlign w:val="center"/>
          </w:tcPr>
          <w:p>
            <w:pPr>
              <w:pStyle w:val="TableContents"/>
              <w:bidi w:val="0"/>
              <w:spacing w:before="0" w:after="283"/>
              <w:rPr/>
            </w:pPr>
            <w:r>
              <w:rPr/>
              <w:t>Auf Befragen des Notars erklärten die Erschienene zu 1. auf Rechnung des von ihr Vertretenen und der Erschienene zu 2. auf eigene Rechnung zu handeln.</w:t>
            </w:r>
          </w:p>
        </w:tc>
        <w:tc>
          <w:tcPr>
            <w:tcW w:w="7796" w:type="dxa"/>
            <w:tcBorders/>
            <w:vAlign w:val="center"/>
          </w:tcPr>
          <w:p>
            <w:pPr>
              <w:pStyle w:val="TableContents"/>
              <w:bidi w:val="0"/>
              <w:spacing w:before="0" w:after="283"/>
              <w:rPr/>
            </w:pPr>
            <w:r>
              <w:rPr/>
              <w:t>At the request of the Notary, the publications declared 1. to act on behalf of the person represented by them and 2. to act on their own account.</w:t>
            </w:r>
          </w:p>
        </w:tc>
      </w:tr>
      <w:tr>
        <w:trPr/>
        <w:tc>
          <w:tcPr>
            <w:tcW w:w="7738" w:type="dxa"/>
            <w:tcBorders/>
            <w:vAlign w:val="center"/>
          </w:tcPr>
          <w:p>
            <w:pPr>
              <w:pStyle w:val="TableContents"/>
              <w:bidi w:val="0"/>
              <w:spacing w:before="0" w:after="283"/>
              <w:rPr/>
            </w:pPr>
            <w:r>
              <w:rPr/>
              <w:t>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tc>
        <w:tc>
          <w:tcPr>
            <w:tcW w:w="7796" w:type="dxa"/>
            <w:tcBorders/>
            <w:vAlign w:val="center"/>
          </w:tcPr>
          <w:p>
            <w:pPr>
              <w:pStyle w:val="TableContents"/>
              <w:bidi w:val="0"/>
              <w:spacing w:before="0" w:after="283"/>
              <w:rPr/>
            </w:pPr>
            <w:r>
              <w:rPr/>
              <w:t>The Notary has indicated that, before the recording, he must ask the parties concerned whether, in the matter to be recorded below, one of the persons associated with him for the joint pursuit of the profession or himself has already worked or is working outside his office. The interested parties explained that this was not the case.</w:t>
            </w:r>
          </w:p>
        </w:tc>
      </w:tr>
      <w:tr>
        <w:trPr/>
        <w:tc>
          <w:tcPr>
            <w:tcW w:w="7738" w:type="dxa"/>
            <w:tcBorders/>
            <w:vAlign w:val="center"/>
          </w:tcPr>
          <w:p>
            <w:pPr>
              <w:pStyle w:val="TableContents"/>
              <w:bidi w:val="0"/>
              <w:spacing w:before="0" w:after="283"/>
              <w:rPr/>
            </w:pPr>
            <w:r>
              <w:rPr/>
              <w:t>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tc>
        <w:tc>
          <w:tcPr>
            <w:tcW w:w="7796" w:type="dxa"/>
            <w:tcBorders/>
            <w:vAlign w:val="center"/>
          </w:tcPr>
          <w:p>
            <w:pPr>
              <w:pStyle w:val="TableContents"/>
              <w:bidi w:val="0"/>
              <w:spacing w:before="0" w:after="283"/>
              <w:rPr/>
            </w:pPr>
            <w:r>
              <w:rPr/>
              <w:t>The Buyer stated with regard to § 17 Abs. 2a BeurkG, that he was provided with a draft of the sales contract below via the documentation portal used by the Seller and that he was aware of the essential economic content of the business on the basis of the previous reservation, sales discussions and inspection of the digital data room directory. However, at the request of the Buyer and in view of the expiring reservation binding, today’s deed shall be carried out; The Buyer stated that he does not currently need any further cooling-off period.</w:t>
            </w:r>
          </w:p>
        </w:tc>
      </w:tr>
      <w:tr>
        <w:trPr/>
        <w:tc>
          <w:tcPr>
            <w:tcW w:w="7738" w:type="dxa"/>
            <w:tcBorders/>
            <w:vAlign w:val="center"/>
          </w:tcPr>
          <w:p>
            <w:pPr>
              <w:pStyle w:val="TableContents"/>
              <w:bidi w:val="0"/>
              <w:spacing w:before="0" w:after="283"/>
              <w:rPr/>
            </w:pPr>
            <w:r>
              <w:rPr/>
              <w:t>Die Erschienenen baten sodann um die Beurkundung des nachstehenden</w:t>
            </w:r>
          </w:p>
        </w:tc>
        <w:tc>
          <w:tcPr>
            <w:tcW w:w="7796" w:type="dxa"/>
            <w:tcBorders/>
            <w:vAlign w:val="center"/>
          </w:tcPr>
          <w:p>
            <w:pPr>
              <w:pStyle w:val="TableContents"/>
              <w:bidi w:val="0"/>
              <w:spacing w:before="0" w:after="283"/>
              <w:rPr/>
            </w:pPr>
            <w:r>
              <w:rPr/>
              <w:t>The persons appearing then requested the notarisation of the following</w:t>
            </w:r>
          </w:p>
        </w:tc>
      </w:tr>
      <w:tr>
        <w:trPr/>
        <w:tc>
          <w:tcPr>
            <w:tcW w:w="7738"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796"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738" w:type="dxa"/>
            <w:tcBorders/>
            <w:vAlign w:val="center"/>
          </w:tcPr>
          <w:p>
            <w:pPr>
              <w:pStyle w:val="Heading2"/>
              <w:bidi w:val="0"/>
              <w:spacing w:before="200" w:after="120"/>
              <w:ind w:hanging="0" w:start="0" w:end="0"/>
              <w:rPr/>
            </w:pPr>
            <w:bookmarkStart w:id="10" w:name="vorbemerkungen"/>
            <w:bookmarkEnd w:id="10"/>
            <w:r>
              <w:rPr/>
              <w:t>Vorbemerkungen</w:t>
            </w:r>
          </w:p>
        </w:tc>
        <w:tc>
          <w:tcPr>
            <w:tcW w:w="7796"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738" w:type="dxa"/>
            <w:tcBorders/>
            <w:vAlign w:val="center"/>
          </w:tcPr>
          <w:p>
            <w:pPr>
              <w:pStyle w:val="TableContents"/>
              <w:bidi w:val="0"/>
              <w:spacing w:before="0" w:after="283"/>
              <w:rPr/>
            </w:pPr>
            <w:r>
              <w:rPr>
                <w:rStyle w:val="Strong"/>
              </w:rPr>
              <w:t>0.1</w:t>
            </w:r>
            <w:r>
              <w:rPr/>
              <w:t xml:space="preserve"> Der Verkäufer beabsichtigt, nach derzeitiger Planung auf dem Grundstück</w:t>
            </w:r>
          </w:p>
        </w:tc>
        <w:tc>
          <w:tcPr>
            <w:tcW w:w="7796" w:type="dxa"/>
            <w:tcBorders/>
            <w:vAlign w:val="center"/>
          </w:tcPr>
          <w:p>
            <w:pPr>
              <w:pStyle w:val="TableContents"/>
              <w:bidi w:val="0"/>
              <w:spacing w:before="0" w:after="283"/>
              <w:rPr/>
            </w:pPr>
            <w:r>
              <w:rPr>
                <w:rStyle w:val="Strong"/>
              </w:rPr>
              <w:t>0.1</w:t>
            </w:r>
            <w:r>
              <w:rPr/>
              <w:t xml:space="preserve"> The Seller intends, according to current planning on the property</w:t>
            </w:r>
          </w:p>
        </w:tc>
      </w:tr>
      <w:tr>
        <w:trPr/>
        <w:tc>
          <w:tcPr>
            <w:tcW w:w="7738" w:type="dxa"/>
            <w:tcBorders/>
            <w:vAlign w:val="center"/>
          </w:tcPr>
          <w:p>
            <w:pPr>
              <w:pStyle w:val="BlockQuotation"/>
              <w:pBdr>
                <w:left w:val="single" w:sz="6" w:space="1" w:color="AAAAAA"/>
              </w:pBdr>
              <w:bidi w:val="0"/>
              <w:spacing w:before="0" w:after="283"/>
              <w:ind w:hanging="0" w:start="567" w:end="567"/>
              <w:rPr/>
            </w:pPr>
            <w:r>
              <w:rPr/>
              <w:t>Gemarkung Kannenberg-Niederwall, Flur 7, Flurstück 218/4, Gebäude- und Freifläche, „Am Birkenpfuhl”, mit einer grundbuchlichen Größe von insgesamt 11.840 m², nachstehend auch das „Grundstück” genannt,</w:t>
            </w:r>
          </w:p>
        </w:tc>
        <w:tc>
          <w:tcPr>
            <w:tcW w:w="7796" w:type="dxa"/>
            <w:tcBorders/>
            <w:vAlign w:val="center"/>
          </w:tcPr>
          <w:p>
            <w:pPr>
              <w:pStyle w:val="BlockQuotation"/>
              <w:pBdr>
                <w:left w:val="single" w:sz="6" w:space="1" w:color="AAAAAA"/>
              </w:pBdr>
              <w:bidi w:val="0"/>
              <w:spacing w:before="0" w:after="283"/>
              <w:ind w:hanging="0" w:start="567" w:end="567"/>
              <w:rPr/>
            </w:pPr>
            <w:r>
              <w:rPr/>
              <w:t>Marking Kannenberg-Niederwall, corridor 7, cadastral parcel 218/4, building and open space, “Am Birkenpfuhl”, with a total Land Register size of 11.840 m2, hereinafter also called the “land”,</w:t>
            </w:r>
          </w:p>
        </w:tc>
      </w:tr>
      <w:tr>
        <w:trPr/>
        <w:tc>
          <w:tcPr>
            <w:tcW w:w="7738" w:type="dxa"/>
            <w:tcBorders/>
            <w:vAlign w:val="center"/>
          </w:tcPr>
          <w:p>
            <w:pPr>
              <w:pStyle w:val="TableContents"/>
              <w:bidi w:val="0"/>
              <w:spacing w:before="0" w:after="283"/>
              <w:rPr/>
            </w:pPr>
            <w:r>
              <w:rPr/>
              <w:t>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tc>
        <w:tc>
          <w:tcPr>
            <w:tcW w:w="7796" w:type="dxa"/>
            <w:tcBorders/>
            <w:vAlign w:val="center"/>
          </w:tcPr>
          <w:p>
            <w:pPr>
              <w:pStyle w:val="TableContents"/>
              <w:bidi w:val="0"/>
              <w:spacing w:before="0" w:after="283"/>
              <w:rPr/>
            </w:pPr>
            <w:r>
              <w:rPr/>
              <w:t>12 multi-family houses as well as a city villa cluster (houses 9 to 12) with a total of 287 residential units, 14 partial ownership units as well as a two-storey underground car park with 198 motor car parking spaces and 22 motorcycle parking spaces together with common areas (in particular a quarter square, playground, paths, plant and water areas, lounge on the ground floor of house 5) and has divided this property according to § 8 WEG.</w:t>
            </w:r>
          </w:p>
        </w:tc>
      </w:tr>
      <w:tr>
        <w:trPr/>
        <w:tc>
          <w:tcPr>
            <w:tcW w:w="7738" w:type="dxa"/>
            <w:tcBorders/>
            <w:vAlign w:val="center"/>
          </w:tcPr>
          <w:p>
            <w:pPr>
              <w:pStyle w:val="TableContents"/>
              <w:bidi w:val="0"/>
              <w:spacing w:before="0" w:after="283"/>
              <w:rPr/>
            </w:pPr>
            <w:r>
              <w:rPr/>
              <w:t>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tc>
        <w:tc>
          <w:tcPr>
            <w:tcW w:w="7796" w:type="dxa"/>
            <w:tcBorders/>
            <w:vAlign w:val="center"/>
          </w:tcPr>
          <w:p>
            <w:pPr>
              <w:pStyle w:val="TableContents"/>
              <w:bidi w:val="0"/>
              <w:spacing w:before="0" w:after="283"/>
              <w:rPr/>
            </w:pPr>
            <w:r>
              <w:rPr/>
              <w:t>As this is a multi-stage neighbourhood project, the above number of residential and partial ownership units, parking spaces, construction phases and common areas may still change in the course of further coordination with authorities, specialist planners, financing partners and utilities. Changes are reserved as long as the purchaser’s subject-matter is retained in essence and the overall picture of the quarter is not substantially changed; an adjustment of the Purchase Price does not take place in this case.</w:t>
            </w:r>
          </w:p>
        </w:tc>
      </w:tr>
      <w:tr>
        <w:trPr/>
        <w:tc>
          <w:tcPr>
            <w:tcW w:w="7738" w:type="dxa"/>
            <w:tcBorders/>
            <w:vAlign w:val="center"/>
          </w:tcPr>
          <w:p>
            <w:pPr>
              <w:pStyle w:val="TableContents"/>
              <w:bidi w:val="0"/>
              <w:spacing w:before="0" w:after="283"/>
              <w:rPr/>
            </w:pPr>
            <w:r>
              <w:rPr/>
              <w:t>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tc>
        <w:tc>
          <w:tcPr>
            <w:tcW w:w="7796" w:type="dxa"/>
            <w:tcBorders/>
            <w:vAlign w:val="center"/>
          </w:tcPr>
          <w:p>
            <w:pPr>
              <w:pStyle w:val="TableContents"/>
              <w:bidi w:val="0"/>
              <w:spacing w:before="0" w:after="283"/>
              <w:rPr/>
            </w:pPr>
            <w:r>
              <w:rPr/>
              <w:t>The Seller pointed out to the Buyer that the above construction measures as well as subsequent construction projects of the Seller or of the Seller’s group companies on the adjacent neighbouring plots immediately northeast and southeast (so-called construction fields Q2 and Q3) can still result after the handover day according to § 6 impairments for the Buyer (e.g. due to noise, dust, vibrations, visual restrictions, limited routing, construction site traffic and temporary shutdowns of technical media). Such quarterly effects shall be deemed to have been taken into account in the price formation insofar as they do not permanently eliminate the ordinary usability of the special ownership unit.</w:t>
            </w:r>
          </w:p>
        </w:tc>
      </w:tr>
      <w:tr>
        <w:trPr/>
        <w:tc>
          <w:tcPr>
            <w:tcW w:w="7738"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tc>
        <w:tc>
          <w:tcPr>
            <w:tcW w:w="7796" w:type="dxa"/>
            <w:tcBorders/>
            <w:vAlign w:val="center"/>
          </w:tcPr>
          <w:p>
            <w:pPr>
              <w:pStyle w:val="TableContents"/>
              <w:bidi w:val="0"/>
              <w:spacing w:before="0" w:after="283"/>
              <w:rPr/>
            </w:pPr>
            <w:r>
              <w:rPr>
                <w:rStyle w:val="Strong"/>
              </w:rPr>
              <w:t>0.2</w:t>
            </w:r>
            <w:r>
              <w:rPr/>
              <w:t xml:space="preserve"> The extent and limitations of dwelling and part-ownership, the legal relations between the owners of dwellings and part-owners and the management of joint ownership are regulated in the declaration of division, including the Community Rules of 18 May. July 2024 on the UR-No. 612/2024 W of the Notary Egmont Wachtelborn, Berlin, in the version of 1., 2., 3., 4., 5., 6. and 7. Addendum to the declaration of division including the Community Regulation of 4 September 2024 to the UR No 731/2024 W, of 12 November 2024 to the UR No 942/2024 W, of 9 January 2025 to the UR No 28/2025 W, of 3 April 2025 to the UR No 412/2025 W, of 27 June 2025 to the UR No 698/2025 W, of 19 September 2025 to the UR No 1108/2025 W and of 4 February 2026 to the UR No 187/2026 W respectively by the Notary Egmont Wachtelborn, Berlin.</w:t>
            </w:r>
          </w:p>
        </w:tc>
      </w:tr>
      <w:tr>
        <w:trPr/>
        <w:tc>
          <w:tcPr>
            <w:tcW w:w="7738" w:type="dxa"/>
            <w:tcBorders/>
            <w:vAlign w:val="center"/>
          </w:tcPr>
          <w:p>
            <w:pPr>
              <w:pStyle w:val="TableContents"/>
              <w:bidi w:val="0"/>
              <w:spacing w:before="0" w:after="283"/>
              <w:rPr/>
            </w:pPr>
            <w:r>
              <w:rPr/>
              <w:t xml:space="preserve">— </w:t>
            </w:r>
            <w:r>
              <w:rPr/>
              <w:t>nachfolgend zusammen auch „Teilungserklärung” und/oder zusammen „Bezugsurkunde 1” genannt —.</w:t>
            </w:r>
          </w:p>
        </w:tc>
        <w:tc>
          <w:tcPr>
            <w:tcW w:w="7796" w:type="dxa"/>
            <w:tcBorders/>
            <w:vAlign w:val="center"/>
          </w:tcPr>
          <w:p>
            <w:pPr>
              <w:pStyle w:val="TableContents"/>
              <w:bidi w:val="0"/>
              <w:spacing w:before="0" w:after="283"/>
              <w:rPr/>
            </w:pPr>
            <w:r>
              <w:rPr/>
              <w:t>hereinafter referred to as ‘Declaration of division’ and/or ‘Declaration of reference 1’.</w:t>
            </w:r>
          </w:p>
        </w:tc>
      </w:tr>
      <w:tr>
        <w:trPr/>
        <w:tc>
          <w:tcPr>
            <w:tcW w:w="7738" w:type="dxa"/>
            <w:tcBorders/>
            <w:vAlign w:val="center"/>
          </w:tcPr>
          <w:p>
            <w:pPr>
              <w:pStyle w:val="TableContents"/>
              <w:bidi w:val="0"/>
              <w:spacing w:before="0" w:after="283"/>
              <w:rPr/>
            </w:pPr>
            <w:r>
              <w:rPr/>
              <w:t>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tc>
        <w:tc>
          <w:tcPr>
            <w:tcW w:w="7796" w:type="dxa"/>
            <w:tcBorders/>
            <w:vAlign w:val="center"/>
          </w:tcPr>
          <w:p>
            <w:pPr>
              <w:pStyle w:val="TableContents"/>
              <w:bidi w:val="0"/>
              <w:spacing w:before="0" w:after="283"/>
              <w:rPr/>
            </w:pPr>
            <w:r>
              <w:rPr/>
              <w:t>The Purchased Property shall in principle be constructed in accordance with the more detailed provisions of § 5 as it results from the construction description in the version February 2026, version 7.2. The Building Specification is handed over to the Buyer with contract signing in a current, unbound print version and was available in the documents portal according to the Seller.</w:t>
            </w:r>
          </w:p>
        </w:tc>
      </w:tr>
      <w:tr>
        <w:trPr/>
        <w:tc>
          <w:tcPr>
            <w:tcW w:w="7738" w:type="dxa"/>
            <w:tcBorders/>
            <w:vAlign w:val="center"/>
          </w:tcPr>
          <w:p>
            <w:pPr>
              <w:pStyle w:val="TableContents"/>
              <w:bidi w:val="0"/>
              <w:spacing w:before="0" w:after="283"/>
              <w:rPr/>
            </w:pPr>
            <w:r>
              <w:rPr/>
              <w:t>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tc>
        <w:tc>
          <w:tcPr>
            <w:tcW w:w="7796" w:type="dxa"/>
            <w:tcBorders/>
            <w:vAlign w:val="center"/>
          </w:tcPr>
          <w:p>
            <w:pPr>
              <w:pStyle w:val="TableContents"/>
              <w:bidi w:val="0"/>
              <w:spacing w:before="0" w:after="283"/>
              <w:rPr/>
            </w:pPr>
            <w:r>
              <w:rPr/>
              <w:t>By signing this contract, the Buyer confirms that the Building Specification, the declaration of division with supplements and the documents specified in the data room were accessible to him and that he had the opportunity to obtain legal, technical and tax advice. The interested parties agree that the aforementioned documents were taken into account in the purchase decision.</w:t>
            </w:r>
          </w:p>
        </w:tc>
      </w:tr>
      <w:tr>
        <w:trPr/>
        <w:tc>
          <w:tcPr>
            <w:tcW w:w="7738" w:type="dxa"/>
            <w:tcBorders/>
            <w:vAlign w:val="center"/>
          </w:tcPr>
          <w:p>
            <w:pPr>
              <w:pStyle w:val="TableContents"/>
              <w:bidi w:val="0"/>
              <w:spacing w:before="0" w:after="283"/>
              <w:rPr/>
            </w:pPr>
            <w:r>
              <w:rPr>
                <w:rStyle w:val="Strong"/>
              </w:rPr>
              <w:t>0.3</w:t>
            </w:r>
            <w:r>
              <w:rPr/>
              <w:t xml:space="preserve"> Gegenstand dieses Vertrages sind der in § 1 beschriebene Kaufgegenstand sowie die in § 5 beschriebene Herstellungsverpflichtung.</w:t>
            </w:r>
          </w:p>
        </w:tc>
        <w:tc>
          <w:tcPr>
            <w:tcW w:w="7796" w:type="dxa"/>
            <w:tcBorders/>
            <w:vAlign w:val="center"/>
          </w:tcPr>
          <w:p>
            <w:pPr>
              <w:pStyle w:val="TableContents"/>
              <w:bidi w:val="0"/>
              <w:spacing w:before="0" w:after="283"/>
              <w:rPr/>
            </w:pPr>
            <w:r>
              <w:rPr>
                <w:rStyle w:val="Strong"/>
              </w:rPr>
              <w:t>0.3</w:t>
            </w:r>
            <w:r>
              <w:rPr/>
              <w:t xml:space="preserve"> The subject matter of this contract is the Purchased Property described in § 1 and the production obligation described in § 5.</w:t>
            </w:r>
          </w:p>
        </w:tc>
      </w:tr>
      <w:tr>
        <w:trPr/>
        <w:tc>
          <w:tcPr>
            <w:tcW w:w="7738" w:type="dxa"/>
            <w:tcBorders/>
            <w:vAlign w:val="center"/>
          </w:tcPr>
          <w:p>
            <w:pPr>
              <w:pStyle w:val="TableContents"/>
              <w:bidi w:val="0"/>
              <w:spacing w:before="0" w:after="283"/>
              <w:rPr/>
            </w:pPr>
            <w:r>
              <w:rPr>
                <w:rStyle w:val="Strong"/>
              </w:rPr>
              <w:t>0.4</w:t>
            </w:r>
            <w:r>
              <w:rPr/>
              <w:t xml:space="preserve"> Die Abgeschlossenheitsbescheinigung zur Teilungserklärung liegt vor.</w:t>
            </w:r>
          </w:p>
        </w:tc>
        <w:tc>
          <w:tcPr>
            <w:tcW w:w="7796" w:type="dxa"/>
            <w:tcBorders/>
            <w:vAlign w:val="center"/>
          </w:tcPr>
          <w:p>
            <w:pPr>
              <w:pStyle w:val="TableContents"/>
              <w:bidi w:val="0"/>
              <w:spacing w:before="0" w:after="283"/>
              <w:rPr/>
            </w:pPr>
            <w:r>
              <w:rPr>
                <w:rStyle w:val="Strong"/>
              </w:rPr>
              <w:t>0.4</w:t>
            </w:r>
            <w:r>
              <w:rPr/>
              <w:t xml:space="preserve"> The certificate of closure of the declaration of division is available.</w:t>
            </w:r>
          </w:p>
        </w:tc>
      </w:tr>
      <w:tr>
        <w:trPr/>
        <w:tc>
          <w:tcPr>
            <w:tcW w:w="7738" w:type="dxa"/>
            <w:tcBorders/>
            <w:vAlign w:val="center"/>
          </w:tcPr>
          <w:p>
            <w:pPr>
              <w:pStyle w:val="TableContents"/>
              <w:bidi w:val="0"/>
              <w:spacing w:before="0" w:after="283"/>
              <w:rPr/>
            </w:pPr>
            <w:r>
              <w:rPr>
                <w:rStyle w:val="Strong"/>
              </w:rPr>
              <w:t>0.5</w:t>
            </w:r>
            <w:r>
              <w:rPr/>
              <w:t xml:space="preserve"> Nach Auskunft des Verkäufers liegen die erforderlichen Baugenehmigungen des Landkreises Potsdam-Mittelmark vor; eine Baugenehmigung für Haus 4, in dem die hier verkaufte Wohnung liegt, wird in Kürze erwartet.</w:t>
            </w:r>
          </w:p>
        </w:tc>
        <w:tc>
          <w:tcPr>
            <w:tcW w:w="7796" w:type="dxa"/>
            <w:tcBorders/>
            <w:vAlign w:val="center"/>
          </w:tcPr>
          <w:p>
            <w:pPr>
              <w:pStyle w:val="TableContents"/>
              <w:bidi w:val="0"/>
              <w:spacing w:before="0" w:after="283"/>
              <w:rPr/>
            </w:pPr>
            <w:r>
              <w:rPr>
                <w:rStyle w:val="Strong"/>
              </w:rPr>
              <w:t>0.5</w:t>
            </w:r>
            <w:r>
              <w:rPr/>
              <w:t xml:space="preserve"> According to the information provided by the Seller, the necessary building permits of the district of Potsdam-Mittelmark are available; a building permit for house 4, in which the apartment sold here is expected shortly.</w:t>
            </w:r>
          </w:p>
        </w:tc>
      </w:tr>
      <w:tr>
        <w:trPr/>
        <w:tc>
          <w:tcPr>
            <w:tcW w:w="7738" w:type="dxa"/>
            <w:tcBorders/>
            <w:vAlign w:val="center"/>
          </w:tcPr>
          <w:p>
            <w:pPr>
              <w:pStyle w:val="TableContents"/>
              <w:bidi w:val="0"/>
              <w:spacing w:before="0" w:after="283"/>
              <w:rPr/>
            </w:pPr>
            <w:r>
              <w:rPr>
                <w:rStyle w:val="Strong"/>
              </w:rPr>
              <w:t>0.6</w:t>
            </w:r>
            <w:r>
              <w:rPr/>
              <w:t xml:space="preserve"> Der Verkäufer weist darauf hin, dass die Erschließung des Grundstücks teilweise noch nicht abgeschlossen ist.</w:t>
            </w:r>
          </w:p>
        </w:tc>
        <w:tc>
          <w:tcPr>
            <w:tcW w:w="7796" w:type="dxa"/>
            <w:tcBorders/>
            <w:vAlign w:val="center"/>
          </w:tcPr>
          <w:p>
            <w:pPr>
              <w:pStyle w:val="TableContents"/>
              <w:bidi w:val="0"/>
              <w:spacing w:before="0" w:after="283"/>
              <w:rPr/>
            </w:pPr>
            <w:r>
              <w:rPr>
                <w:rStyle w:val="Strong"/>
              </w:rPr>
              <w:t>0.6</w:t>
            </w:r>
            <w:r>
              <w:rPr/>
              <w:t xml:space="preserve"> The Seller points out that some of the development of the property has not yet been completed.</w:t>
            </w:r>
          </w:p>
        </w:tc>
      </w:tr>
      <w:tr>
        <w:trPr/>
        <w:tc>
          <w:tcPr>
            <w:tcW w:w="7738" w:type="dxa"/>
            <w:tcBorders/>
            <w:vAlign w:val="center"/>
          </w:tcPr>
          <w:p>
            <w:pPr>
              <w:pStyle w:val="TableContents"/>
              <w:bidi w:val="0"/>
              <w:spacing w:before="0" w:after="283"/>
              <w:rPr/>
            </w:pPr>
            <w:r>
              <w:rPr>
                <w:rStyle w:val="Strong"/>
              </w:rPr>
              <w:t>0.7</w:t>
            </w:r>
            <w:r>
              <w:rPr/>
              <w:t xml:space="preserve"> 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tc>
        <w:tc>
          <w:tcPr>
            <w:tcW w:w="7796" w:type="dxa"/>
            <w:tcBorders/>
            <w:vAlign w:val="center"/>
          </w:tcPr>
          <w:p>
            <w:pPr>
              <w:pStyle w:val="TableContents"/>
              <w:bidi w:val="0"/>
              <w:spacing w:before="0" w:after="283"/>
              <w:rPr/>
            </w:pPr>
            <w:r>
              <w:rPr>
                <w:rStyle w:val="Strong"/>
              </w:rPr>
              <w:t>0.7</w:t>
            </w:r>
            <w:r>
              <w:rPr/>
              <w:t xml:space="preserve"> The Seller has had internal project documents created for the construction project, in particular the geotechnical short report “BQ-KNW-4/2026” of TerraSond GmbH from 17.02.2026, the deadline line “Birkenpfuhl Q1, House 4, Stand 05.03.2026”, the plan list architecture B4-A-100 to B4-A-612, the specialist planner lists TGA-B4-ELT/HLS 03/2026, the fire protection memo BSK-4-2, the cost trend sheets of the project management as well as construction site and defect tracking reports of the site supervision. These documents are used exclusively for the internal control of the overall project. They will only be made available to the Buyer to the extent that this is necessary for the financing of unit 4.27, public proof, acceptance or later administration according to mandatory legal regulations or the Seller considers this to be appropriate for communication in the construction phase House 4.</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2" w:name="kaufgegenstand"/>
            <w:bookmarkEnd w:id="12"/>
            <w:r>
              <w:rPr/>
              <w:t>§ 1 Kaufgegenstand</w:t>
            </w:r>
          </w:p>
        </w:tc>
        <w:tc>
          <w:tcPr>
            <w:tcW w:w="7796"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738"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Potsdam für Kannenberg-Niederwall, Blatt 18 442, eingetragenen Wohnungseigentums:</w:t>
            </w:r>
          </w:p>
        </w:tc>
        <w:tc>
          <w:tcPr>
            <w:tcW w:w="7796"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District Court of Potsdam for Kannenberg-Niederwall, sheet 18 442:</w:t>
            </w:r>
          </w:p>
        </w:tc>
      </w:tr>
      <w:tr>
        <w:trPr/>
        <w:tc>
          <w:tcPr>
            <w:tcW w:w="7738" w:type="dxa"/>
            <w:tcBorders/>
            <w:vAlign w:val="center"/>
          </w:tcPr>
          <w:p>
            <w:pPr>
              <w:pStyle w:val="BlockQuotation"/>
              <w:pBdr>
                <w:left w:val="single" w:sz="6" w:space="1" w:color="AAAAAA"/>
              </w:pBdr>
              <w:bidi w:val="0"/>
              <w:spacing w:before="0" w:after="283"/>
              <w:ind w:hanging="0" w:start="567" w:end="567"/>
              <w:rPr/>
            </w:pPr>
            <w:r>
              <w:rPr/>
              <w:t>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tc>
        <w:tc>
          <w:tcPr>
            <w:tcW w:w="7796" w:type="dxa"/>
            <w:tcBorders/>
            <w:vAlign w:val="center"/>
          </w:tcPr>
          <w:p>
            <w:pPr>
              <w:pStyle w:val="BlockQuotation"/>
              <w:pBdr>
                <w:left w:val="single" w:sz="6" w:space="1" w:color="AAAAAA"/>
              </w:pBdr>
              <w:bidi w:val="0"/>
              <w:spacing w:before="0" w:after="283"/>
              <w:ind w:hanging="0" w:start="567" w:end="567"/>
              <w:rPr/>
            </w:pPr>
            <w:r>
              <w:rPr/>
              <w:t>Co-ownership share of 184/100 000 in the landmark Kannenberg-Niederwall, corridor 7, parcel 218/4, linked to the special ownership of the apartment in the 3rd district designated with the number 4.27 in the distribution plan Upper floor of the house 4 together with cellar compartment no. K-4.27 and special use right on the terrace T-4.27 and the underground parking space no. TG-127.</w:t>
            </w:r>
          </w:p>
        </w:tc>
      </w:tr>
      <w:tr>
        <w:trPr/>
        <w:tc>
          <w:tcPr>
            <w:tcW w:w="7738" w:type="dxa"/>
            <w:tcBorders/>
            <w:vAlign w:val="center"/>
          </w:tcPr>
          <w:p>
            <w:pPr>
              <w:pStyle w:val="TableContents"/>
              <w:bidi w:val="0"/>
              <w:spacing w:before="0" w:after="283"/>
              <w:rPr/>
            </w:pPr>
            <w:r>
              <w:rPr>
                <w:rStyle w:val="Strong"/>
              </w:rPr>
              <w:t>1.2</w:t>
            </w:r>
            <w:r>
              <w:rPr/>
              <w:t xml:space="preserve"> Die Sondereigentumseinheit und das dort näher bezeichnete Sondernutzungsrecht an dem Tiefgaragenstellplatz Nr. TG-127 nebst den unter § 5 dieses Vertrages beschriebenen Bauleistungen werden nachfolgend zusammen als „Kaufgegenstand” bezeichnet.</w:t>
            </w:r>
          </w:p>
        </w:tc>
        <w:tc>
          <w:tcPr>
            <w:tcW w:w="7796" w:type="dxa"/>
            <w:tcBorders/>
            <w:vAlign w:val="center"/>
          </w:tcPr>
          <w:p>
            <w:pPr>
              <w:pStyle w:val="TableContents"/>
              <w:bidi w:val="0"/>
              <w:spacing w:before="0" w:after="283"/>
              <w:rPr/>
            </w:pPr>
            <w:r>
              <w:rPr>
                <w:rStyle w:val="Strong"/>
              </w:rPr>
              <w:t>1.2</w:t>
            </w:r>
            <w:r>
              <w:rPr/>
              <w:t xml:space="preserve"> The special ownership unit and the special usage right at the underground parking space no. TG-127 and the construction services described under § 5 of this contract are referred to hereinafter together as the “purchase object”.</w:t>
            </w:r>
          </w:p>
        </w:tc>
      </w:tr>
      <w:tr>
        <w:trPr/>
        <w:tc>
          <w:tcPr>
            <w:tcW w:w="7738" w:type="dxa"/>
            <w:tcBorders/>
            <w:vAlign w:val="center"/>
          </w:tcPr>
          <w:p>
            <w:pPr>
              <w:pStyle w:val="TableContents"/>
              <w:bidi w:val="0"/>
              <w:spacing w:before="0" w:after="283"/>
              <w:rPr/>
            </w:pPr>
            <w:r>
              <w:rPr>
                <w:rStyle w:val="Strong"/>
              </w:rPr>
              <w:t>1.3</w:t>
            </w:r>
            <w:r>
              <w:rPr/>
              <w:t xml:space="preserve"> Der Notar hat das Grundbuch gemäß § 1.1 — ohne die Grundakten — elektronisch am heutigen Tage eingesehen.</w:t>
            </w:r>
          </w:p>
        </w:tc>
        <w:tc>
          <w:tcPr>
            <w:tcW w:w="7796" w:type="dxa"/>
            <w:tcBorders/>
            <w:vAlign w:val="center"/>
          </w:tcPr>
          <w:p>
            <w:pPr>
              <w:pStyle w:val="TableContents"/>
              <w:bidi w:val="0"/>
              <w:spacing w:before="0" w:after="283"/>
              <w:rPr/>
            </w:pPr>
            <w:r>
              <w:rPr>
                <w:rStyle w:val="Strong"/>
              </w:rPr>
              <w:t>1.3</w:t>
            </w:r>
            <w:r>
              <w:rPr/>
              <w:t xml:space="preserve"> The Notary has viewed the Land Register according to § 1.1 – without the basic files – electronically today.</w:t>
            </w:r>
          </w:p>
        </w:tc>
      </w:tr>
      <w:tr>
        <w:trPr/>
        <w:tc>
          <w:tcPr>
            <w:tcW w:w="7738" w:type="dxa"/>
            <w:tcBorders/>
            <w:vAlign w:val="center"/>
          </w:tcPr>
          <w:p>
            <w:pPr>
              <w:pStyle w:val="TableContents"/>
              <w:bidi w:val="0"/>
              <w:spacing w:before="0" w:after="283"/>
              <w:rPr/>
            </w:pPr>
            <w:r>
              <w:rPr/>
              <w:t>In Abteilung II sind eingetragen: beschränkte persönliche Dienstbarkeiten zugunsten der Stadtwerke Kannenberg GmbH, der ENBW Netze AG sowie der Gemeinde Kannenberg-Niederwall. Diese Lasten werden vom Käufer übernommen und sind im Kaufpreis nicht abgegolten.</w:t>
            </w:r>
          </w:p>
        </w:tc>
        <w:tc>
          <w:tcPr>
            <w:tcW w:w="7796" w:type="dxa"/>
            <w:tcBorders/>
            <w:vAlign w:val="center"/>
          </w:tcPr>
          <w:p>
            <w:pPr>
              <w:pStyle w:val="TableContents"/>
              <w:bidi w:val="0"/>
              <w:spacing w:before="0" w:after="283"/>
              <w:rPr/>
            </w:pPr>
            <w:r>
              <w:rPr/>
              <w:t>Section II includes: limited personal easements for the benefit of Stadtwerke Kannenberg GmbH, ENBW Netze AG and the municipality of Kannenberg-Niederwall. These charges are assumed by the Buyer and are not paid in the Purchase Price.</w:t>
            </w:r>
          </w:p>
        </w:tc>
      </w:tr>
      <w:tr>
        <w:trPr/>
        <w:tc>
          <w:tcPr>
            <w:tcW w:w="7738" w:type="dxa"/>
            <w:tcBorders/>
            <w:vAlign w:val="center"/>
          </w:tcPr>
          <w:p>
            <w:pPr>
              <w:pStyle w:val="TableContents"/>
              <w:bidi w:val="0"/>
              <w:spacing w:before="0" w:after="283"/>
              <w:rPr/>
            </w:pPr>
            <w:r>
              <w:rPr/>
              <w:t>In Abteilung III ist eine Gesamtgrundschuld in Höhe von 92 800 000,00 EUR zugunsten der Pommersche Hypotheken-Bank AG eingetragen.</w:t>
            </w:r>
          </w:p>
        </w:tc>
        <w:tc>
          <w:tcPr>
            <w:tcW w:w="7796" w:type="dxa"/>
            <w:tcBorders/>
            <w:vAlign w:val="center"/>
          </w:tcPr>
          <w:p>
            <w:pPr>
              <w:pStyle w:val="TableContents"/>
              <w:bidi w:val="0"/>
              <w:spacing w:before="0" w:after="283"/>
              <w:rPr/>
            </w:pPr>
            <w:r>
              <w:rPr/>
              <w:t>A total land charge of EUR 92 800 000.00 in favour of Pomeranian Hypotheken-Bank AG is registered in Division III.</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4" w:name="kaufpreis"/>
            <w:bookmarkEnd w:id="14"/>
            <w:r>
              <w:rPr/>
              <w:t>§ 2 Kaufpreis</w:t>
            </w:r>
          </w:p>
        </w:tc>
        <w:tc>
          <w:tcPr>
            <w:tcW w:w="7796"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738"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796"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738" w:type="dxa"/>
            <w:tcBorders/>
            <w:vAlign w:val="center"/>
          </w:tcPr>
          <w:p>
            <w:pPr>
              <w:pStyle w:val="BlockQuotation"/>
              <w:pBdr>
                <w:left w:val="single" w:sz="6" w:space="1" w:color="AAAAAA"/>
              </w:pBdr>
              <w:bidi w:val="0"/>
              <w:spacing w:before="0" w:after="283"/>
              <w:ind w:hanging="0" w:start="567" w:end="567"/>
              <w:rPr/>
            </w:pPr>
            <w:r>
              <w:rPr>
                <w:rStyle w:val="Strong"/>
              </w:rPr>
              <w:t>789.500,00 EUR</w:t>
            </w:r>
          </w:p>
        </w:tc>
        <w:tc>
          <w:tcPr>
            <w:tcW w:w="7796" w:type="dxa"/>
            <w:tcBorders/>
            <w:vAlign w:val="center"/>
          </w:tcPr>
          <w:p>
            <w:pPr>
              <w:pStyle w:val="BlockQuotation"/>
              <w:pBdr>
                <w:left w:val="single" w:sz="6" w:space="1" w:color="AAAAAA"/>
              </w:pBdr>
              <w:bidi w:val="0"/>
              <w:spacing w:before="0" w:after="283"/>
              <w:ind w:hanging="0" w:start="567" w:end="567"/>
              <w:rPr/>
            </w:pPr>
            <w:r>
              <w:rPr/>
              <w:t>789.500,00 EUR</w:t>
            </w:r>
          </w:p>
        </w:tc>
      </w:tr>
      <w:tr>
        <w:trPr/>
        <w:tc>
          <w:tcPr>
            <w:tcW w:w="7738" w:type="dxa"/>
            <w:tcBorders/>
            <w:vAlign w:val="center"/>
          </w:tcPr>
          <w:p>
            <w:pPr>
              <w:pStyle w:val="TableContents"/>
              <w:bidi w:val="0"/>
              <w:spacing w:before="0" w:after="283"/>
              <w:rPr/>
            </w:pPr>
            <w:r>
              <w:rPr/>
              <w:t>zzgl. eines Aufpreises für den Tiefgaragenstellplatz von 38 500,00 EUR. Der Gesamtkaufpreis beträgt damit 828 000,00 EUR.</w:t>
            </w:r>
          </w:p>
        </w:tc>
        <w:tc>
          <w:tcPr>
            <w:tcW w:w="7796" w:type="dxa"/>
            <w:tcBorders/>
            <w:vAlign w:val="center"/>
          </w:tcPr>
          <w:p>
            <w:pPr>
              <w:pStyle w:val="TableContents"/>
              <w:bidi w:val="0"/>
              <w:spacing w:before="0" w:after="283"/>
              <w:rPr/>
            </w:pPr>
            <w:r>
              <w:rPr/>
              <w:t>plus a surcharge for the underground parking space of 38 500,00 EUR. The total Purchase Price is thus EUR 828 000.00.</w:t>
            </w:r>
          </w:p>
        </w:tc>
      </w:tr>
      <w:tr>
        <w:trPr/>
        <w:tc>
          <w:tcPr>
            <w:tcW w:w="7738" w:type="dxa"/>
            <w:tcBorders/>
            <w:vAlign w:val="center"/>
          </w:tcPr>
          <w:p>
            <w:pPr>
              <w:pStyle w:val="TableContents"/>
              <w:bidi w:val="0"/>
              <w:spacing w:before="0" w:after="283"/>
              <w:rPr/>
            </w:pPr>
            <w:r>
              <w:rPr>
                <w:rStyle w:val="Strong"/>
              </w:rPr>
              <w:t>2.2</w:t>
            </w:r>
            <w:r>
              <w:rPr/>
              <w:t xml:space="preserve"> 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tc>
        <w:tc>
          <w:tcPr>
            <w:tcW w:w="7796" w:type="dxa"/>
            <w:tcBorders/>
            <w:vAlign w:val="center"/>
          </w:tcPr>
          <w:p>
            <w:pPr>
              <w:pStyle w:val="TableContents"/>
              <w:bidi w:val="0"/>
              <w:spacing w:before="0" w:after="283"/>
              <w:rPr/>
            </w:pPr>
            <w:r>
              <w:rPr>
                <w:rStyle w:val="Strong"/>
              </w:rPr>
              <w:t>2.2</w:t>
            </w:r>
            <w:r>
              <w:rPr/>
              <w:t xml:space="preserve"> The Purchase Price is a fixed Purchase Price for the apartment 4.27, the cellar compartment K-4.27, the terrace T-4.27 and the underground parking space TG-127. It covers the production of this unit in the equipment line “Birkenpfuhl Komfort B4” according to § 5 and installation description, as far as this contract does not provide for a separate cost allocation for special requests, development, house connections, media connections, charging infrastructure, technical readjustments in house 4 or subsequent public law requirements.</w:t>
            </w:r>
          </w:p>
        </w:tc>
      </w:tr>
      <w:tr>
        <w:trPr/>
        <w:tc>
          <w:tcPr>
            <w:tcW w:w="7738"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tc>
        <w:tc>
          <w:tcPr>
            <w:tcW w:w="7796"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all costs of development and the first connections to supply and disposal plants (cf. § 7) as well as costs caused by subsequent special requests of the Buyer.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6" w:name="kaufpreiszahlung-fälligkeit"/>
            <w:bookmarkEnd w:id="16"/>
            <w:r>
              <w:rPr/>
              <w:t>§ 3 Kaufpreiszahlung, Fälligkeit</w:t>
            </w:r>
          </w:p>
        </w:tc>
        <w:tc>
          <w:tcPr>
            <w:tcW w:w="7796" w:type="dxa"/>
            <w:tcBorders/>
            <w:vAlign w:val="center"/>
          </w:tcPr>
          <w:p>
            <w:pPr>
              <w:pStyle w:val="Heading1"/>
              <w:bidi w:val="0"/>
              <w:spacing w:before="240" w:after="283"/>
              <w:ind w:hanging="0" w:start="0" w:end="0"/>
              <w:rPr/>
            </w:pPr>
            <w:bookmarkStart w:id="17" w:name="purchase-price-payment-due-date"/>
            <w:bookmarkEnd w:id="17"/>
            <w:r>
              <w:rPr/>
              <w:t>§ 3 Purchase price payment, due date</w:t>
            </w:r>
          </w:p>
        </w:tc>
      </w:tr>
      <w:tr>
        <w:trPr/>
        <w:tc>
          <w:tcPr>
            <w:tcW w:w="7738" w:type="dxa"/>
            <w:tcBorders/>
            <w:vAlign w:val="center"/>
          </w:tcPr>
          <w:p>
            <w:pPr>
              <w:pStyle w:val="TableContents"/>
              <w:bidi w:val="0"/>
              <w:spacing w:before="0" w:after="283"/>
              <w:rPr/>
            </w:pPr>
            <w:r>
              <w:rPr>
                <w:rStyle w:val="Strong"/>
              </w:rPr>
              <w:t>3.1</w:t>
            </w:r>
            <w:r>
              <w:rPr/>
              <w:t xml:space="preserve"> Die Kaufpreiszahlungen sind frühestens fällig und zahlbar, wenn</w:t>
            </w:r>
          </w:p>
        </w:tc>
        <w:tc>
          <w:tcPr>
            <w:tcW w:w="7796" w:type="dxa"/>
            <w:tcBorders/>
            <w:vAlign w:val="center"/>
          </w:tcPr>
          <w:p>
            <w:pPr>
              <w:pStyle w:val="TableContents"/>
              <w:bidi w:val="0"/>
              <w:spacing w:before="0" w:after="283"/>
              <w:rPr/>
            </w:pPr>
            <w:r>
              <w:rPr>
                <w:rStyle w:val="Strong"/>
              </w:rPr>
              <w:t>3.1</w:t>
            </w:r>
            <w:r>
              <w:rPr/>
              <w:t xml:space="preserve"> The Purchase Price payments are due and payable at the earliest if</w:t>
            </w:r>
          </w:p>
        </w:tc>
      </w:tr>
      <w:tr>
        <w:trPr/>
        <w:tc>
          <w:tcPr>
            <w:tcW w:w="7738" w:type="dxa"/>
            <w:tcBorders/>
            <w:vAlign w:val="center"/>
          </w:tcPr>
          <w:p>
            <w:pPr>
              <w:pStyle w:val="TableContents"/>
              <w:bidi w:val="0"/>
              <w:spacing w:before="0" w:after="283"/>
              <w:rPr/>
            </w:pPr>
            <w:r>
              <w:rPr/>
              <w:t>3.1.1 der Notar den Parteien schriftlich mitgeteilt hat, dass</w:t>
            </w:r>
          </w:p>
        </w:tc>
        <w:tc>
          <w:tcPr>
            <w:tcW w:w="7796" w:type="dxa"/>
            <w:tcBorders/>
            <w:vAlign w:val="center"/>
          </w:tcPr>
          <w:p>
            <w:pPr>
              <w:pStyle w:val="TableContents"/>
              <w:bidi w:val="0"/>
              <w:spacing w:before="0" w:after="283"/>
              <w:rPr/>
            </w:pPr>
            <w:r>
              <w:rPr/>
              <w:t>3.1.1 the Notary has informed the parties in writing that</w:t>
            </w:r>
          </w:p>
        </w:tc>
      </w:tr>
      <w:tr>
        <w:trPr/>
        <w:tc>
          <w:tcPr>
            <w:tcW w:w="7738"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w:t>
            </w:r>
          </w:p>
        </w:tc>
        <w:tc>
          <w:tcPr>
            <w:tcW w:w="7796"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is legally valid, </w:t>
            </w:r>
          </w:p>
        </w:tc>
      </w:tr>
      <w:tr>
        <w:trPr/>
        <w:tc>
          <w:tcPr>
            <w:tcW w:w="7738"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Eintragung der Auflassungsvormerkung zugunsten des Käufers im Grundbuch eingetragen oder eintragungsbereit beantragt ist, </w:t>
            </w:r>
          </w:p>
        </w:tc>
        <w:tc>
          <w:tcPr>
            <w:tcW w:w="7796"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registration of the priority notice of conveyance for the benefit of the Buyer is entered in the Land Register or is requested ready for registration, </w:t>
            </w:r>
          </w:p>
        </w:tc>
      </w:tr>
      <w:tr>
        <w:trPr/>
        <w:tc>
          <w:tcPr>
            <w:tcW w:w="7738"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Lastenfreistellungserklärung der Pommersche Hypotheken-Bank AG für den Kaufgegenstand vorliegt oder die Vorlage zugesichert ist, </w:t>
            </w:r>
          </w:p>
        </w:tc>
        <w:tc>
          <w:tcPr>
            <w:tcW w:w="7796"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declaration of exemption of the Pomeranian Hypotheken-Bank AG for the Purchased Property is available or the presentation is assured, </w:t>
            </w:r>
          </w:p>
        </w:tc>
      </w:tr>
      <w:tr>
        <w:trPr/>
        <w:tc>
          <w:tcPr>
            <w:tcW w:w="7738" w:type="dxa"/>
            <w:tcBorders/>
            <w:vAlign w:val="center"/>
          </w:tcPr>
          <w:p>
            <w:pPr>
              <w:pStyle w:val="TableContents"/>
              <w:bidi w:val="0"/>
              <w:spacing w:before="0" w:after="283"/>
              <w:rPr/>
            </w:pPr>
            <w:r>
              <w:rPr/>
              <w:t>3.1.2 sowie die Baugenehmigung für Haus 4 vorliegt oder, wenn eine Baugenehmigung nicht oder nicht rechtzeitig erforderlich ist, mit dem Bau begonnen werden darf.</w:t>
            </w:r>
          </w:p>
        </w:tc>
        <w:tc>
          <w:tcPr>
            <w:tcW w:w="7796" w:type="dxa"/>
            <w:tcBorders/>
            <w:vAlign w:val="center"/>
          </w:tcPr>
          <w:p>
            <w:pPr>
              <w:pStyle w:val="TableContents"/>
              <w:bidi w:val="0"/>
              <w:spacing w:before="0" w:after="283"/>
              <w:rPr/>
            </w:pPr>
            <w:r>
              <w:rPr/>
              <w:t>3.1.2 as well as the building permit for house 4 is present or, if a building permit is not required or not required in time, the construction may begin.</w:t>
            </w:r>
          </w:p>
        </w:tc>
      </w:tr>
      <w:tr>
        <w:trPr/>
        <w:tc>
          <w:tcPr>
            <w:tcW w:w="7738" w:type="dxa"/>
            <w:tcBorders/>
            <w:vAlign w:val="center"/>
          </w:tcPr>
          <w:p>
            <w:pPr>
              <w:pStyle w:val="TableContents"/>
              <w:bidi w:val="0"/>
              <w:spacing w:before="0" w:after="283"/>
              <w:rPr/>
            </w:pPr>
            <w:r>
              <w:rPr>
                <w:rStyle w:val="Strong"/>
              </w:rPr>
              <w:t>3.2</w:t>
            </w:r>
            <w:r>
              <w:rPr/>
              <w:t xml:space="preserve"> Der Käufer hat den Kaufpreis nach folgendem Ratenplan zu zahlen, wobei der Verkäufer die Raten entsprechend dem tatsächlichen Bauablauf in sieben Teilbeträgen anfordern wird:</w:t>
            </w:r>
          </w:p>
        </w:tc>
        <w:tc>
          <w:tcPr>
            <w:tcW w:w="7796" w:type="dxa"/>
            <w:tcBorders/>
            <w:vAlign w:val="center"/>
          </w:tcPr>
          <w:p>
            <w:pPr>
              <w:pStyle w:val="TableContents"/>
              <w:bidi w:val="0"/>
              <w:spacing w:before="0" w:after="0"/>
              <w:rPr/>
            </w:pPr>
            <w:r>
              <w:rPr>
                <w:rStyle w:val="Strong"/>
              </w:rPr>
              <w:t>3.2</w:t>
            </w:r>
            <w:r>
              <w:rPr/>
              <w:t xml:space="preserve"> The Buyer has to pay the Purchase Price according to the following installment plan, whereby the Seller will request the installments according to the actual construction process in seven instalments:</w:t>
            </w:r>
          </w:p>
          <w:tbl>
            <w:tblPr>
              <w:tblW w:w="15534" w:type="dxa"/>
              <w:jc w:val="start"/>
              <w:tblInd w:w="0" w:type="dxa"/>
              <w:tblLayout w:type="fixed"/>
              <w:tblCellMar>
                <w:top w:w="28" w:type="dxa"/>
                <w:start w:w="28" w:type="dxa"/>
                <w:bottom w:w="28" w:type="dxa"/>
                <w:end w:w="28" w:type="dxa"/>
              </w:tblCellMar>
            </w:tblPr>
            <w:tblGrid>
              <w:gridCol w:w="705"/>
              <w:gridCol w:w="14102"/>
              <w:gridCol w:w="727"/>
            </w:tblGrid>
            <w:tr>
              <w:trPr>
                <w:tblHeader w:val="true"/>
              </w:trPr>
              <w:tc>
                <w:tcPr>
                  <w:tcW w:w="705" w:type="dxa"/>
                  <w:tcBorders/>
                  <w:vAlign w:val="center"/>
                </w:tcPr>
                <w:p>
                  <w:pPr>
                    <w:pStyle w:val="TableHeading"/>
                    <w:suppressLineNumbers/>
                    <w:bidi w:val="0"/>
                    <w:spacing w:before="0" w:after="283"/>
                    <w:jc w:val="center"/>
                    <w:rPr/>
                  </w:pPr>
                  <w:r>
                    <w:rPr/>
                    <w:t>Rate</w:t>
                  </w:r>
                </w:p>
              </w:tc>
              <w:tc>
                <w:tcPr>
                  <w:tcW w:w="14102" w:type="dxa"/>
                  <w:tcBorders/>
                  <w:vAlign w:val="center"/>
                </w:tcPr>
                <w:p>
                  <w:pPr>
                    <w:pStyle w:val="TableHeading"/>
                    <w:suppressLineNumbers/>
                    <w:bidi w:val="0"/>
                    <w:spacing w:before="0" w:after="283"/>
                    <w:jc w:val="center"/>
                    <w:rPr/>
                  </w:pPr>
                  <w:r>
                    <w:rPr/>
                    <w:t>Stichmonat</w:t>
                  </w:r>
                </w:p>
              </w:tc>
              <w:tc>
                <w:tcPr>
                  <w:tcW w:w="727" w:type="dxa"/>
                  <w:tcBorders/>
                  <w:vAlign w:val="center"/>
                </w:tcPr>
                <w:p>
                  <w:pPr>
                    <w:pStyle w:val="TableHeading"/>
                    <w:suppressLineNumbers/>
                    <w:bidi w:val="0"/>
                    <w:spacing w:before="0" w:after="283"/>
                    <w:jc w:val="center"/>
                    <w:rPr/>
                  </w:pPr>
                  <w:r>
                    <w:rPr/>
                    <w:t>Anteil</w:t>
                  </w:r>
                </w:p>
              </w:tc>
            </w:tr>
            <w:tr>
              <w:trPr/>
              <w:tc>
                <w:tcPr>
                  <w:tcW w:w="705" w:type="dxa"/>
                  <w:tcBorders/>
                  <w:vAlign w:val="center"/>
                </w:tcPr>
                <w:p>
                  <w:pPr>
                    <w:pStyle w:val="TableContents"/>
                    <w:bidi w:val="0"/>
                    <w:spacing w:before="0" w:after="283"/>
                    <w:rPr/>
                  </w:pPr>
                  <w:r>
                    <w:rPr/>
                    <w:t>1. Rate</w:t>
                  </w:r>
                </w:p>
              </w:tc>
              <w:tc>
                <w:tcPr>
                  <w:tcW w:w="14102" w:type="dxa"/>
                  <w:tcBorders/>
                  <w:vAlign w:val="center"/>
                </w:tcPr>
                <w:p>
                  <w:pPr>
                    <w:pStyle w:val="TableContents"/>
                    <w:bidi w:val="0"/>
                    <w:spacing w:before="0" w:after="283"/>
                    <w:rPr/>
                  </w:pPr>
                  <w:r>
                    <w:rPr/>
                    <w:t>nach Beginn der Erdarbeiten</w:t>
                  </w:r>
                </w:p>
              </w:tc>
              <w:tc>
                <w:tcPr>
                  <w:tcW w:w="727" w:type="dxa"/>
                  <w:tcBorders/>
                  <w:vAlign w:val="center"/>
                </w:tcPr>
                <w:p>
                  <w:pPr>
                    <w:pStyle w:val="TableContents"/>
                    <w:bidi w:val="0"/>
                    <w:spacing w:before="0" w:after="283"/>
                    <w:rPr/>
                  </w:pPr>
                  <w:r>
                    <w:rPr/>
                    <w:t>30,0 %</w:t>
                  </w:r>
                </w:p>
              </w:tc>
            </w:tr>
            <w:tr>
              <w:trPr/>
              <w:tc>
                <w:tcPr>
                  <w:tcW w:w="705" w:type="dxa"/>
                  <w:tcBorders/>
                  <w:vAlign w:val="center"/>
                </w:tcPr>
                <w:p>
                  <w:pPr>
                    <w:pStyle w:val="TableContents"/>
                    <w:bidi w:val="0"/>
                    <w:spacing w:before="0" w:after="283"/>
                    <w:rPr/>
                  </w:pPr>
                  <w:r>
                    <w:rPr/>
                    <w:t>2. Rate</w:t>
                  </w:r>
                </w:p>
              </w:tc>
              <w:tc>
                <w:tcPr>
                  <w:tcW w:w="14102" w:type="dxa"/>
                  <w:tcBorders/>
                  <w:vAlign w:val="center"/>
                </w:tcPr>
                <w:p>
                  <w:pPr>
                    <w:pStyle w:val="TableContents"/>
                    <w:bidi w:val="0"/>
                    <w:spacing w:before="0" w:after="283"/>
                    <w:rPr/>
                  </w:pPr>
                  <w:r>
                    <w:rPr/>
                    <w:t>nach Rohbaufertigstellung einschließlich Zimmererarbeiten</w:t>
                  </w:r>
                </w:p>
              </w:tc>
              <w:tc>
                <w:tcPr>
                  <w:tcW w:w="727" w:type="dxa"/>
                  <w:tcBorders/>
                  <w:vAlign w:val="center"/>
                </w:tcPr>
                <w:p>
                  <w:pPr>
                    <w:pStyle w:val="TableContents"/>
                    <w:bidi w:val="0"/>
                    <w:spacing w:before="0" w:after="283"/>
                    <w:rPr/>
                  </w:pPr>
                  <w:r>
                    <w:rPr/>
                    <w:t>28,0 %</w:t>
                  </w:r>
                </w:p>
              </w:tc>
            </w:tr>
            <w:tr>
              <w:trPr/>
              <w:tc>
                <w:tcPr>
                  <w:tcW w:w="705" w:type="dxa"/>
                  <w:tcBorders/>
                  <w:vAlign w:val="center"/>
                </w:tcPr>
                <w:p>
                  <w:pPr>
                    <w:pStyle w:val="TableContents"/>
                    <w:bidi w:val="0"/>
                    <w:spacing w:before="0" w:after="283"/>
                    <w:rPr/>
                  </w:pPr>
                  <w:r>
                    <w:rPr/>
                    <w:t>3. Rate</w:t>
                  </w:r>
                </w:p>
              </w:tc>
              <w:tc>
                <w:tcPr>
                  <w:tcW w:w="14102" w:type="dxa"/>
                  <w:tcBorders/>
                  <w:vAlign w:val="center"/>
                </w:tcPr>
                <w:p>
                  <w:pPr>
                    <w:pStyle w:val="TableContents"/>
                    <w:bidi w:val="0"/>
                    <w:spacing w:before="0" w:after="283"/>
                    <w:rPr/>
                  </w:pPr>
                  <w:r>
                    <w:rPr/>
                    <w:t>nach Herstellung der Dachflächen und Dachrinnen, Ausführung der Rohinstallation der Heizungs-, Sanitär- und Elektroanlagen sowie Fenstereinbau einschließlich Verglasung</w:t>
                  </w:r>
                </w:p>
              </w:tc>
              <w:tc>
                <w:tcPr>
                  <w:tcW w:w="727" w:type="dxa"/>
                  <w:tcBorders/>
                  <w:vAlign w:val="center"/>
                </w:tcPr>
                <w:p>
                  <w:pPr>
                    <w:pStyle w:val="TableContents"/>
                    <w:bidi w:val="0"/>
                    <w:spacing w:before="0" w:after="283"/>
                    <w:rPr/>
                  </w:pPr>
                  <w:r>
                    <w:rPr/>
                    <w:t>18,9 %</w:t>
                  </w:r>
                </w:p>
              </w:tc>
            </w:tr>
            <w:tr>
              <w:trPr/>
              <w:tc>
                <w:tcPr>
                  <w:tcW w:w="705" w:type="dxa"/>
                  <w:tcBorders/>
                  <w:vAlign w:val="center"/>
                </w:tcPr>
                <w:p>
                  <w:pPr>
                    <w:pStyle w:val="TableContents"/>
                    <w:bidi w:val="0"/>
                    <w:spacing w:before="0" w:after="283"/>
                    <w:rPr/>
                  </w:pPr>
                  <w:r>
                    <w:rPr/>
                    <w:t>4. Rate</w:t>
                  </w:r>
                </w:p>
              </w:tc>
              <w:tc>
                <w:tcPr>
                  <w:tcW w:w="14102" w:type="dxa"/>
                  <w:tcBorders/>
                  <w:vAlign w:val="center"/>
                </w:tcPr>
                <w:p>
                  <w:pPr>
                    <w:pStyle w:val="TableContents"/>
                    <w:bidi w:val="0"/>
                    <w:spacing w:before="0" w:after="283"/>
                    <w:rPr/>
                  </w:pPr>
                  <w:r>
                    <w:rPr/>
                    <w:t>nach Innenputz, Estrich und Fliesenarbeiten im Sanitärbereich</w:t>
                  </w:r>
                </w:p>
              </w:tc>
              <w:tc>
                <w:tcPr>
                  <w:tcW w:w="727" w:type="dxa"/>
                  <w:tcBorders/>
                  <w:vAlign w:val="center"/>
                </w:tcPr>
                <w:p>
                  <w:pPr>
                    <w:pStyle w:val="TableContents"/>
                    <w:bidi w:val="0"/>
                    <w:spacing w:before="0" w:after="283"/>
                    <w:rPr/>
                  </w:pPr>
                  <w:r>
                    <w:rPr/>
                    <w:t>9,1 %</w:t>
                  </w:r>
                </w:p>
              </w:tc>
            </w:tr>
            <w:tr>
              <w:trPr/>
              <w:tc>
                <w:tcPr>
                  <w:tcW w:w="705" w:type="dxa"/>
                  <w:tcBorders/>
                  <w:vAlign w:val="center"/>
                </w:tcPr>
                <w:p>
                  <w:pPr>
                    <w:pStyle w:val="TableContents"/>
                    <w:bidi w:val="0"/>
                    <w:spacing w:before="0" w:after="283"/>
                    <w:rPr/>
                  </w:pPr>
                  <w:r>
                    <w:rPr/>
                    <w:t>5. Rate</w:t>
                  </w:r>
                </w:p>
              </w:tc>
              <w:tc>
                <w:tcPr>
                  <w:tcW w:w="14102" w:type="dxa"/>
                  <w:tcBorders/>
                  <w:vAlign w:val="center"/>
                </w:tcPr>
                <w:p>
                  <w:pPr>
                    <w:pStyle w:val="TableContents"/>
                    <w:bidi w:val="0"/>
                    <w:spacing w:before="0" w:after="283"/>
                    <w:rPr/>
                  </w:pPr>
                  <w:r>
                    <w:rPr/>
                    <w:t>nach Bezugsfertigkeit Zug um Zug gegen Besitzübergabe</w:t>
                  </w:r>
                </w:p>
              </w:tc>
              <w:tc>
                <w:tcPr>
                  <w:tcW w:w="727" w:type="dxa"/>
                  <w:tcBorders/>
                  <w:vAlign w:val="center"/>
                </w:tcPr>
                <w:p>
                  <w:pPr>
                    <w:pStyle w:val="TableContents"/>
                    <w:bidi w:val="0"/>
                    <w:spacing w:before="0" w:after="283"/>
                    <w:rPr/>
                  </w:pPr>
                  <w:r>
                    <w:rPr/>
                    <w:t>8,4 %</w:t>
                  </w:r>
                </w:p>
              </w:tc>
            </w:tr>
            <w:tr>
              <w:trPr/>
              <w:tc>
                <w:tcPr>
                  <w:tcW w:w="705" w:type="dxa"/>
                  <w:tcBorders/>
                  <w:vAlign w:val="center"/>
                </w:tcPr>
                <w:p>
                  <w:pPr>
                    <w:pStyle w:val="TableContents"/>
                    <w:bidi w:val="0"/>
                    <w:spacing w:before="0" w:after="283"/>
                    <w:rPr/>
                  </w:pPr>
                  <w:r>
                    <w:rPr/>
                    <w:t>6. Rate</w:t>
                  </w:r>
                </w:p>
              </w:tc>
              <w:tc>
                <w:tcPr>
                  <w:tcW w:w="14102" w:type="dxa"/>
                  <w:tcBorders/>
                  <w:vAlign w:val="center"/>
                </w:tcPr>
                <w:p>
                  <w:pPr>
                    <w:pStyle w:val="TableContents"/>
                    <w:bidi w:val="0"/>
                    <w:spacing w:before="0" w:after="283"/>
                    <w:rPr/>
                  </w:pPr>
                  <w:r>
                    <w:rPr/>
                    <w:t>nach Fassadenarbeiten</w:t>
                  </w:r>
                </w:p>
              </w:tc>
              <w:tc>
                <w:tcPr>
                  <w:tcW w:w="727" w:type="dxa"/>
                  <w:tcBorders/>
                  <w:vAlign w:val="center"/>
                </w:tcPr>
                <w:p>
                  <w:pPr>
                    <w:pStyle w:val="TableContents"/>
                    <w:bidi w:val="0"/>
                    <w:spacing w:before="0" w:after="283"/>
                    <w:rPr/>
                  </w:pPr>
                  <w:r>
                    <w:rPr/>
                    <w:t>2,1 %</w:t>
                  </w:r>
                </w:p>
              </w:tc>
            </w:tr>
            <w:tr>
              <w:trPr/>
              <w:tc>
                <w:tcPr>
                  <w:tcW w:w="705" w:type="dxa"/>
                  <w:tcBorders/>
                  <w:vAlign w:val="center"/>
                </w:tcPr>
                <w:p>
                  <w:pPr>
                    <w:pStyle w:val="TableContents"/>
                    <w:bidi w:val="0"/>
                    <w:spacing w:before="0" w:after="283"/>
                    <w:rPr/>
                  </w:pPr>
                  <w:r>
                    <w:rPr/>
                    <w:t>7. Rate</w:t>
                  </w:r>
                </w:p>
              </w:tc>
              <w:tc>
                <w:tcPr>
                  <w:tcW w:w="14102" w:type="dxa"/>
                  <w:tcBorders/>
                  <w:vAlign w:val="center"/>
                </w:tcPr>
                <w:p>
                  <w:pPr>
                    <w:pStyle w:val="TableContents"/>
                    <w:bidi w:val="0"/>
                    <w:spacing w:before="0" w:after="283"/>
                    <w:rPr/>
                  </w:pPr>
                  <w:r>
                    <w:rPr/>
                    <w:t>nach vollständiger Fertigstellung</w:t>
                  </w:r>
                </w:p>
              </w:tc>
              <w:tc>
                <w:tcPr>
                  <w:tcW w:w="727" w:type="dxa"/>
                  <w:tcBorders/>
                  <w:vAlign w:val="center"/>
                </w:tcPr>
                <w:p>
                  <w:pPr>
                    <w:pStyle w:val="TableContents"/>
                    <w:bidi w:val="0"/>
                    <w:spacing w:before="0" w:after="283"/>
                    <w:rPr/>
                  </w:pPr>
                  <w:r>
                    <w:rPr/>
                    <w:t>3,5 %</w:t>
                  </w:r>
                </w:p>
              </w:tc>
            </w:tr>
          </w:tbl>
          <w:p>
            <w:pPr>
              <w:pStyle w:val="TableContents"/>
              <w:bidi w:val="0"/>
              <w:spacing w:before="0" w:after="283"/>
              <w:rPr/>
            </w:pPr>
            <w:r>
              <w:rPr/>
            </w:r>
          </w:p>
        </w:tc>
      </w:tr>
      <w:tr>
        <w:trPr/>
        <w:tc>
          <w:tcPr>
            <w:tcW w:w="7738" w:type="dxa"/>
            <w:tcBorders/>
            <w:vAlign w:val="center"/>
          </w:tcPr>
          <w:tbl>
            <w:tblPr>
              <w:tblW w:w="15142" w:type="dxa"/>
              <w:jc w:val="start"/>
              <w:tblInd w:w="0" w:type="dxa"/>
              <w:tblLayout w:type="fixed"/>
              <w:tblCellMar>
                <w:top w:w="28" w:type="dxa"/>
                <w:start w:w="28" w:type="dxa"/>
                <w:bottom w:w="28" w:type="dxa"/>
                <w:end w:w="28" w:type="dxa"/>
              </w:tblCellMar>
            </w:tblPr>
            <w:tblGrid>
              <w:gridCol w:w="715"/>
              <w:gridCol w:w="13700"/>
              <w:gridCol w:w="727"/>
            </w:tblGrid>
            <w:tr>
              <w:trPr/>
              <w:tc>
                <w:tcPr>
                  <w:tcW w:w="715" w:type="dxa"/>
                  <w:tcBorders/>
                  <w:vAlign w:val="center"/>
                </w:tcPr>
                <w:p>
                  <w:pPr>
                    <w:pStyle w:val="TableHeading"/>
                    <w:suppressLineNumbers/>
                    <w:bidi w:val="0"/>
                    <w:spacing w:before="0" w:after="283"/>
                    <w:jc w:val="center"/>
                    <w:rPr/>
                  </w:pPr>
                  <w:r>
                    <w:rPr/>
                    <w:t>Rate</w:t>
                  </w:r>
                </w:p>
              </w:tc>
              <w:tc>
                <w:tcPr>
                  <w:tcW w:w="13700" w:type="dxa"/>
                  <w:tcBorders/>
                  <w:vAlign w:val="center"/>
                </w:tcPr>
                <w:p>
                  <w:pPr>
                    <w:pStyle w:val="TableHeading"/>
                    <w:suppressLineNumbers/>
                    <w:bidi w:val="0"/>
                    <w:spacing w:before="0" w:after="283"/>
                    <w:jc w:val="center"/>
                    <w:rPr/>
                  </w:pPr>
                  <w:r>
                    <w:rPr/>
                    <w:t>Stichmonat</w:t>
                  </w:r>
                </w:p>
              </w:tc>
              <w:tc>
                <w:tcPr>
                  <w:tcW w:w="727" w:type="dxa"/>
                  <w:tcBorders/>
                  <w:vAlign w:val="center"/>
                </w:tcPr>
                <w:p>
                  <w:pPr>
                    <w:pStyle w:val="TableHeading"/>
                    <w:suppressLineNumbers/>
                    <w:bidi w:val="0"/>
                    <w:spacing w:before="0" w:after="283"/>
                    <w:jc w:val="center"/>
                    <w:rPr/>
                  </w:pPr>
                  <w:r>
                    <w:rPr/>
                    <w:t>Anteil</w:t>
                  </w:r>
                </w:p>
              </w:tc>
            </w:tr>
            <w:tr>
              <w:trPr/>
              <w:tc>
                <w:tcPr>
                  <w:tcW w:w="715" w:type="dxa"/>
                  <w:tcBorders/>
                  <w:vAlign w:val="center"/>
                </w:tcPr>
                <w:p>
                  <w:pPr>
                    <w:pStyle w:val="TableContents"/>
                    <w:bidi w:val="0"/>
                    <w:spacing w:before="0" w:after="283"/>
                    <w:rPr/>
                  </w:pPr>
                  <w:r>
                    <w:rPr/>
                    <w:t>1. Rate</w:t>
                  </w:r>
                </w:p>
              </w:tc>
              <w:tc>
                <w:tcPr>
                  <w:tcW w:w="13700" w:type="dxa"/>
                  <w:tcBorders/>
                  <w:vAlign w:val="center"/>
                </w:tcPr>
                <w:p>
                  <w:pPr>
                    <w:pStyle w:val="TableContents"/>
                    <w:bidi w:val="0"/>
                    <w:spacing w:before="0" w:after="283"/>
                    <w:rPr/>
                  </w:pPr>
                  <w:r>
                    <w:rPr/>
                    <w:t>nach Beginn der Erdarbeiten</w:t>
                  </w:r>
                </w:p>
              </w:tc>
              <w:tc>
                <w:tcPr>
                  <w:tcW w:w="727" w:type="dxa"/>
                  <w:tcBorders/>
                  <w:vAlign w:val="center"/>
                </w:tcPr>
                <w:p>
                  <w:pPr>
                    <w:pStyle w:val="TableContents"/>
                    <w:bidi w:val="0"/>
                    <w:spacing w:before="0" w:after="283"/>
                    <w:rPr/>
                  </w:pPr>
                  <w:r>
                    <w:rPr/>
                    <w:t>30,0 %</w:t>
                  </w:r>
                </w:p>
              </w:tc>
            </w:tr>
            <w:tr>
              <w:trPr/>
              <w:tc>
                <w:tcPr>
                  <w:tcW w:w="715" w:type="dxa"/>
                  <w:tcBorders/>
                  <w:vAlign w:val="center"/>
                </w:tcPr>
                <w:p>
                  <w:pPr>
                    <w:pStyle w:val="TableContents"/>
                    <w:bidi w:val="0"/>
                    <w:spacing w:before="0" w:after="283"/>
                    <w:rPr/>
                  </w:pPr>
                  <w:r>
                    <w:rPr/>
                    <w:t>2. Rate</w:t>
                  </w:r>
                </w:p>
              </w:tc>
              <w:tc>
                <w:tcPr>
                  <w:tcW w:w="13700" w:type="dxa"/>
                  <w:tcBorders/>
                  <w:vAlign w:val="center"/>
                </w:tcPr>
                <w:p>
                  <w:pPr>
                    <w:pStyle w:val="TableContents"/>
                    <w:bidi w:val="0"/>
                    <w:spacing w:before="0" w:after="283"/>
                    <w:rPr/>
                  </w:pPr>
                  <w:r>
                    <w:rPr/>
                    <w:t>After shell construction, including carpentry</w:t>
                  </w:r>
                </w:p>
              </w:tc>
              <w:tc>
                <w:tcPr>
                  <w:tcW w:w="727" w:type="dxa"/>
                  <w:tcBorders/>
                  <w:vAlign w:val="center"/>
                </w:tcPr>
                <w:p>
                  <w:pPr>
                    <w:pStyle w:val="TableContents"/>
                    <w:bidi w:val="0"/>
                    <w:spacing w:before="0" w:after="283"/>
                    <w:rPr/>
                  </w:pPr>
                  <w:r>
                    <w:rPr/>
                    <w:t>28,0 %</w:t>
                  </w:r>
                </w:p>
              </w:tc>
            </w:tr>
            <w:tr>
              <w:trPr/>
              <w:tc>
                <w:tcPr>
                  <w:tcW w:w="715" w:type="dxa"/>
                  <w:tcBorders/>
                  <w:vAlign w:val="center"/>
                </w:tcPr>
                <w:p>
                  <w:pPr>
                    <w:pStyle w:val="TableContents"/>
                    <w:bidi w:val="0"/>
                    <w:spacing w:before="0" w:after="283"/>
                    <w:rPr/>
                  </w:pPr>
                  <w:r>
                    <w:rPr/>
                    <w:t>3. Rate</w:t>
                  </w:r>
                </w:p>
              </w:tc>
              <w:tc>
                <w:tcPr>
                  <w:tcW w:w="13700" w:type="dxa"/>
                  <w:tcBorders/>
                  <w:vAlign w:val="center"/>
                </w:tcPr>
                <w:p>
                  <w:pPr>
                    <w:pStyle w:val="TableContents"/>
                    <w:bidi w:val="0"/>
                    <w:spacing w:before="0" w:after="283"/>
                    <w:rPr/>
                  </w:pPr>
                  <w:r>
                    <w:rPr/>
                    <w:t>After the roof surfaces and gutters have been produced, the heating, sanitary and electrical equipment has been roughly installed and windows, including glazing</w:t>
                  </w:r>
                </w:p>
              </w:tc>
              <w:tc>
                <w:tcPr>
                  <w:tcW w:w="727" w:type="dxa"/>
                  <w:tcBorders/>
                  <w:vAlign w:val="center"/>
                </w:tcPr>
                <w:p>
                  <w:pPr>
                    <w:pStyle w:val="TableContents"/>
                    <w:bidi w:val="0"/>
                    <w:spacing w:before="0" w:after="283"/>
                    <w:rPr/>
                  </w:pPr>
                  <w:r>
                    <w:rPr/>
                    <w:t>18,9 %</w:t>
                  </w:r>
                </w:p>
              </w:tc>
            </w:tr>
            <w:tr>
              <w:trPr/>
              <w:tc>
                <w:tcPr>
                  <w:tcW w:w="715" w:type="dxa"/>
                  <w:tcBorders/>
                  <w:vAlign w:val="center"/>
                </w:tcPr>
                <w:p>
                  <w:pPr>
                    <w:pStyle w:val="TableContents"/>
                    <w:bidi w:val="0"/>
                    <w:spacing w:before="0" w:after="283"/>
                    <w:rPr/>
                  </w:pPr>
                  <w:r>
                    <w:rPr/>
                    <w:t>4. Rate</w:t>
                  </w:r>
                </w:p>
              </w:tc>
              <w:tc>
                <w:tcPr>
                  <w:tcW w:w="13700" w:type="dxa"/>
                  <w:tcBorders/>
                  <w:vAlign w:val="center"/>
                </w:tcPr>
                <w:p>
                  <w:pPr>
                    <w:pStyle w:val="TableContents"/>
                    <w:bidi w:val="0"/>
                    <w:spacing w:before="0" w:after="283"/>
                    <w:rPr/>
                  </w:pPr>
                  <w:r>
                    <w:rPr/>
                    <w:t>After plastering, screed and sanitary tile work</w:t>
                  </w:r>
                </w:p>
              </w:tc>
              <w:tc>
                <w:tcPr>
                  <w:tcW w:w="727" w:type="dxa"/>
                  <w:tcBorders/>
                  <w:vAlign w:val="center"/>
                </w:tcPr>
                <w:p>
                  <w:pPr>
                    <w:pStyle w:val="TableContents"/>
                    <w:bidi w:val="0"/>
                    <w:spacing w:before="0" w:after="283"/>
                    <w:rPr/>
                  </w:pPr>
                  <w:r>
                    <w:rPr/>
                    <w:t>9,1 %</w:t>
                  </w:r>
                </w:p>
              </w:tc>
            </w:tr>
            <w:tr>
              <w:trPr/>
              <w:tc>
                <w:tcPr>
                  <w:tcW w:w="715" w:type="dxa"/>
                  <w:tcBorders/>
                  <w:vAlign w:val="center"/>
                </w:tcPr>
                <w:p>
                  <w:pPr>
                    <w:pStyle w:val="TableContents"/>
                    <w:bidi w:val="0"/>
                    <w:spacing w:before="0" w:after="283"/>
                    <w:rPr/>
                  </w:pPr>
                  <w:r>
                    <w:rPr/>
                    <w:t>5. Rate</w:t>
                  </w:r>
                </w:p>
              </w:tc>
              <w:tc>
                <w:tcPr>
                  <w:tcW w:w="13700" w:type="dxa"/>
                  <w:tcBorders/>
                  <w:vAlign w:val="center"/>
                </w:tcPr>
                <w:p>
                  <w:pPr>
                    <w:pStyle w:val="TableContents"/>
                    <w:bidi w:val="0"/>
                    <w:spacing w:before="0" w:after="283"/>
                    <w:rPr/>
                  </w:pPr>
                  <w:r>
                    <w:rPr/>
                    <w:t>Readiness to reference Train to train against transfer of ownership</w:t>
                  </w:r>
                </w:p>
              </w:tc>
              <w:tc>
                <w:tcPr>
                  <w:tcW w:w="727" w:type="dxa"/>
                  <w:tcBorders/>
                  <w:vAlign w:val="center"/>
                </w:tcPr>
                <w:p>
                  <w:pPr>
                    <w:pStyle w:val="TableContents"/>
                    <w:bidi w:val="0"/>
                    <w:spacing w:before="0" w:after="283"/>
                    <w:rPr/>
                  </w:pPr>
                  <w:r>
                    <w:rPr/>
                    <w:t>8,4 %</w:t>
                  </w:r>
                </w:p>
              </w:tc>
            </w:tr>
            <w:tr>
              <w:trPr/>
              <w:tc>
                <w:tcPr>
                  <w:tcW w:w="715" w:type="dxa"/>
                  <w:tcBorders/>
                  <w:vAlign w:val="center"/>
                </w:tcPr>
                <w:p>
                  <w:pPr>
                    <w:pStyle w:val="TableContents"/>
                    <w:bidi w:val="0"/>
                    <w:spacing w:before="0" w:after="283"/>
                    <w:rPr/>
                  </w:pPr>
                  <w:r>
                    <w:rPr/>
                    <w:t>6. Rate</w:t>
                  </w:r>
                </w:p>
              </w:tc>
              <w:tc>
                <w:tcPr>
                  <w:tcW w:w="13700" w:type="dxa"/>
                  <w:tcBorders/>
                  <w:vAlign w:val="center"/>
                </w:tcPr>
                <w:p>
                  <w:pPr>
                    <w:pStyle w:val="TableContents"/>
                    <w:bidi w:val="0"/>
                    <w:spacing w:before="0" w:after="283"/>
                    <w:rPr/>
                  </w:pPr>
                  <w:r>
                    <w:rPr/>
                    <w:t>nach Fassadenarbeiten</w:t>
                  </w:r>
                </w:p>
              </w:tc>
              <w:tc>
                <w:tcPr>
                  <w:tcW w:w="727" w:type="dxa"/>
                  <w:tcBorders/>
                  <w:vAlign w:val="center"/>
                </w:tcPr>
                <w:p>
                  <w:pPr>
                    <w:pStyle w:val="TableContents"/>
                    <w:bidi w:val="0"/>
                    <w:spacing w:before="0" w:after="283"/>
                    <w:rPr/>
                  </w:pPr>
                  <w:r>
                    <w:rPr/>
                    <w:t>2,1 %</w:t>
                  </w:r>
                </w:p>
              </w:tc>
            </w:tr>
            <w:tr>
              <w:trPr/>
              <w:tc>
                <w:tcPr>
                  <w:tcW w:w="715" w:type="dxa"/>
                  <w:tcBorders/>
                  <w:vAlign w:val="center"/>
                </w:tcPr>
                <w:p>
                  <w:pPr>
                    <w:pStyle w:val="TableContents"/>
                    <w:bidi w:val="0"/>
                    <w:spacing w:before="0" w:after="283"/>
                    <w:rPr/>
                  </w:pPr>
                  <w:r>
                    <w:rPr/>
                    <w:t>7. Rate</w:t>
                  </w:r>
                </w:p>
              </w:tc>
              <w:tc>
                <w:tcPr>
                  <w:tcW w:w="13700" w:type="dxa"/>
                  <w:tcBorders/>
                  <w:vAlign w:val="center"/>
                </w:tcPr>
                <w:p>
                  <w:pPr>
                    <w:pStyle w:val="TableContents"/>
                    <w:bidi w:val="0"/>
                    <w:spacing w:before="0" w:after="283"/>
                    <w:rPr/>
                  </w:pPr>
                  <w:r>
                    <w:rPr/>
                    <w:t>After complete completion</w:t>
                  </w:r>
                </w:p>
              </w:tc>
              <w:tc>
                <w:tcPr>
                  <w:tcW w:w="727" w:type="dxa"/>
                  <w:tcBorders/>
                  <w:vAlign w:val="center"/>
                </w:tcPr>
                <w:p>
                  <w:pPr>
                    <w:pStyle w:val="TableContents"/>
                    <w:bidi w:val="0"/>
                    <w:spacing w:before="0" w:after="283"/>
                    <w:rPr/>
                  </w:pPr>
                  <w:r>
                    <w:rPr/>
                    <w:t>3,5 %</w:t>
                  </w:r>
                </w:p>
              </w:tc>
            </w:tr>
          </w:tbl>
          <w:p>
            <w:pPr>
              <w:pStyle w:val="TableContents"/>
              <w:bidi w:val="0"/>
              <w:spacing w:before="0" w:after="283"/>
              <w:rPr/>
            </w:pPr>
            <w:r>
              <w:rPr/>
            </w:r>
          </w:p>
        </w:tc>
        <w:tc>
          <w:tcPr>
            <w:tcW w:w="7796" w:type="dxa"/>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TableContents"/>
              <w:bidi w:val="0"/>
              <w:spacing w:before="0" w:after="283"/>
              <w:rPr/>
            </w:pPr>
            <w:r>
              <w:rPr/>
              <w:t>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tc>
        <w:tc>
          <w:tcPr>
            <w:tcW w:w="7796" w:type="dxa"/>
            <w:tcBorders/>
            <w:vAlign w:val="center"/>
          </w:tcPr>
          <w:p>
            <w:pPr>
              <w:pStyle w:val="TableContents"/>
              <w:bidi w:val="0"/>
              <w:spacing w:before="0" w:after="283"/>
              <w:rPr/>
            </w:pPr>
            <w:r>
              <w:rPr/>
              <w:t>The installments are each due for payment when the Seller asks the Buyer in writing for payment on presentation of a confirmation of the construction manager used for house 4, the project controller “BQ-Controlling” or a planning party involved in the site supervision about the progress achieved. The confirmation may relate to the construction phase House 4, the underground garage span North and the extensions relevant for unit 4.27; a component-accurate individual set-up to foreign units is not owed. A supplementary examination of the building status by the Buyer or a person commissioned by him remains possible in accordance with § 8. Objections to the confirmed building status are to be made within five banking working days after receipt of the payment request by submitting a verifiable expert report in text form related to the specific installment milestone.</w:t>
            </w:r>
          </w:p>
        </w:tc>
      </w:tr>
      <w:tr>
        <w:trPr/>
        <w:tc>
          <w:tcPr>
            <w:tcW w:w="7738" w:type="dxa"/>
            <w:tcBorders/>
            <w:vAlign w:val="center"/>
          </w:tcPr>
          <w:p>
            <w:pPr>
              <w:pStyle w:val="TableContents"/>
              <w:bidi w:val="0"/>
              <w:spacing w:before="0" w:after="283"/>
              <w:rPr/>
            </w:pPr>
            <w:r>
              <w:rPr/>
              <w:t>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tc>
        <w:tc>
          <w:tcPr>
            <w:tcW w:w="7796" w:type="dxa"/>
            <w:tcBorders/>
            <w:vAlign w:val="center"/>
          </w:tcPr>
          <w:p>
            <w:pPr>
              <w:pStyle w:val="TableContents"/>
              <w:bidi w:val="0"/>
              <w:spacing w:before="0" w:after="283"/>
              <w:rPr/>
            </w:pPr>
            <w:r>
              <w:rPr/>
              <w:t>The Buyer is in default as soon as the Seller has reminded him in writing after the installment has expired in accordance with a deadline of 30 calendar days by registered mail and the deadline has elapsed unsuccessfully. The receipt of a mere invoice or a simple e-mail does not constitute a delay.</w:t>
            </w:r>
          </w:p>
        </w:tc>
      </w:tr>
      <w:tr>
        <w:trPr/>
        <w:tc>
          <w:tcPr>
            <w:tcW w:w="7738" w:type="dxa"/>
            <w:tcBorders/>
            <w:vAlign w:val="center"/>
          </w:tcPr>
          <w:p>
            <w:pPr>
              <w:pStyle w:val="TableContents"/>
              <w:bidi w:val="0"/>
              <w:spacing w:before="0" w:after="283"/>
              <w:rPr/>
            </w:pPr>
            <w:r>
              <w:rPr/>
              <w:t>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tc>
        <w:tc>
          <w:tcPr>
            <w:tcW w:w="7796" w:type="dxa"/>
            <w:tcBorders/>
            <w:vAlign w:val="center"/>
          </w:tcPr>
          <w:p>
            <w:pPr>
              <w:pStyle w:val="TableContents"/>
              <w:bidi w:val="0"/>
              <w:spacing w:before="0" w:after="283"/>
              <w:rPr/>
            </w:pPr>
            <w:r>
              <w:rPr/>
              <w:t>In the event of default, the Buyer must demonstrate and prove those circumstances which should result in a lack of responsibility for the non-payment or a failure to pay for the Seller. After a delay in payment lasting longer than 45 calendar days, the Seller is entitled to request the acting Notary to execute the pre-notification approval provided for in § 10 by submitting a list of defaults and a notification of withdrawal or cancellation.</w:t>
            </w:r>
          </w:p>
        </w:tc>
      </w:tr>
      <w:tr>
        <w:trPr/>
        <w:tc>
          <w:tcPr>
            <w:tcW w:w="7738" w:type="dxa"/>
            <w:tcBorders/>
            <w:vAlign w:val="center"/>
          </w:tcPr>
          <w:p>
            <w:pPr>
              <w:pStyle w:val="TableContents"/>
              <w:bidi w:val="0"/>
              <w:spacing w:before="0" w:after="283"/>
              <w:rPr/>
            </w:pPr>
            <w:r>
              <w:rPr>
                <w:rStyle w:val="Strong"/>
              </w:rPr>
              <w:t>3.3</w:t>
            </w:r>
            <w:r>
              <w:rPr/>
              <w:t xml:space="preserve"> Sicherungsmechanik</w:t>
            </w:r>
          </w:p>
        </w:tc>
        <w:tc>
          <w:tcPr>
            <w:tcW w:w="7796" w:type="dxa"/>
            <w:tcBorders/>
            <w:vAlign w:val="center"/>
          </w:tcPr>
          <w:p>
            <w:pPr>
              <w:pStyle w:val="TableContents"/>
              <w:bidi w:val="0"/>
              <w:spacing w:before="0" w:after="283"/>
              <w:rPr/>
            </w:pPr>
            <w:r>
              <w:rPr>
                <w:rStyle w:val="Strong"/>
              </w:rPr>
              <w:t>3.3</w:t>
            </w:r>
            <w:r>
              <w:rPr/>
              <w:t xml:space="preserve"> Safety mechanism</w:t>
            </w:r>
          </w:p>
        </w:tc>
      </w:tr>
      <w:tr>
        <w:trPr/>
        <w:tc>
          <w:tcPr>
            <w:tcW w:w="7738" w:type="dxa"/>
            <w:tcBorders/>
            <w:vAlign w:val="center"/>
          </w:tcPr>
          <w:p>
            <w:pPr>
              <w:pStyle w:val="TableContents"/>
              <w:bidi w:val="0"/>
              <w:spacing w:before="0" w:after="283"/>
              <w:rPr/>
            </w:pPr>
            <w:r>
              <w:rPr/>
              <w:t>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tc>
        <w:tc>
          <w:tcPr>
            <w:tcW w:w="7796" w:type="dxa"/>
            <w:tcBorders/>
            <w:vAlign w:val="center"/>
          </w:tcPr>
          <w:p>
            <w:pPr>
              <w:pStyle w:val="TableContents"/>
              <w:bidi w:val="0"/>
              <w:spacing w:before="0" w:after="283"/>
              <w:rPr/>
            </w:pPr>
            <w:r>
              <w:rPr/>
              <w:t>The parties assume that the settlement provided for in this document via dismissal reservation for sheet 18 442, the burden exemption of Pomeranian Hypotheken-Bank AG, the seven-step MaBV installment plan and the confirmation of progress for house 4 safeguards the interests of the Buyer. A separate performance guarantee for the timely production of unit 4.27 without significant defects is not agreed. Insofar as mandatory statutory security rights exist, these remain unaffected; their practical processing takes place within the framework of the first installment due for House 4 after consultation with the Seller and the globally financing bank.</w:t>
            </w:r>
          </w:p>
        </w:tc>
      </w:tr>
      <w:tr>
        <w:trPr/>
        <w:tc>
          <w:tcPr>
            <w:tcW w:w="7738" w:type="dxa"/>
            <w:tcBorders/>
            <w:vAlign w:val="center"/>
          </w:tcPr>
          <w:p>
            <w:pPr>
              <w:pStyle w:val="TableContents"/>
              <w:bidi w:val="0"/>
              <w:spacing w:before="0" w:after="283"/>
              <w:rPr/>
            </w:pPr>
            <w:r>
              <w:rPr>
                <w:rStyle w:val="Strong"/>
              </w:rPr>
              <w:t>3.4</w:t>
            </w:r>
            <w:r>
              <w:rPr/>
              <w:t xml:space="preserve"> 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tc>
        <w:tc>
          <w:tcPr>
            <w:tcW w:w="7796" w:type="dxa"/>
            <w:tcBorders/>
            <w:vAlign w:val="center"/>
          </w:tcPr>
          <w:p>
            <w:pPr>
              <w:pStyle w:val="TableContents"/>
              <w:bidi w:val="0"/>
              <w:spacing w:before="0" w:after="283"/>
              <w:rPr/>
            </w:pPr>
            <w:r>
              <w:rPr>
                <w:rStyle w:val="Strong"/>
              </w:rPr>
              <w:t>3.4</w:t>
            </w:r>
            <w:r>
              <w:rPr/>
              <w:t xml:space="preserve"> Reservation fee. The parties declare that the Buyer has paid a reservation fee of EUR 22 000.00 to the Seller before the registration. According to the Seller, the fee relates to the temporary removal of the unit from distribution, the provision of data rooms, coordination of financing documents and project-related processing. An offset with Purchase Price installments is only if the Seller expressly confirms this when the first installment is due.</w:t>
            </w:r>
          </w:p>
        </w:tc>
      </w:tr>
      <w:tr>
        <w:trPr/>
        <w:tc>
          <w:tcPr>
            <w:tcW w:w="7738" w:type="dxa"/>
            <w:tcBorders/>
            <w:vAlign w:val="center"/>
          </w:tcPr>
          <w:p>
            <w:pPr>
              <w:pStyle w:val="TableContents"/>
              <w:bidi w:val="0"/>
              <w:spacing w:before="0" w:after="283"/>
              <w:rPr/>
            </w:pPr>
            <w:r>
              <w:rPr>
                <w:rStyle w:val="Strong"/>
              </w:rPr>
              <w:t>3.5</w:t>
            </w:r>
            <w:r>
              <w:rPr/>
              <w:t xml:space="preserve"> 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tc>
        <w:tc>
          <w:tcPr>
            <w:tcW w:w="7796" w:type="dxa"/>
            <w:tcBorders/>
            <w:vAlign w:val="center"/>
          </w:tcPr>
          <w:p>
            <w:pPr>
              <w:pStyle w:val="TableContents"/>
              <w:bidi w:val="0"/>
              <w:spacing w:before="0" w:after="283"/>
              <w:rPr/>
            </w:pPr>
            <w:r>
              <w:rPr>
                <w:rStyle w:val="Strong"/>
              </w:rPr>
              <w:t>3.5</w:t>
            </w:r>
            <w:r>
              <w:rPr/>
              <w:t xml:space="preserve"> Special requests. Special requests of the Buyer outside the equipment line “Birkenpfuhl Komfort B4” — in particular deviating floor coverings, sanitary series, shower enclosures, additional electric points, media connections, kitchen preparations, changes to non-supporting interior walls or optional equipment of the parking space TG-127 — must be commissioned separately and paid in full on the basis of the supplementary offer before the start of the respective construction work concerned. The remuneration for individual consultations in the sampling centre is 180.00 EUR net per consulting hour started from the fourth hour. The parties agree that special request fees concern separate additional services and are not to be included in the MaBV installment plan.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796"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738" w:type="dxa"/>
            <w:tcBorders/>
            <w:vAlign w:val="center"/>
          </w:tcPr>
          <w:p>
            <w:pPr>
              <w:pStyle w:val="TableContents"/>
              <w:bidi w:val="0"/>
              <w:spacing w:before="0" w:after="283"/>
              <w:rPr/>
            </w:pPr>
            <w:r>
              <w:rPr>
                <w:rStyle w:val="Strong"/>
              </w:rPr>
              <w:t>4.1</w:t>
            </w:r>
            <w:r>
              <w:rPr/>
              <w:t xml:space="preserve"> 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tc>
        <w:tc>
          <w:tcPr>
            <w:tcW w:w="7796" w:type="dxa"/>
            <w:tcBorders/>
            <w:vAlign w:val="center"/>
          </w:tcPr>
          <w:p>
            <w:pPr>
              <w:pStyle w:val="TableContents"/>
              <w:bidi w:val="0"/>
              <w:spacing w:before="0" w:after="283"/>
              <w:rPr/>
            </w:pPr>
            <w:r>
              <w:rPr>
                <w:rStyle w:val="Strong"/>
              </w:rPr>
              <w:t>4.1</w:t>
            </w:r>
            <w:r>
              <w:rPr/>
              <w:t xml:space="preserve"> The Seller hereby authorizes the Buyer, with the power to grant sub-authorizations, to appoint liens for the Purchased Property in favour of banks, savings banks or other lenders and to have them entered in the Land Register.</w:t>
            </w:r>
          </w:p>
        </w:tc>
      </w:tr>
      <w:tr>
        <w:trPr/>
        <w:tc>
          <w:tcPr>
            <w:tcW w:w="7738" w:type="dxa"/>
            <w:tcBorders/>
            <w:vAlign w:val="center"/>
          </w:tcPr>
          <w:p>
            <w:pPr>
              <w:pStyle w:val="TableContents"/>
              <w:bidi w:val="0"/>
              <w:spacing w:before="0" w:after="283"/>
              <w:rPr/>
            </w:pPr>
            <w:r>
              <w:rPr>
                <w:rStyle w:val="Strong"/>
              </w:rPr>
              <w:t>4.2</w:t>
            </w:r>
            <w:r>
              <w:rPr/>
              <w:t xml:space="preserve"> 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tc>
        <w:tc>
          <w:tcPr>
            <w:tcW w:w="7796" w:type="dxa"/>
            <w:tcBorders/>
            <w:vAlign w:val="center"/>
          </w:tcPr>
          <w:p>
            <w:pPr>
              <w:pStyle w:val="TableContents"/>
              <w:bidi w:val="0"/>
              <w:spacing w:before="0" w:after="283"/>
              <w:rPr/>
            </w:pPr>
            <w:r>
              <w:rPr>
                <w:rStyle w:val="Strong"/>
              </w:rPr>
              <w:t>4.2</w:t>
            </w:r>
            <w:r>
              <w:rPr/>
              <w:t xml:space="preserve"> A personal liability of the Buyer may be justified up to a land charge amount of 1 050 000.00 EUR together with up to 18 % annual interest and 10 % one-time ancillary service, if the financing bank demands this according to its loan and payment requirements. The parties assume that the personal liability assumption serves to finance the apartment 4.27, the cellar compartment K-4.27, the terrace T-4.27 and the parking space TG-127.</w:t>
            </w:r>
          </w:p>
        </w:tc>
      </w:tr>
      <w:tr>
        <w:trPr/>
        <w:tc>
          <w:tcPr>
            <w:tcW w:w="7738" w:type="dxa"/>
            <w:tcBorders/>
            <w:vAlign w:val="center"/>
          </w:tcPr>
          <w:p>
            <w:pPr>
              <w:pStyle w:val="TableContents"/>
              <w:bidi w:val="0"/>
              <w:spacing w:before="0" w:after="283"/>
              <w:rPr/>
            </w:pPr>
            <w:r>
              <w:rPr>
                <w:rStyle w:val="Strong"/>
              </w:rPr>
              <w:t>4.3</w:t>
            </w:r>
            <w:r>
              <w:rPr/>
              <w:t xml:space="preserve"> 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tc>
        <w:tc>
          <w:tcPr>
            <w:tcW w:w="7796" w:type="dxa"/>
            <w:tcBorders/>
            <w:vAlign w:val="center"/>
          </w:tcPr>
          <w:p>
            <w:pPr>
              <w:pStyle w:val="TableContents"/>
              <w:bidi w:val="0"/>
              <w:spacing w:before="0" w:after="283"/>
              <w:rPr/>
            </w:pPr>
            <w:r>
              <w:rPr>
                <w:rStyle w:val="Strong"/>
              </w:rPr>
              <w:t>4.3</w:t>
            </w:r>
            <w:r>
              <w:rPr/>
              <w:t xml:space="preserve"> The liens can be ordered including interest, ancillary benefits, immediate foreclosure submission to the encumbered apartment property and personal foreclosure submission of the Buyer. An internal limitation to the financing purpose is reserved for the Buyer and his bank. The Buyer shall bear all costs associated with ordering, ranking behind the global land charge, escrow processing and deletion.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0" w:name="baupflicht-baubeschreibung"/>
            <w:bookmarkEnd w:id="20"/>
            <w:r>
              <w:rPr/>
              <w:t>§ 5 Baupflicht, Baubeschreibung</w:t>
            </w:r>
          </w:p>
        </w:tc>
        <w:tc>
          <w:tcPr>
            <w:tcW w:w="7796" w:type="dxa"/>
            <w:tcBorders/>
            <w:vAlign w:val="center"/>
          </w:tcPr>
          <w:p>
            <w:pPr>
              <w:pStyle w:val="Heading1"/>
              <w:bidi w:val="0"/>
              <w:spacing w:before="240" w:after="283"/>
              <w:ind w:hanging="0" w:start="0" w:end="0"/>
              <w:rPr/>
            </w:pPr>
            <w:bookmarkStart w:id="21" w:name="construction-obligation-construction-des"/>
            <w:bookmarkEnd w:id="21"/>
            <w:r>
              <w:rPr/>
              <w:t>§ 5 Construction obligation, construction description</w:t>
            </w:r>
          </w:p>
        </w:tc>
      </w:tr>
      <w:tr>
        <w:trPr/>
        <w:tc>
          <w:tcPr>
            <w:tcW w:w="7738" w:type="dxa"/>
            <w:tcBorders/>
            <w:vAlign w:val="center"/>
          </w:tcPr>
          <w:p>
            <w:pPr>
              <w:pStyle w:val="TableContents"/>
              <w:bidi w:val="0"/>
              <w:spacing w:before="0" w:after="283"/>
              <w:rPr/>
            </w:pPr>
            <w:r>
              <w:rPr>
                <w:rStyle w:val="Strong"/>
              </w:rPr>
              <w:t>5.1</w:t>
            </w:r>
            <w:r>
              <w:rPr/>
              <w:t xml:space="preserve"> Der Verkäufer verpflichtet sich, den Kaufgegenstand nach Maßgabe der Baubeschreibung in der Fassung Februar 2026, Version 7.2, der Bezugsurkunden und der diesem Vertrag zugrunde liegenden Pläne herzustellen.</w:t>
            </w:r>
          </w:p>
        </w:tc>
        <w:tc>
          <w:tcPr>
            <w:tcW w:w="7796" w:type="dxa"/>
            <w:tcBorders/>
            <w:vAlign w:val="center"/>
          </w:tcPr>
          <w:p>
            <w:pPr>
              <w:pStyle w:val="TableContents"/>
              <w:bidi w:val="0"/>
              <w:spacing w:before="0" w:after="283"/>
              <w:rPr/>
            </w:pPr>
            <w:r>
              <w:rPr>
                <w:rStyle w:val="Strong"/>
              </w:rPr>
              <w:t>5.1</w:t>
            </w:r>
            <w:r>
              <w:rPr/>
              <w:t xml:space="preserve"> The Seller undertakes to produce the Purchased Property in accordance with the specification in the version February 2026, version 7.2, the reference documents and the plans underlying this contract.</w:t>
            </w:r>
          </w:p>
        </w:tc>
      </w:tr>
      <w:tr>
        <w:trPr/>
        <w:tc>
          <w:tcPr>
            <w:tcW w:w="7738" w:type="dxa"/>
            <w:tcBorders/>
            <w:vAlign w:val="center"/>
          </w:tcPr>
          <w:p>
            <w:pPr>
              <w:pStyle w:val="TableContents"/>
              <w:bidi w:val="0"/>
              <w:spacing w:before="0" w:after="283"/>
              <w:rPr/>
            </w:pPr>
            <w:r>
              <w:rPr>
                <w:rStyle w:val="Strong"/>
              </w:rPr>
              <w:t>5.2</w:t>
            </w:r>
            <w:r>
              <w:rPr/>
              <w:t xml:space="preserve"> Planung, Projektsteuerung und Objektüberwachung</w:t>
            </w:r>
          </w:p>
        </w:tc>
        <w:tc>
          <w:tcPr>
            <w:tcW w:w="7796" w:type="dxa"/>
            <w:tcBorders/>
            <w:vAlign w:val="center"/>
          </w:tcPr>
          <w:p>
            <w:pPr>
              <w:pStyle w:val="TableContents"/>
              <w:bidi w:val="0"/>
              <w:spacing w:before="0" w:after="283"/>
              <w:rPr/>
            </w:pPr>
            <w:r>
              <w:rPr>
                <w:rStyle w:val="Strong"/>
              </w:rPr>
              <w:t>5.2</w:t>
            </w:r>
            <w:r>
              <w:rPr/>
              <w:t xml:space="preserve"> Planning, project management and site supervision</w:t>
            </w:r>
          </w:p>
        </w:tc>
      </w:tr>
      <w:tr>
        <w:trPr/>
        <w:tc>
          <w:tcPr>
            <w:tcW w:w="7738" w:type="dxa"/>
            <w:tcBorders/>
            <w:vAlign w:val="center"/>
          </w:tcPr>
          <w:p>
            <w:pPr>
              <w:pStyle w:val="TableContents"/>
              <w:bidi w:val="0"/>
              <w:spacing w:before="0" w:after="283"/>
              <w:rPr/>
            </w:pPr>
            <w:r>
              <w:rPr/>
              <w:t>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tc>
        <w:tc>
          <w:tcPr>
            <w:tcW w:w="7796" w:type="dxa"/>
            <w:tcBorders/>
            <w:vAlign w:val="center"/>
          </w:tcPr>
          <w:p>
            <w:pPr>
              <w:pStyle w:val="TableContents"/>
              <w:bidi w:val="0"/>
              <w:spacing w:before="0" w:after="283"/>
              <w:rPr/>
            </w:pPr>
            <w:r>
              <w:rPr/>
              <w:t>The Seller organizes planning, specialist planning, project management and site supervision of the construction project on his own responsibility. For house 4, according to the Seller, the property planning, the TGA planning heating/ventilation/sanitary/electric, the structural design, the outdoor plant planning and the fire protection accompaniment are each commissioned on a project-related basis; the details of the commissioning, performance phases, remuneration and reporting obligations are reserved for the internal relationship of the Seller. Insofar as services are provided for the construction project which correspond to the performance phases of the fee scheme for architects and engineers, these services serve exclusively the relationship of the Seller to his planners and specialist planners. The commissioning or non-commissioning of individual performance phases, in particular the execution planning, the participation in the award, the site supervision or the object care, no own rights of the Buyer against planners, specialist planners, project controllers, construction managers or other construction parties are established.</w:t>
            </w:r>
          </w:p>
        </w:tc>
      </w:tr>
      <w:tr>
        <w:trPr/>
        <w:tc>
          <w:tcPr>
            <w:tcW w:w="7738" w:type="dxa"/>
            <w:tcBorders/>
            <w:vAlign w:val="center"/>
          </w:tcPr>
          <w:p>
            <w:pPr>
              <w:pStyle w:val="TableContents"/>
              <w:bidi w:val="0"/>
              <w:spacing w:before="0" w:after="283"/>
              <w:rPr/>
            </w:pPr>
            <w:r>
              <w:rPr/>
              <w:t>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tc>
        <w:tc>
          <w:tcPr>
            <w:tcW w:w="7796" w:type="dxa"/>
            <w:tcBorders/>
            <w:vAlign w:val="center"/>
          </w:tcPr>
          <w:p>
            <w:pPr>
              <w:pStyle w:val="TableContents"/>
              <w:bidi w:val="0"/>
              <w:spacing w:before="0" w:after="283"/>
              <w:rPr/>
            </w:pPr>
            <w:r>
              <w:rPr/>
              <w:t>The ongoing reports of the site supervision, building diaries, test reports, defect lists, cost reports and appointment updates are internal working documents of the Seller. The Buyer only receives extracts therefrom insofar as they are required by mandatory law for financing, funding, public proof or acceptance or the Seller deems this appropriate for reasons of orderly project communication. The Buyer acknowledges that the technical quality assurance of the Seller is centralized in the interest of a uniform project implementation and cannot be replaced by individual instructions of individual buyers.</w:t>
            </w:r>
          </w:p>
        </w:tc>
      </w:tr>
      <w:tr>
        <w:trPr/>
        <w:tc>
          <w:tcPr>
            <w:tcW w:w="7738" w:type="dxa"/>
            <w:tcBorders/>
            <w:vAlign w:val="center"/>
          </w:tcPr>
          <w:p>
            <w:pPr>
              <w:pStyle w:val="TableContents"/>
              <w:bidi w:val="0"/>
              <w:spacing w:before="0" w:after="283"/>
              <w:rPr/>
            </w:pPr>
            <w:r>
              <w:rPr>
                <w:rStyle w:val="Strong"/>
              </w:rPr>
              <w:t>5.3</w:t>
            </w:r>
            <w:r>
              <w:rPr/>
              <w:t xml:space="preserve"> Soweit die Baubeschreibung Wahlmöglichkeiten bei Material, Farbe oder Form vorsieht, erhält der Käufer im Rahmen einer Bemusterung die Möglichkeit, sofern der Baufortschritt es noch zulässt, eine entsprechende Auswahl zu treffen.</w:t>
            </w:r>
          </w:p>
        </w:tc>
        <w:tc>
          <w:tcPr>
            <w:tcW w:w="7796" w:type="dxa"/>
            <w:tcBorders/>
            <w:vAlign w:val="center"/>
          </w:tcPr>
          <w:p>
            <w:pPr>
              <w:pStyle w:val="TableContents"/>
              <w:bidi w:val="0"/>
              <w:spacing w:before="0" w:after="283"/>
              <w:rPr/>
            </w:pPr>
            <w:r>
              <w:rPr>
                <w:rStyle w:val="Strong"/>
              </w:rPr>
              <w:t>5.3</w:t>
            </w:r>
            <w:r>
              <w:rPr/>
              <w:t xml:space="preserve"> Insofar as the description of the building provides for choices in terms of material, colour or shape, the Buyer is given the opportunity to make a corresponding selection within the framework of a sample, provided the construction progress still allows.</w:t>
            </w:r>
          </w:p>
        </w:tc>
      </w:tr>
      <w:tr>
        <w:trPr/>
        <w:tc>
          <w:tcPr>
            <w:tcW w:w="7738" w:type="dxa"/>
            <w:tcBorders/>
            <w:vAlign w:val="center"/>
          </w:tcPr>
          <w:p>
            <w:pPr>
              <w:pStyle w:val="TableContents"/>
              <w:bidi w:val="0"/>
              <w:spacing w:before="0" w:after="283"/>
              <w:rPr/>
            </w:pPr>
            <w:r>
              <w:rPr/>
              <w:t>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tc>
        <w:tc>
          <w:tcPr>
            <w:tcW w:w="7796" w:type="dxa"/>
            <w:tcBorders/>
            <w:vAlign w:val="center"/>
          </w:tcPr>
          <w:p>
            <w:pPr>
              <w:pStyle w:val="TableContents"/>
              <w:bidi w:val="0"/>
              <w:spacing w:before="0" w:after="283"/>
              <w:rPr/>
            </w:pPr>
            <w:r>
              <w:rPr/>
              <w:t>Samples are taken at the “Birkenpfuhl Selection World” sampling centre, Tempelhofer Weg 41, 10829 Berlin, room B4. Included in the Purchase Price are three consultation hours for floor, tiles, sanitary, doors, electric multipoints and surfaces of the unit 4.27. Further consulting expenses of the Seller must be reimbursed by the Buyer with an hourly rate of 180.00 EUR net.</w:t>
            </w:r>
          </w:p>
        </w:tc>
      </w:tr>
      <w:tr>
        <w:trPr/>
        <w:tc>
          <w:tcPr>
            <w:tcW w:w="7738" w:type="dxa"/>
            <w:tcBorders/>
            <w:vAlign w:val="center"/>
          </w:tcPr>
          <w:p>
            <w:pPr>
              <w:pStyle w:val="TableContents"/>
              <w:bidi w:val="0"/>
              <w:spacing w:before="0" w:after="283"/>
              <w:rPr/>
            </w:pPr>
            <w:r>
              <w:rPr/>
              <w:t>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tc>
        <w:tc>
          <w:tcPr>
            <w:tcW w:w="7796" w:type="dxa"/>
            <w:tcBorders/>
            <w:vAlign w:val="center"/>
          </w:tcPr>
          <w:p>
            <w:pPr>
              <w:pStyle w:val="TableContents"/>
              <w:bidi w:val="0"/>
              <w:spacing w:before="0" w:after="283"/>
              <w:rPr/>
            </w:pPr>
            <w:r>
              <w:rPr/>
              <w:t>The sampling must take place no later than four weeks after the Seller’s request. If the Buyer does not respond to the request or does not respond in time, the Seller selects those floor, tile, sanitary, door and hardware variants for unit 4.27 from the equipment line “Birkenpfuhl Comfort B4” that can be bundled with the current order for house 4; there is no entitlement to subsequent amendment.</w:t>
            </w:r>
          </w:p>
        </w:tc>
      </w:tr>
      <w:tr>
        <w:trPr/>
        <w:tc>
          <w:tcPr>
            <w:tcW w:w="7738" w:type="dxa"/>
            <w:tcBorders/>
            <w:vAlign w:val="center"/>
          </w:tcPr>
          <w:p>
            <w:pPr>
              <w:pStyle w:val="TableContents"/>
              <w:bidi w:val="0"/>
              <w:spacing w:before="0" w:after="283"/>
              <w:rPr/>
            </w:pPr>
            <w:r>
              <w:rPr>
                <w:rStyle w:val="Strong"/>
              </w:rPr>
              <w:t>5.4</w:t>
            </w:r>
            <w:r>
              <w:rPr/>
              <w:t xml:space="preserve"> 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tc>
        <w:tc>
          <w:tcPr>
            <w:tcW w:w="7796" w:type="dxa"/>
            <w:tcBorders/>
            <w:vAlign w:val="center"/>
          </w:tcPr>
          <w:p>
            <w:pPr>
              <w:pStyle w:val="TableContents"/>
              <w:bidi w:val="0"/>
              <w:spacing w:before="0" w:after="283"/>
              <w:rPr/>
            </w:pPr>
            <w:r>
              <w:rPr>
                <w:rStyle w:val="Strong"/>
              </w:rPr>
              <w:t>5.4</w:t>
            </w:r>
            <w:r>
              <w:rPr/>
              <w:t xml:space="preserve"> The Buyer is not entitled to any execution and equipment of the Purchased Property deviating from the construction plans, the construction description and the purchase contract. Visualizations, renderings, sales brochures, the show apartment and other sales documents are expressly not part of this contract and do not constitute a quality agreement.</w:t>
            </w:r>
          </w:p>
        </w:tc>
      </w:tr>
      <w:tr>
        <w:trPr/>
        <w:tc>
          <w:tcPr>
            <w:tcW w:w="7738" w:type="dxa"/>
            <w:tcBorders/>
            <w:vAlign w:val="center"/>
          </w:tcPr>
          <w:p>
            <w:pPr>
              <w:pStyle w:val="TableContents"/>
              <w:bidi w:val="0"/>
              <w:spacing w:before="0" w:after="283"/>
              <w:rPr/>
            </w:pPr>
            <w:r>
              <w:rPr>
                <w:rStyle w:val="Strong"/>
              </w:rPr>
              <w:t>5.5</w:t>
            </w:r>
            <w:r>
              <w:rPr/>
              <w:t xml:space="preserve"> 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tc>
        <w:tc>
          <w:tcPr>
            <w:tcW w:w="7796" w:type="dxa"/>
            <w:tcBorders/>
            <w:vAlign w:val="center"/>
          </w:tcPr>
          <w:p>
            <w:pPr>
              <w:pStyle w:val="TableContents"/>
              <w:bidi w:val="0"/>
              <w:spacing w:before="0" w:after="283"/>
              <w:rPr/>
            </w:pPr>
            <w:r>
              <w:rPr>
                <w:rStyle w:val="Strong"/>
              </w:rPr>
              <w:t>5.5</w:t>
            </w:r>
            <w:r>
              <w:rPr/>
              <w:t xml:space="preserve"> Insofar as the construction description for house 4, apartment 4.27 or TG-127 contains no or indefinite information regarding necessary services, the Seller is entitled to determine the performance according to § 315 BGB. Decisive is the classification of the unit in the equipment line “Birkenpfuhl Komfort B4”, taking into account the shaft and facade logic of house 4, the bundled orders for the floor/tile/sanitary/door trades, the maintainability of the TGA components and the uniform appearance of the quarter.</w:t>
            </w:r>
          </w:p>
        </w:tc>
      </w:tr>
      <w:tr>
        <w:trPr/>
        <w:tc>
          <w:tcPr>
            <w:tcW w:w="7738" w:type="dxa"/>
            <w:tcBorders/>
            <w:vAlign w:val="center"/>
          </w:tcPr>
          <w:p>
            <w:pPr>
              <w:pStyle w:val="TableContents"/>
              <w:bidi w:val="0"/>
              <w:spacing w:before="0" w:after="283"/>
              <w:rPr/>
            </w:pPr>
            <w:r>
              <w:rPr>
                <w:rStyle w:val="Strong"/>
              </w:rPr>
              <w:t>5.6</w:t>
            </w:r>
            <w:r>
              <w:rPr/>
              <w:t xml:space="preserve"> Der Verkäufer hat die Leistungen nach den anerkannten Regeln der Technik </w:t>
            </w:r>
            <w:r>
              <w:rPr>
                <w:rStyle w:val="Strong"/>
              </w:rPr>
              <w:t>zum Tag der Erteilung der Baugenehmigung</w:t>
            </w:r>
            <w:r>
              <w:rPr/>
              <w:t xml:space="preserve"> zu errichten. Spätere Änderungen der anerkannten Regeln der Technik wirken sich auf die geschuldete Leistung nicht aus.</w:t>
            </w:r>
          </w:p>
        </w:tc>
        <w:tc>
          <w:tcPr>
            <w:tcW w:w="7796" w:type="dxa"/>
            <w:tcBorders/>
            <w:vAlign w:val="center"/>
          </w:tcPr>
          <w:p>
            <w:pPr>
              <w:pStyle w:val="TableContents"/>
              <w:bidi w:val="0"/>
              <w:spacing w:before="0" w:after="283"/>
              <w:rPr/>
            </w:pPr>
            <w:r>
              <w:rPr>
                <w:rStyle w:val="Strong"/>
              </w:rPr>
              <w:t>5.6</w:t>
            </w:r>
            <w:r>
              <w:rPr/>
              <w:t xml:space="preserve"> The Seller must build the services according to the recognised rules of technology on the day of granting the building permit. Subsequent changes to the accepted rules of technique do not affect the performance owed.</w:t>
            </w:r>
          </w:p>
        </w:tc>
      </w:tr>
      <w:tr>
        <w:trPr/>
        <w:tc>
          <w:tcPr>
            <w:tcW w:w="7738" w:type="dxa"/>
            <w:tcBorders/>
            <w:vAlign w:val="center"/>
          </w:tcPr>
          <w:p>
            <w:pPr>
              <w:pStyle w:val="TableContents"/>
              <w:bidi w:val="0"/>
              <w:spacing w:before="0" w:after="283"/>
              <w:rPr/>
            </w:pPr>
            <w:r>
              <w:rPr>
                <w:rStyle w:val="Strong"/>
              </w:rPr>
              <w:t>5.7</w:t>
            </w:r>
            <w:r>
              <w:rPr/>
              <w:t xml:space="preserve"> Änderungen in Planung und Ausführung durch den Verkäufer sind zulässig, wenn sie aufgrund behördlicher Vorgaben oder Auflagen, Gesetzesänderungen, statischer Notwendigkeit, Bauablauf-Erfordernissen oder sonstigen Rechtsgründen erforderlich sind.</w:t>
            </w:r>
          </w:p>
        </w:tc>
        <w:tc>
          <w:tcPr>
            <w:tcW w:w="7796" w:type="dxa"/>
            <w:tcBorders/>
            <w:vAlign w:val="center"/>
          </w:tcPr>
          <w:p>
            <w:pPr>
              <w:pStyle w:val="TableContents"/>
              <w:bidi w:val="0"/>
              <w:spacing w:before="0" w:after="283"/>
              <w:rPr/>
            </w:pPr>
            <w:r>
              <w:rPr>
                <w:rStyle w:val="Strong"/>
              </w:rPr>
              <w:t>5.7</w:t>
            </w:r>
            <w:r>
              <w:rPr/>
              <w:t xml:space="preserve"> Changes in planning and execution by the Seller are permissible if they are necessary due to official requirements or requirements, changes in law, static necessity, construction process requirements or other legal reasons.</w:t>
            </w:r>
          </w:p>
        </w:tc>
      </w:tr>
      <w:tr>
        <w:trPr/>
        <w:tc>
          <w:tcPr>
            <w:tcW w:w="7738" w:type="dxa"/>
            <w:tcBorders/>
            <w:vAlign w:val="center"/>
          </w:tcPr>
          <w:p>
            <w:pPr>
              <w:pStyle w:val="TableContents"/>
              <w:bidi w:val="0"/>
              <w:spacing w:before="0" w:after="283"/>
              <w:rPr/>
            </w:pPr>
            <w:r>
              <w:rPr/>
              <w:t>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tc>
        <w:tc>
          <w:tcPr>
            <w:tcW w:w="7796" w:type="dxa"/>
            <w:tcBorders/>
            <w:vAlign w:val="center"/>
          </w:tcPr>
          <w:p>
            <w:pPr>
              <w:pStyle w:val="TableContents"/>
              <w:bidi w:val="0"/>
              <w:spacing w:before="0" w:after="283"/>
              <w:rPr/>
            </w:pPr>
            <w:r>
              <w:rPr/>
              <w:t>Modifications are also permitted if they appear expedient due to the continuation of the execution planning for house 4, the shaft and line coordination in the rise zones B4-S1 to B4-S4, the connection planning to the underground car park span Nord, the availability of windows, tiles, sanitary objects or technical components or the economical overall control of the quarter and do not significantly impair the normal usability of the purchased object. Equivalent designs shall not be considered as a deviation from the intended construction.</w:t>
            </w:r>
          </w:p>
        </w:tc>
      </w:tr>
      <w:tr>
        <w:trPr/>
        <w:tc>
          <w:tcPr>
            <w:tcW w:w="7738" w:type="dxa"/>
            <w:tcBorders/>
            <w:vAlign w:val="center"/>
          </w:tcPr>
          <w:p>
            <w:pPr>
              <w:pStyle w:val="TableContents"/>
              <w:bidi w:val="0"/>
              <w:spacing w:before="0" w:after="283"/>
              <w:rPr/>
            </w:pPr>
            <w:r>
              <w:rPr>
                <w:rStyle w:val="Strong"/>
              </w:rPr>
              <w:t>5.8</w:t>
            </w:r>
            <w:r>
              <w:rPr/>
              <w:t xml:space="preserve"> Termine</w:t>
            </w:r>
          </w:p>
        </w:tc>
        <w:tc>
          <w:tcPr>
            <w:tcW w:w="7796" w:type="dxa"/>
            <w:tcBorders/>
            <w:vAlign w:val="center"/>
          </w:tcPr>
          <w:p>
            <w:pPr>
              <w:pStyle w:val="TableContents"/>
              <w:bidi w:val="0"/>
              <w:spacing w:before="0" w:after="283"/>
              <w:rPr/>
            </w:pPr>
            <w:r>
              <w:rPr>
                <w:rStyle w:val="Strong"/>
              </w:rPr>
              <w:t>5.8</w:t>
            </w:r>
            <w:r>
              <w:rPr/>
              <w:t xml:space="preserve"> Dates</w:t>
            </w:r>
          </w:p>
        </w:tc>
      </w:tr>
      <w:tr>
        <w:trPr/>
        <w:tc>
          <w:tcPr>
            <w:tcW w:w="7738" w:type="dxa"/>
            <w:tcBorders/>
            <w:vAlign w:val="center"/>
          </w:tcPr>
          <w:p>
            <w:pPr>
              <w:pStyle w:val="TableContents"/>
              <w:bidi w:val="0"/>
              <w:spacing w:before="0" w:after="283"/>
              <w:rPr/>
            </w:pPr>
            <w:r>
              <w:rPr/>
              <w:t>5.8.1 Der Verkäufer wird die gemäß § 5.1 geschuldeten Bauleistungen voraussichtlich bis 30.09.2027 bezugsfertig herstellen.</w:t>
            </w:r>
          </w:p>
        </w:tc>
        <w:tc>
          <w:tcPr>
            <w:tcW w:w="7796" w:type="dxa"/>
            <w:tcBorders/>
            <w:vAlign w:val="center"/>
          </w:tcPr>
          <w:p>
            <w:pPr>
              <w:pStyle w:val="TableContents"/>
              <w:bidi w:val="0"/>
              <w:spacing w:before="0" w:after="283"/>
              <w:rPr/>
            </w:pPr>
            <w:r>
              <w:rPr/>
              <w:t>5.8.1 The Seller will probably produce the construction services owed in accordance with § 5.1 ready for use by 30.09.2027.</w:t>
            </w:r>
          </w:p>
        </w:tc>
      </w:tr>
      <w:tr>
        <w:trPr/>
        <w:tc>
          <w:tcPr>
            <w:tcW w:w="7738" w:type="dxa"/>
            <w:tcBorders/>
            <w:vAlign w:val="center"/>
          </w:tcPr>
          <w:p>
            <w:pPr>
              <w:pStyle w:val="TableContents"/>
              <w:bidi w:val="0"/>
              <w:spacing w:before="0" w:after="283"/>
              <w:rPr/>
            </w:pPr>
            <w:r>
              <w:rPr/>
              <w:t>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tc>
        <w:tc>
          <w:tcPr>
            <w:tcW w:w="7796" w:type="dxa"/>
            <w:tcBorders/>
            <w:vAlign w:val="center"/>
          </w:tcPr>
          <w:p>
            <w:pPr>
              <w:pStyle w:val="TableContents"/>
              <w:bidi w:val="0"/>
              <w:spacing w:before="0" w:after="283"/>
              <w:rPr/>
            </w:pPr>
            <w:r>
              <w:rPr/>
              <w:t>obstructions in the production of the construction project due to circumstances not attributable to the Seller, e.g. force majeure, pandemic situations, supply bottlenecks in elevator, windows, heat pump components or medium-voltage technology, strike, lockout, weather conditions including heat and cold periods, water management in the area of the underground car park, exchange rate movements in building materials, personnel bottlenecks in subcontractors or delayed coordination with utilities, extend the respective production period concerned by the duration of the obstruction plus a surcharge of up to six weeks for replanning, restarting and retuning the trades.</w:t>
            </w:r>
          </w:p>
        </w:tc>
      </w:tr>
      <w:tr>
        <w:trPr/>
        <w:tc>
          <w:tcPr>
            <w:tcW w:w="7738" w:type="dxa"/>
            <w:tcBorders/>
            <w:vAlign w:val="center"/>
          </w:tcPr>
          <w:p>
            <w:pPr>
              <w:pStyle w:val="TableContents"/>
              <w:bidi w:val="0"/>
              <w:spacing w:before="0" w:after="283"/>
              <w:rPr/>
            </w:pPr>
            <w:r>
              <w:rPr/>
              <w:t>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tc>
        <w:tc>
          <w:tcPr>
            <w:tcW w:w="7796" w:type="dxa"/>
            <w:tcBorders/>
            <w:vAlign w:val="center"/>
          </w:tcPr>
          <w:p>
            <w:pPr>
              <w:pStyle w:val="TableContents"/>
              <w:bidi w:val="0"/>
              <w:spacing w:before="0" w:after="283"/>
              <w:rPr/>
            </w:pPr>
            <w:r>
              <w:rPr/>
              <w:t>5.8.2 If the Seller is responsible for exceeding the latest date for the readiness for occupancy, the Seller owes the Buyer an amount of 0.5 ‰ of the special ownership component amount per started day, capped at a total of 12% of the special ownership component amount. The assertion of further claims for damages is excluded, unless there is intent or gross negligence.</w:t>
            </w:r>
          </w:p>
        </w:tc>
      </w:tr>
      <w:tr>
        <w:trPr/>
        <w:tc>
          <w:tcPr>
            <w:tcW w:w="7738" w:type="dxa"/>
            <w:tcBorders/>
            <w:vAlign w:val="center"/>
          </w:tcPr>
          <w:p>
            <w:pPr>
              <w:pStyle w:val="TableContents"/>
              <w:bidi w:val="0"/>
              <w:spacing w:before="0" w:after="283"/>
              <w:rPr/>
            </w:pPr>
            <w:r>
              <w:rPr>
                <w:rStyle w:val="Strong"/>
              </w:rPr>
              <w:t>5.9</w:t>
            </w:r>
            <w:r>
              <w:rPr/>
              <w:t xml:space="preserve"> Wohnfläche</w:t>
            </w:r>
          </w:p>
        </w:tc>
        <w:tc>
          <w:tcPr>
            <w:tcW w:w="7796" w:type="dxa"/>
            <w:tcBorders/>
            <w:vAlign w:val="center"/>
          </w:tcPr>
          <w:p>
            <w:pPr>
              <w:pStyle w:val="TableContents"/>
              <w:bidi w:val="0"/>
              <w:spacing w:before="0" w:after="283"/>
              <w:rPr/>
            </w:pPr>
            <w:r>
              <w:rPr>
                <w:rStyle w:val="Strong"/>
              </w:rPr>
              <w:t>5.9</w:t>
            </w:r>
            <w:r>
              <w:rPr/>
              <w:t xml:space="preserve"> Living area</w:t>
            </w:r>
          </w:p>
        </w:tc>
      </w:tr>
      <w:tr>
        <w:trPr/>
        <w:tc>
          <w:tcPr>
            <w:tcW w:w="7738" w:type="dxa"/>
            <w:tcBorders/>
            <w:vAlign w:val="center"/>
          </w:tcPr>
          <w:p>
            <w:pPr>
              <w:pStyle w:val="TableContents"/>
              <w:bidi w:val="0"/>
              <w:spacing w:before="0" w:after="283"/>
              <w:rPr/>
            </w:pPr>
            <w:r>
              <w:rPr/>
              <w:t>5.9.1 Die nach Maßgabe des § 5.1 herzustellende Wohnfläche beträgt ca. 118,4 m². Die Flächenberechnung erfolgt nach DIN 277.</w:t>
            </w:r>
          </w:p>
        </w:tc>
        <w:tc>
          <w:tcPr>
            <w:tcW w:w="7796" w:type="dxa"/>
            <w:tcBorders/>
            <w:vAlign w:val="center"/>
          </w:tcPr>
          <w:p>
            <w:pPr>
              <w:pStyle w:val="TableContents"/>
              <w:bidi w:val="0"/>
              <w:spacing w:before="0" w:after="283"/>
              <w:rPr/>
            </w:pPr>
            <w:r>
              <w:rPr/>
              <w:t>5.9.1 The living space to be produced in accordance with § 5.1 amounts to approximately 118.4 m2. The area is calculated according to DIN 277.</w:t>
            </w:r>
          </w:p>
        </w:tc>
      </w:tr>
      <w:tr>
        <w:trPr/>
        <w:tc>
          <w:tcPr>
            <w:tcW w:w="7738" w:type="dxa"/>
            <w:tcBorders/>
            <w:vAlign w:val="center"/>
          </w:tcPr>
          <w:p>
            <w:pPr>
              <w:pStyle w:val="TableContents"/>
              <w:bidi w:val="0"/>
              <w:spacing w:before="0" w:after="283"/>
              <w:rPr/>
            </w:pPr>
            <w:r>
              <w:rPr/>
              <w:t>5.9.2 Aus einer Unterschreitung der vorstehenden Wohnfläche kann der Käufer nur Rechte herleiten, wenn die Unterschreitung 8 % der vorstehenden Wohnfläche übersteigt.</w:t>
            </w:r>
          </w:p>
        </w:tc>
        <w:tc>
          <w:tcPr>
            <w:tcW w:w="7796" w:type="dxa"/>
            <w:tcBorders/>
            <w:vAlign w:val="center"/>
          </w:tcPr>
          <w:p>
            <w:pPr>
              <w:pStyle w:val="TableContents"/>
              <w:bidi w:val="0"/>
              <w:spacing w:before="0" w:after="283"/>
              <w:rPr/>
            </w:pPr>
            <w:r>
              <w:rPr/>
              <w:t>5.9.2 The Buyer can only derive rights from an undershoot of the protruding living space if the undershoot exceeds 8% of the protruding living space.</w:t>
            </w:r>
          </w:p>
        </w:tc>
      </w:tr>
      <w:tr>
        <w:trPr/>
        <w:tc>
          <w:tcPr>
            <w:tcW w:w="7738" w:type="dxa"/>
            <w:tcBorders/>
            <w:vAlign w:val="center"/>
          </w:tcPr>
          <w:p>
            <w:pPr>
              <w:pStyle w:val="TableContents"/>
              <w:bidi w:val="0"/>
              <w:spacing w:before="0" w:after="283"/>
              <w:rPr/>
            </w:pPr>
            <w:r>
              <w:rPr>
                <w:rStyle w:val="Strong"/>
              </w:rPr>
              <w:t>5.10</w:t>
            </w:r>
            <w:r>
              <w:rPr/>
              <w:t xml:space="preserve"> 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tc>
        <w:tc>
          <w:tcPr>
            <w:tcW w:w="7796" w:type="dxa"/>
            <w:tcBorders/>
            <w:vAlign w:val="center"/>
          </w:tcPr>
          <w:p>
            <w:pPr>
              <w:pStyle w:val="TableContents"/>
              <w:bidi w:val="0"/>
              <w:spacing w:before="0" w:after="283"/>
              <w:rPr/>
            </w:pPr>
            <w:r>
              <w:rPr>
                <w:rStyle w:val="Strong"/>
              </w:rPr>
              <w:t>5.10</w:t>
            </w:r>
            <w:r>
              <w:rPr/>
              <w:t xml:space="preserve"> energy standard. House 4 is built according to the energy requirements applicable on the day of the building permit and connected to the heat supply concept intended for the quarter. A certain KfW efficiency house class, eligibility, a certain primary energy requirement or a certain GEG standard above the minimum standard owed by public law is not owed.</w:t>
            </w:r>
          </w:p>
        </w:tc>
      </w:tr>
      <w:tr>
        <w:trPr/>
        <w:tc>
          <w:tcPr>
            <w:tcW w:w="7738" w:type="dxa"/>
            <w:tcBorders/>
            <w:vAlign w:val="center"/>
          </w:tcPr>
          <w:p>
            <w:pPr>
              <w:pStyle w:val="TableContents"/>
              <w:bidi w:val="0"/>
              <w:spacing w:before="0" w:after="283"/>
              <w:rPr/>
            </w:pPr>
            <w:r>
              <w:rPr>
                <w:rStyle w:val="Strong"/>
              </w:rPr>
              <w:t>5.11</w:t>
            </w:r>
            <w:r>
              <w:rPr/>
              <w:t xml:space="preserve"> 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tc>
        <w:tc>
          <w:tcPr>
            <w:tcW w:w="7796" w:type="dxa"/>
            <w:tcBorders/>
            <w:vAlign w:val="center"/>
          </w:tcPr>
          <w:p>
            <w:pPr>
              <w:pStyle w:val="TableContents"/>
              <w:bidi w:val="0"/>
              <w:spacing w:before="0" w:after="283"/>
              <w:rPr/>
            </w:pPr>
            <w:r>
              <w:rPr>
                <w:rStyle w:val="Strong"/>
              </w:rPr>
              <w:t>5.11</w:t>
            </w:r>
            <w:r>
              <w:rPr/>
              <w:t xml:space="preserve"> ground, groundwater and excavation pit. The Seller has received the geotechnical short report “BQ-KNW-4/2026” from TerraSond GmbH dated 17.02.2026. The assumptions contained therein are based on punctual breakdowns in the area of house 4, underground garage span Nord and construction field Q1 and show changing fillings, cohesive layers, temporarily layered water management as well as possible additional disposal costs. Deviations of the actual ground, groundwater levels, water management measures, findings of warfare, contamination or disposal as well as technical adjustments necessary therefor shall not be considered as a deviation from the agreed condition, provided that the suitability for use of the apartment 4.27 is not significantly impaired after completion. The construction period extensions caused by this are not to be represented by the Seller.</w:t>
            </w:r>
          </w:p>
        </w:tc>
      </w:tr>
      <w:tr>
        <w:trPr/>
        <w:tc>
          <w:tcPr>
            <w:tcW w:w="7738" w:type="dxa"/>
            <w:tcBorders/>
            <w:vAlign w:val="center"/>
          </w:tcPr>
          <w:p>
            <w:pPr>
              <w:pStyle w:val="TableContents"/>
              <w:bidi w:val="0"/>
              <w:spacing w:before="0" w:after="283"/>
              <w:rPr/>
            </w:pPr>
            <w:r>
              <w:rPr>
                <w:rStyle w:val="Strong"/>
              </w:rPr>
              <w:t>5.12</w:t>
            </w:r>
            <w:r>
              <w:rPr/>
              <w:t xml:space="preserve"> 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tc>
        <w:tc>
          <w:tcPr>
            <w:tcW w:w="7796" w:type="dxa"/>
            <w:tcBorders/>
            <w:vAlign w:val="center"/>
          </w:tcPr>
          <w:p>
            <w:pPr>
              <w:pStyle w:val="TableContents"/>
              <w:bidi w:val="0"/>
              <w:spacing w:before="0" w:after="283"/>
              <w:rPr/>
            </w:pPr>
            <w:r>
              <w:rPr>
                <w:rStyle w:val="Strong"/>
              </w:rPr>
              <w:t>5.12</w:t>
            </w:r>
            <w:r>
              <w:rPr/>
              <w:t xml:space="preserve"> Sound, heat, humidity and fire protection. The publicly required proofs are obtained by the Seller. A further characteristic, in particular an increased sound insulation, a certain comfort class, a certain indoor air quality or a certain summer cooling capacity, is owed only insofar as this is expressly agreed in the construction description with numerical values. Condensate, mold or moisture damage, which is due to heating, ventilation or furniture behavior that does not correspond to the respective usage instructions, do not constitute a defect.</w:t>
            </w:r>
          </w:p>
        </w:tc>
      </w:tr>
      <w:tr>
        <w:trPr/>
        <w:tc>
          <w:tcPr>
            <w:tcW w:w="7738" w:type="dxa"/>
            <w:tcBorders/>
            <w:vAlign w:val="center"/>
          </w:tcPr>
          <w:p>
            <w:pPr>
              <w:pStyle w:val="TableContents"/>
              <w:bidi w:val="0"/>
              <w:spacing w:before="0" w:after="283"/>
              <w:rPr/>
            </w:pPr>
            <w:r>
              <w:rPr>
                <w:rStyle w:val="Strong"/>
              </w:rPr>
              <w:t>5.13</w:t>
            </w:r>
            <w:r>
              <w:rPr/>
              <w:t xml:space="preserve"> 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tc>
        <w:tc>
          <w:tcPr>
            <w:tcW w:w="7796" w:type="dxa"/>
            <w:tcBorders/>
            <w:vAlign w:val="center"/>
          </w:tcPr>
          <w:p>
            <w:pPr>
              <w:pStyle w:val="TableContents"/>
              <w:bidi w:val="0"/>
              <w:spacing w:before="0" w:after="283"/>
              <w:rPr/>
            </w:pPr>
            <w:r>
              <w:rPr>
                <w:rStyle w:val="Strong"/>
              </w:rPr>
              <w:t>5.13</w:t>
            </w:r>
            <w:r>
              <w:rPr/>
              <w:t xml:space="preserve"> Technical installations, maintenance, operation. The Buyer acknowledges that the two elevators in house 4, the roof and bath ventilators, the drainage and lifting systems of the underground car park, the underground car park ventilation, the smoke extraction devices, the heating and hot water technology, metering and measuring systems and any charging or photovoltaic infrastructure require regular maintenance. The Seller or the first administrator is entitled to conclude maintenance, operation management, measurement and energy delivery contracts with Kannenberg Wärme GmbH, Lift &amp; Service Nordost GmbH, ParkTec Garage GmbH and measurement service providers with an initial term of up to seven years in order to ensure the initial operating phase. The costs incurred shall be borne by the owners in accordance with the declaration of division.</w:t>
            </w:r>
          </w:p>
        </w:tc>
      </w:tr>
      <w:tr>
        <w:trPr/>
        <w:tc>
          <w:tcPr>
            <w:tcW w:w="7738" w:type="dxa"/>
            <w:tcBorders/>
            <w:vAlign w:val="center"/>
          </w:tcPr>
          <w:p>
            <w:pPr>
              <w:pStyle w:val="TableContents"/>
              <w:bidi w:val="0"/>
              <w:spacing w:before="0" w:after="283"/>
              <w:rPr/>
            </w:pPr>
            <w:r>
              <w:rPr>
                <w:rStyle w:val="Strong"/>
              </w:rPr>
              <w:t>5.14</w:t>
            </w:r>
            <w:r>
              <w:rPr/>
              <w:t xml:space="preserve"> 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tc>
        <w:tc>
          <w:tcPr>
            <w:tcW w:w="7796" w:type="dxa"/>
            <w:tcBorders/>
            <w:vAlign w:val="center"/>
          </w:tcPr>
          <w:p>
            <w:pPr>
              <w:pStyle w:val="TableContents"/>
              <w:bidi w:val="0"/>
              <w:spacing w:before="0" w:after="283"/>
              <w:rPr/>
            </w:pPr>
            <w:r>
              <w:rPr>
                <w:rStyle w:val="Strong"/>
              </w:rPr>
              <w:t>5.14</w:t>
            </w:r>
            <w:r>
              <w:rPr/>
              <w:t xml:space="preserve"> Cost adjustment for ex post requirements. If, after certification, on the basis of public law requirements for House 4, conditions of funding, changed requirements for heat supply, charging infrastructure, drainage, fire protection technology, underground ventilation or as a result of the updating of the specialist planning, measures are necessary or technically initiated for the completion of House 4 and TG-127, which were not included in the calculation of the Seller, the Seller may request an adjustment of the cost items affected thereby. The Seller will explain the adjustment to the Buyer in text form in relation to the trade concerned; a disclosure of the overall calculation of the project is not owed.</w:t>
            </w:r>
          </w:p>
        </w:tc>
      </w:tr>
      <w:tr>
        <w:trPr/>
        <w:tc>
          <w:tcPr>
            <w:tcW w:w="7738" w:type="dxa"/>
            <w:tcBorders/>
            <w:vAlign w:val="center"/>
          </w:tcPr>
          <w:p>
            <w:pPr>
              <w:pStyle w:val="TableContents"/>
              <w:bidi w:val="0"/>
              <w:spacing w:before="0" w:after="283"/>
              <w:rPr/>
            </w:pPr>
            <w:r>
              <w:rPr>
                <w:rStyle w:val="Strong"/>
              </w:rPr>
              <w:t>5.15</w:t>
            </w:r>
            <w:r>
              <w:rPr/>
              <w:t xml:space="preserve"> 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tc>
        <w:tc>
          <w:tcPr>
            <w:tcW w:w="7796" w:type="dxa"/>
            <w:tcBorders/>
            <w:vAlign w:val="center"/>
          </w:tcPr>
          <w:p>
            <w:pPr>
              <w:pStyle w:val="TableContents"/>
              <w:bidi w:val="0"/>
              <w:spacing w:before="0" w:after="283"/>
              <w:rPr/>
            </w:pPr>
            <w:r>
              <w:rPr>
                <w:rStyle w:val="Strong"/>
              </w:rPr>
              <w:t>5.15</w:t>
            </w:r>
            <w:r>
              <w:rPr/>
              <w:t xml:space="preserve"> The Buyer declares that he has not been given any commitments by sales representatives or other agents or employees of the Seller regarding the design of the Purchased Property that are not the subject of this contract or the documents referred to in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2" w:name="wirtschaftlicher-besitzübergang-abnahme-"/>
            <w:bookmarkEnd w:id="22"/>
            <w:r>
              <w:rPr/>
              <w:t>§ 6 Wirtschaftlicher Besitzübergang, Abnahme, Schlüsselübergabe</w:t>
            </w:r>
          </w:p>
        </w:tc>
        <w:tc>
          <w:tcPr>
            <w:tcW w:w="7796" w:type="dxa"/>
            <w:tcBorders/>
            <w:vAlign w:val="center"/>
          </w:tcPr>
          <w:p>
            <w:pPr>
              <w:pStyle w:val="Heading1"/>
              <w:bidi w:val="0"/>
              <w:spacing w:before="240" w:after="283"/>
              <w:ind w:hanging="0" w:start="0" w:end="0"/>
              <w:rPr/>
            </w:pPr>
            <w:bookmarkStart w:id="23" w:name="economic-transfer-of-ownership-acceptanc"/>
            <w:bookmarkEnd w:id="23"/>
            <w:r>
              <w:rPr/>
              <w:t>§ 6 Economic transfer of ownership, acceptance, transfer of keys</w:t>
            </w:r>
          </w:p>
        </w:tc>
      </w:tr>
      <w:tr>
        <w:trPr/>
        <w:tc>
          <w:tcPr>
            <w:tcW w:w="7738" w:type="dxa"/>
            <w:tcBorders/>
            <w:vAlign w:val="center"/>
          </w:tcPr>
          <w:p>
            <w:pPr>
              <w:pStyle w:val="TableContents"/>
              <w:bidi w:val="0"/>
              <w:spacing w:before="0" w:after="283"/>
              <w:rPr/>
            </w:pPr>
            <w:r>
              <w:rPr>
                <w:rStyle w:val="Strong"/>
              </w:rPr>
              <w:t>6.1</w:t>
            </w:r>
            <w:r>
              <w:rPr/>
              <w:t xml:space="preserve"> 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tc>
        <w:tc>
          <w:tcPr>
            <w:tcW w:w="7796" w:type="dxa"/>
            <w:tcBorders/>
            <w:vAlign w:val="center"/>
          </w:tcPr>
          <w:p>
            <w:pPr>
              <w:pStyle w:val="TableContents"/>
              <w:bidi w:val="0"/>
              <w:spacing w:before="0" w:after="283"/>
              <w:rPr/>
            </w:pPr>
            <w:r>
              <w:rPr>
                <w:rStyle w:val="Strong"/>
              </w:rPr>
              <w:t>6.1</w:t>
            </w:r>
            <w:r>
              <w:rPr/>
              <w:t xml:space="preserve"> Possession, use, loads, taxes, duties and dangers of the Purchased Property are transferred to the Buyer on the day of handover of the special ownership unit. The handover of the key requires that the Purchase Price and special request amounts due up to then are compensated or that there is an escrow or security agreement accepted by the Seller. Residual work and defects that do not prevent residential use are recorded in the handover protocol and eliminated in accordance with the technical procedures.</w:t>
            </w:r>
          </w:p>
        </w:tc>
      </w:tr>
      <w:tr>
        <w:trPr/>
        <w:tc>
          <w:tcPr>
            <w:tcW w:w="7738" w:type="dxa"/>
            <w:tcBorders/>
            <w:vAlign w:val="center"/>
          </w:tcPr>
          <w:p>
            <w:pPr>
              <w:pStyle w:val="TableContents"/>
              <w:bidi w:val="0"/>
              <w:spacing w:before="0" w:after="283"/>
              <w:rPr/>
            </w:pPr>
            <w:r>
              <w:rPr>
                <w:rStyle w:val="Strong"/>
              </w:rPr>
              <w:t>6.2</w:t>
            </w:r>
            <w:r>
              <w:rPr/>
              <w:t xml:space="preserve"> Abnahme der Sondereigentumseinheit</w:t>
            </w:r>
          </w:p>
        </w:tc>
        <w:tc>
          <w:tcPr>
            <w:tcW w:w="7796" w:type="dxa"/>
            <w:tcBorders/>
            <w:vAlign w:val="center"/>
          </w:tcPr>
          <w:p>
            <w:pPr>
              <w:pStyle w:val="TableContents"/>
              <w:bidi w:val="0"/>
              <w:spacing w:before="0" w:after="283"/>
              <w:rPr/>
            </w:pPr>
            <w:r>
              <w:rPr>
                <w:rStyle w:val="Strong"/>
              </w:rPr>
              <w:t>6.2</w:t>
            </w:r>
            <w:r>
              <w:rPr/>
              <w:t xml:space="preserve"> Acquisition of the special ownership unit</w:t>
            </w:r>
          </w:p>
        </w:tc>
      </w:tr>
      <w:tr>
        <w:trPr/>
        <w:tc>
          <w:tcPr>
            <w:tcW w:w="7738" w:type="dxa"/>
            <w:tcBorders/>
            <w:vAlign w:val="center"/>
          </w:tcPr>
          <w:p>
            <w:pPr>
              <w:pStyle w:val="TableContents"/>
              <w:bidi w:val="0"/>
              <w:spacing w:before="0" w:after="283"/>
              <w:rPr/>
            </w:pPr>
            <w:r>
              <w:rPr/>
              <w:t>6.2.1 Die Sondereigentumseinheit wird vor Bezug nach einer gemeinsamen Begehung abgenommen. Hierzu teilt der Verkäufer dem Käufer schriftlich die bezugsfertige Herstellung mit und fordert ihn unter Setzung einer Frist von zehn Tagen zur Begehung und Abnahme auf.</w:t>
            </w:r>
          </w:p>
        </w:tc>
        <w:tc>
          <w:tcPr>
            <w:tcW w:w="7796" w:type="dxa"/>
            <w:tcBorders/>
            <w:vAlign w:val="center"/>
          </w:tcPr>
          <w:p>
            <w:pPr>
              <w:pStyle w:val="TableContents"/>
              <w:bidi w:val="0"/>
              <w:spacing w:before="0" w:after="283"/>
              <w:rPr/>
            </w:pPr>
            <w:r>
              <w:rPr/>
              <w:t>6.2.1. The special ownership unit is removed before the move after a joint ascent. For this purpose, the Seller informs the Buyer in writing of the ready-to-occupy production and asks him, setting a period of ten days, for inspection and acceptance.</w:t>
            </w:r>
          </w:p>
        </w:tc>
      </w:tr>
      <w:tr>
        <w:trPr/>
        <w:tc>
          <w:tcPr>
            <w:tcW w:w="7738" w:type="dxa"/>
            <w:tcBorders/>
            <w:vAlign w:val="center"/>
          </w:tcPr>
          <w:p>
            <w:pPr>
              <w:pStyle w:val="TableContents"/>
              <w:bidi w:val="0"/>
              <w:spacing w:before="0" w:after="283"/>
              <w:rPr/>
            </w:pPr>
            <w:r>
              <w:rPr/>
              <w:t>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tc>
        <w:tc>
          <w:tcPr>
            <w:tcW w:w="7796" w:type="dxa"/>
            <w:tcBorders/>
            <w:vAlign w:val="center"/>
          </w:tcPr>
          <w:p>
            <w:pPr>
              <w:pStyle w:val="TableContents"/>
              <w:bidi w:val="0"/>
              <w:spacing w:before="0" w:after="283"/>
              <w:rPr/>
            </w:pPr>
            <w:r>
              <w:rPr/>
              <w:t>If the Buyer does not appear on the notified date or refuses to sign the minutes without specifying in text form at least one significant defect contrary to acceptance, the special ownership unit shall be deemed to have been accepted on expiry of the date. The acceptance inducement may refer to this Regulation in order to avoid repetitions.</w:t>
            </w:r>
          </w:p>
        </w:tc>
      </w:tr>
      <w:tr>
        <w:trPr/>
        <w:tc>
          <w:tcPr>
            <w:tcW w:w="7738" w:type="dxa"/>
            <w:tcBorders/>
            <w:vAlign w:val="center"/>
          </w:tcPr>
          <w:p>
            <w:pPr>
              <w:pStyle w:val="TableContents"/>
              <w:bidi w:val="0"/>
              <w:spacing w:before="0" w:after="283"/>
              <w:rPr/>
            </w:pPr>
            <w:r>
              <w:rPr/>
              <w:t>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tc>
        <w:tc>
          <w:tcPr>
            <w:tcW w:w="7796" w:type="dxa"/>
            <w:tcBorders/>
            <w:vAlign w:val="center"/>
          </w:tcPr>
          <w:p>
            <w:pPr>
              <w:pStyle w:val="TableContents"/>
              <w:bidi w:val="0"/>
              <w:spacing w:before="0" w:after="283"/>
              <w:rPr/>
            </w:pPr>
            <w:r>
              <w:rPr/>
              <w:t>6.2.2 Minor irregularities, optical deviations within craft tolerances and residual points, the elimination of which does not appreciably affect the suitability for use, do not prevent acceptance. The parties assume that such points are processed within the framework of normal follow-up processing.</w:t>
            </w:r>
          </w:p>
        </w:tc>
      </w:tr>
      <w:tr>
        <w:trPr/>
        <w:tc>
          <w:tcPr>
            <w:tcW w:w="7738" w:type="dxa"/>
            <w:tcBorders/>
            <w:vAlign w:val="center"/>
          </w:tcPr>
          <w:p>
            <w:pPr>
              <w:pStyle w:val="TableContents"/>
              <w:bidi w:val="0"/>
              <w:spacing w:before="0" w:after="283"/>
              <w:rPr/>
            </w:pPr>
            <w:r>
              <w:rPr>
                <w:rStyle w:val="Strong"/>
              </w:rPr>
              <w:t>6.3</w:t>
            </w:r>
            <w:r>
              <w:rPr/>
              <w:t xml:space="preserve"> Abnahme des Gemeinschaftseigentums</w:t>
            </w:r>
          </w:p>
        </w:tc>
        <w:tc>
          <w:tcPr>
            <w:tcW w:w="7796" w:type="dxa"/>
            <w:tcBorders/>
            <w:vAlign w:val="center"/>
          </w:tcPr>
          <w:p>
            <w:pPr>
              <w:pStyle w:val="TableContents"/>
              <w:bidi w:val="0"/>
              <w:spacing w:before="0" w:after="283"/>
              <w:rPr/>
            </w:pPr>
            <w:r>
              <w:rPr>
                <w:rStyle w:val="Strong"/>
              </w:rPr>
              <w:t>6.3</w:t>
            </w:r>
            <w:r>
              <w:rPr/>
              <w:t xml:space="preserve"> Acceptance of joint ownership</w:t>
            </w:r>
          </w:p>
        </w:tc>
      </w:tr>
      <w:tr>
        <w:trPr/>
        <w:tc>
          <w:tcPr>
            <w:tcW w:w="7738" w:type="dxa"/>
            <w:tcBorders/>
            <w:vAlign w:val="center"/>
          </w:tcPr>
          <w:p>
            <w:pPr>
              <w:pStyle w:val="TableContents"/>
              <w:bidi w:val="0"/>
              <w:spacing w:before="0" w:after="283"/>
              <w:rPr/>
            </w:pPr>
            <w:r>
              <w:rPr/>
              <w:t>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tc>
        <w:tc>
          <w:tcPr>
            <w:tcW w:w="7796" w:type="dxa"/>
            <w:tcBorders/>
            <w:vAlign w:val="center"/>
          </w:tcPr>
          <w:p>
            <w:pPr>
              <w:pStyle w:val="TableContents"/>
              <w:bidi w:val="0"/>
              <w:spacing w:before="0" w:after="283"/>
              <w:rPr/>
            </w:pPr>
            <w:r>
              <w:rPr/>
              <w:t>6.3.1 In order to ensure a uniform and technically coordinated acceptance of the joint property, the initial administration appointed by the Seller will prepare the acceptance organizationally and inform the buyers about this. It shall be entitled to submit the acceptance declaration for the Community unless the acquirer group appoints a different representative before the acceptance date.</w:t>
            </w:r>
          </w:p>
        </w:tc>
      </w:tr>
      <w:tr>
        <w:trPr/>
        <w:tc>
          <w:tcPr>
            <w:tcW w:w="7738" w:type="dxa"/>
            <w:tcBorders/>
            <w:vAlign w:val="center"/>
          </w:tcPr>
          <w:p>
            <w:pPr>
              <w:pStyle w:val="TableContents"/>
              <w:bidi w:val="0"/>
              <w:spacing w:before="0" w:after="283"/>
              <w:rPr/>
            </w:pPr>
            <w:r>
              <w:rPr/>
              <w:t>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tc>
        <w:tc>
          <w:tcPr>
            <w:tcW w:w="7796" w:type="dxa"/>
            <w:tcBorders/>
            <w:vAlign w:val="center"/>
          </w:tcPr>
          <w:p>
            <w:pPr>
              <w:pStyle w:val="TableContents"/>
              <w:bidi w:val="0"/>
              <w:spacing w:before="0" w:after="283"/>
              <w:rPr/>
            </w:pPr>
            <w:r>
              <w:rPr/>
              <w:t>6.3.2. The initial administration will use a publicly appointed and sworn or comparable qualified expert who will be appointed from a list proposed by the Seller. The costs of the expert shall be treated as the costs of the initial commissioning of the joint ownership.</w:t>
            </w:r>
          </w:p>
        </w:tc>
      </w:tr>
      <w:tr>
        <w:trPr/>
        <w:tc>
          <w:tcPr>
            <w:tcW w:w="7738" w:type="dxa"/>
            <w:tcBorders/>
            <w:vAlign w:val="center"/>
          </w:tcPr>
          <w:p>
            <w:pPr>
              <w:pStyle w:val="TableContents"/>
              <w:bidi w:val="0"/>
              <w:spacing w:before="0" w:after="283"/>
              <w:rPr/>
            </w:pPr>
            <w:r>
              <w:rPr/>
              <w:t>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tc>
        <w:tc>
          <w:tcPr>
            <w:tcW w:w="7796" w:type="dxa"/>
            <w:tcBorders/>
            <w:vAlign w:val="center"/>
          </w:tcPr>
          <w:p>
            <w:pPr>
              <w:pStyle w:val="TableContents"/>
              <w:bidi w:val="0"/>
              <w:spacing w:before="0" w:after="283"/>
              <w:rPr/>
            </w:pPr>
            <w:r>
              <w:rPr/>
              <w:t>6.3.3 After transmission of the expert report and the acceptance declaration to the initial administration, the acceptance of the joint property to the acquirers shall be deemed to have taken place, unless within ten banking working days material obstacles to acceptance not taken into account in the report are specified in writing.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4" w:name="erschließungskosten"/>
            <w:bookmarkEnd w:id="24"/>
            <w:r>
              <w:rPr/>
              <w:t>§ 7 Erschließungskosten</w:t>
            </w:r>
          </w:p>
        </w:tc>
        <w:tc>
          <w:tcPr>
            <w:tcW w:w="7796" w:type="dxa"/>
            <w:tcBorders/>
            <w:vAlign w:val="center"/>
          </w:tcPr>
          <w:p>
            <w:pPr>
              <w:pStyle w:val="Heading1"/>
              <w:bidi w:val="0"/>
              <w:spacing w:before="240" w:after="283"/>
              <w:ind w:hanging="0" w:start="0" w:end="0"/>
              <w:rPr/>
            </w:pPr>
            <w:bookmarkStart w:id="25" w:name="development-costs"/>
            <w:bookmarkEnd w:id="25"/>
            <w:r>
              <w:rPr/>
              <w:t>§ 7 Development costs</w:t>
            </w:r>
          </w:p>
        </w:tc>
      </w:tr>
      <w:tr>
        <w:trPr/>
        <w:tc>
          <w:tcPr>
            <w:tcW w:w="7738" w:type="dxa"/>
            <w:tcBorders/>
            <w:vAlign w:val="center"/>
          </w:tcPr>
          <w:p>
            <w:pPr>
              <w:pStyle w:val="TableContents"/>
              <w:bidi w:val="0"/>
              <w:spacing w:before="0" w:after="283"/>
              <w:rPr/>
            </w:pPr>
            <w:r>
              <w:rPr>
                <w:rStyle w:val="Strong"/>
              </w:rPr>
              <w:t>7.1</w:t>
            </w:r>
            <w:r>
              <w:rPr/>
              <w:t xml:space="preserve"> 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tc>
        <w:tc>
          <w:tcPr>
            <w:tcW w:w="7796" w:type="dxa"/>
            <w:tcBorders/>
            <w:vAlign w:val="center"/>
          </w:tcPr>
          <w:p>
            <w:pPr>
              <w:pStyle w:val="TableContents"/>
              <w:bidi w:val="0"/>
              <w:spacing w:before="0" w:after="283"/>
              <w:rPr/>
            </w:pPr>
            <w:r>
              <w:rPr>
                <w:rStyle w:val="Strong"/>
              </w:rPr>
              <w:t>7.1</w:t>
            </w:r>
            <w:r>
              <w:rPr/>
              <w:t xml:space="preserve"> All costs of the development and the first connections of the Purchased Property to supply and disposal facilities including drinking water, dirty water, rainwater, electricity, heat supply, telecommunications, access road “Am Birkenpfuhl”, pavement restoration, street lighting, production contributions and taxes according to the relevant municipal statutes and state tax regulations shall be borne by the Buyer in proportion to his co-ownership of 184/100 000.</w:t>
            </w:r>
          </w:p>
        </w:tc>
      </w:tr>
      <w:tr>
        <w:trPr/>
        <w:tc>
          <w:tcPr>
            <w:tcW w:w="7738" w:type="dxa"/>
            <w:tcBorders/>
            <w:vAlign w:val="center"/>
          </w:tcPr>
          <w:p>
            <w:pPr>
              <w:pStyle w:val="TableContents"/>
              <w:bidi w:val="0"/>
              <w:spacing w:before="0" w:after="283"/>
              <w:rPr/>
            </w:pPr>
            <w:r>
              <w:rPr>
                <w:rStyle w:val="Strong"/>
              </w:rPr>
              <w:t>7.2</w:t>
            </w:r>
            <w:r>
              <w:rPr/>
              <w:t xml:space="preserve"> 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tc>
        <w:tc>
          <w:tcPr>
            <w:tcW w:w="7796" w:type="dxa"/>
            <w:tcBorders/>
            <w:vAlign w:val="center"/>
          </w:tcPr>
          <w:p>
            <w:pPr>
              <w:pStyle w:val="TableContents"/>
              <w:bidi w:val="0"/>
              <w:spacing w:before="0" w:after="283"/>
              <w:rPr/>
            </w:pPr>
            <w:r>
              <w:rPr>
                <w:rStyle w:val="Strong"/>
              </w:rPr>
              <w:t>7.2</w:t>
            </w:r>
            <w:r>
              <w:rPr/>
              <w:t xml:space="preserve"> The amount of development and connection costs incurred by the Buyer cannot be definitively quantified at the time of the deed. Subject to final settlement, the Seller estimates the charge to be between EUR 28 000.00 and EUR 42 000.00.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6" w:name="zutritt-zur-baustelle"/>
            <w:bookmarkEnd w:id="26"/>
            <w:r>
              <w:rPr/>
              <w:t>§ 8 Zutritt zur Baustelle</w:t>
            </w:r>
          </w:p>
        </w:tc>
        <w:tc>
          <w:tcPr>
            <w:tcW w:w="7796" w:type="dxa"/>
            <w:tcBorders/>
            <w:vAlign w:val="center"/>
          </w:tcPr>
          <w:p>
            <w:pPr>
              <w:pStyle w:val="Heading1"/>
              <w:bidi w:val="0"/>
              <w:spacing w:before="240" w:after="283"/>
              <w:ind w:hanging="0" w:start="0" w:end="0"/>
              <w:rPr/>
            </w:pPr>
            <w:bookmarkStart w:id="27" w:name="access-to-the-construction-site"/>
            <w:bookmarkEnd w:id="27"/>
            <w:r>
              <w:rPr/>
              <w:t>§ 8 Access to the construction site</w:t>
            </w:r>
          </w:p>
        </w:tc>
      </w:tr>
      <w:tr>
        <w:trPr/>
        <w:tc>
          <w:tcPr>
            <w:tcW w:w="7738" w:type="dxa"/>
            <w:tcBorders/>
            <w:vAlign w:val="center"/>
          </w:tcPr>
          <w:p>
            <w:pPr>
              <w:pStyle w:val="TableContents"/>
              <w:bidi w:val="0"/>
              <w:spacing w:before="0" w:after="283"/>
              <w:rPr/>
            </w:pPr>
            <w:r>
              <w:rPr>
                <w:rStyle w:val="Strong"/>
              </w:rPr>
              <w:t>8.1</w:t>
            </w:r>
            <w:r>
              <w:rPr/>
              <w:t xml:space="preserve"> 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tc>
        <w:tc>
          <w:tcPr>
            <w:tcW w:w="7796" w:type="dxa"/>
            <w:tcBorders/>
            <w:vAlign w:val="center"/>
          </w:tcPr>
          <w:p>
            <w:pPr>
              <w:pStyle w:val="TableContents"/>
              <w:bidi w:val="0"/>
              <w:spacing w:before="0" w:after="283"/>
              <w:rPr/>
            </w:pPr>
            <w:r>
              <w:rPr>
                <w:rStyle w:val="Strong"/>
              </w:rPr>
              <w:t>8.1</w:t>
            </w:r>
            <w:r>
              <w:rPr/>
              <w:t xml:space="preserve"> The Buyer may enter the property during the construction period for reasons of traffic safety, occupational safety and orderly construction only after prior agreement with the Seller via the access “Bauzaun Tor West”. The Seller offers the Buyer up to two accompanied visiting dates before the ability to purchase house 4 and an appointment for the acceptance of the special ownership unit; Regular time windows are Tuesdays and Thursdays between 09:00 and 12:00, as far as crane and delivery traffic allow. Further dates may be made possible, in particular for the installment milestones of shell construction, window installation, screed and reference skill, provided that construction processes, crane and delivery traffic, safety requirements, subcontractor interests, data protection and the distribution of other units are not affected.</w:t>
            </w:r>
          </w:p>
        </w:tc>
      </w:tr>
      <w:tr>
        <w:trPr/>
        <w:tc>
          <w:tcPr>
            <w:tcW w:w="7738" w:type="dxa"/>
            <w:tcBorders/>
            <w:vAlign w:val="center"/>
          </w:tcPr>
          <w:p>
            <w:pPr>
              <w:pStyle w:val="TableContents"/>
              <w:bidi w:val="0"/>
              <w:spacing w:before="0" w:after="283"/>
              <w:rPr/>
            </w:pPr>
            <w:r>
              <w:rPr>
                <w:rStyle w:val="Strong"/>
              </w:rPr>
              <w:t>8.2</w:t>
            </w:r>
            <w:r>
              <w:rPr/>
              <w:t xml:space="preserve"> 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tc>
        <w:tc>
          <w:tcPr>
            <w:tcW w:w="7796" w:type="dxa"/>
            <w:tcBorders/>
            <w:vAlign w:val="center"/>
          </w:tcPr>
          <w:p>
            <w:pPr>
              <w:pStyle w:val="TableContents"/>
              <w:bidi w:val="0"/>
              <w:spacing w:before="0" w:after="283"/>
              <w:rPr/>
            </w:pPr>
            <w:r>
              <w:rPr>
                <w:rStyle w:val="Strong"/>
              </w:rPr>
              <w:t>8.2</w:t>
            </w:r>
            <w:r>
              <w:rPr/>
              <w:t xml:space="preserve"> The Buyer may consult a private expert on the dates permitted pursuant to § 8.1, provided that he is nominated to the Seller no later than five bank working days before the date, proves suitable insurance coverage and undertakes not to issue instructions to construction parties, not to open components and not to take photos of foreign units, employees, subcontractors or security-relevant facilities. Findings of the private expert are examined by the Seller, but do not have any binding effect for the site supervision of the Seller and affect the maturity of requested installments only with a timely, auditable and related to the specific installment milestone.</w:t>
            </w:r>
          </w:p>
        </w:tc>
      </w:tr>
      <w:tr>
        <w:trPr/>
        <w:tc>
          <w:tcPr>
            <w:tcW w:w="7738" w:type="dxa"/>
            <w:tcBorders/>
            <w:vAlign w:val="center"/>
          </w:tcPr>
          <w:p>
            <w:pPr>
              <w:pStyle w:val="TableContents"/>
              <w:bidi w:val="0"/>
              <w:spacing w:before="0" w:after="283"/>
              <w:rPr/>
            </w:pPr>
            <w:r>
              <w:rPr>
                <w:rStyle w:val="Strong"/>
              </w:rPr>
              <w:t>8.3</w:t>
            </w:r>
            <w:r>
              <w:rPr/>
              <w:t xml:space="preserve"> 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tc>
        <w:tc>
          <w:tcPr>
            <w:tcW w:w="7796" w:type="dxa"/>
            <w:tcBorders/>
            <w:vAlign w:val="center"/>
          </w:tcPr>
          <w:p>
            <w:pPr>
              <w:pStyle w:val="TableContents"/>
              <w:bidi w:val="0"/>
              <w:spacing w:before="0" w:after="283"/>
              <w:rPr/>
            </w:pPr>
            <w:r>
              <w:rPr>
                <w:rStyle w:val="Strong"/>
              </w:rPr>
              <w:t>8.3</w:t>
            </w:r>
            <w:r>
              <w:rPr/>
              <w:t xml:space="preserve"> In the event of breaches of the access and conduct regulations, the Seller may make further construction site dates subject to additional security requirements and claim a flat-rate processing and security cost share of EUR 2 500.00 for each culpable breach. The Buyer is reserved the proof of a lower effort.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8" w:name="haftung-mängelrechte-verzug-verjährung"/>
            <w:bookmarkEnd w:id="28"/>
            <w:r>
              <w:rPr/>
              <w:t>§ 9 Haftung, Mängelrechte, Verzug, Verjährung</w:t>
            </w:r>
          </w:p>
        </w:tc>
        <w:tc>
          <w:tcPr>
            <w:tcW w:w="7796" w:type="dxa"/>
            <w:tcBorders/>
            <w:vAlign w:val="center"/>
          </w:tcPr>
          <w:p>
            <w:pPr>
              <w:pStyle w:val="Heading1"/>
              <w:bidi w:val="0"/>
              <w:spacing w:before="240" w:after="283"/>
              <w:ind w:hanging="0" w:start="0" w:end="0"/>
              <w:rPr/>
            </w:pPr>
            <w:bookmarkStart w:id="29" w:name="liability-rights-of-defects-delay-limita"/>
            <w:bookmarkEnd w:id="29"/>
            <w:r>
              <w:rPr/>
              <w:t>§ 9 Liability, rights of defects, delay, limitation period</w:t>
            </w:r>
          </w:p>
        </w:tc>
      </w:tr>
      <w:tr>
        <w:trPr/>
        <w:tc>
          <w:tcPr>
            <w:tcW w:w="7738" w:type="dxa"/>
            <w:tcBorders/>
            <w:vAlign w:val="center"/>
          </w:tcPr>
          <w:p>
            <w:pPr>
              <w:pStyle w:val="TableContents"/>
              <w:bidi w:val="0"/>
              <w:spacing w:before="0" w:after="283"/>
              <w:rPr/>
            </w:pPr>
            <w:r>
              <w:rPr>
                <w:rStyle w:val="Strong"/>
              </w:rPr>
              <w:t>9.1</w:t>
            </w:r>
            <w:r>
              <w:rPr/>
              <w:t xml:space="preserve"> Der Verkäufer schuldet den lastenfreien Besitz- und Eigentumsübergang des Vertragsgegenstandes, soweit nicht Lasten und Rechte ausdrücklich übernommen werden.</w:t>
            </w:r>
          </w:p>
        </w:tc>
        <w:tc>
          <w:tcPr>
            <w:tcW w:w="7796" w:type="dxa"/>
            <w:tcBorders/>
            <w:vAlign w:val="center"/>
          </w:tcPr>
          <w:p>
            <w:pPr>
              <w:pStyle w:val="TableContents"/>
              <w:bidi w:val="0"/>
              <w:spacing w:before="0" w:after="283"/>
              <w:rPr/>
            </w:pPr>
            <w:r>
              <w:rPr>
                <w:rStyle w:val="Strong"/>
              </w:rPr>
              <w:t>9.1</w:t>
            </w:r>
            <w:r>
              <w:rPr/>
              <w:t xml:space="preserve"> The Seller shall be liable for the transfer of ownership and ownership of the subject-matter of the contract free of charge, insofar as loads and rights are not expressly assumed.</w:t>
            </w:r>
          </w:p>
        </w:tc>
      </w:tr>
      <w:tr>
        <w:trPr/>
        <w:tc>
          <w:tcPr>
            <w:tcW w:w="7738" w:type="dxa"/>
            <w:tcBorders/>
            <w:vAlign w:val="center"/>
          </w:tcPr>
          <w:p>
            <w:pPr>
              <w:pStyle w:val="TableContents"/>
              <w:bidi w:val="0"/>
              <w:spacing w:before="0" w:after="283"/>
              <w:rPr/>
            </w:pPr>
            <w:r>
              <w:rPr>
                <w:rStyle w:val="Strong"/>
              </w:rPr>
              <w:t>9.2</w:t>
            </w:r>
            <w:r>
              <w:rPr/>
              <w:t xml:space="preserve"> Der Verkäufer schuldet weder die Verwendbarkeit des Kaufgegenstandes für Zwecke des Käufers noch dessen Eignung zur Erreichung steuerlicher Ziele des Käufers.</w:t>
            </w:r>
          </w:p>
        </w:tc>
        <w:tc>
          <w:tcPr>
            <w:tcW w:w="7796" w:type="dxa"/>
            <w:tcBorders/>
            <w:vAlign w:val="center"/>
          </w:tcPr>
          <w:p>
            <w:pPr>
              <w:pStyle w:val="TableContents"/>
              <w:bidi w:val="0"/>
              <w:spacing w:before="0" w:after="283"/>
              <w:rPr/>
            </w:pPr>
            <w:r>
              <w:rPr>
                <w:rStyle w:val="Strong"/>
              </w:rPr>
              <w:t>9.2</w:t>
            </w:r>
            <w:r>
              <w:rPr/>
              <w:t xml:space="preserve"> The Seller owes neither the usability of the Purchased Property for the purposes of the Buyer nor its suitability for achieving the Buyer’s tax objectives.</w:t>
            </w:r>
          </w:p>
        </w:tc>
      </w:tr>
      <w:tr>
        <w:trPr/>
        <w:tc>
          <w:tcPr>
            <w:tcW w:w="7738" w:type="dxa"/>
            <w:tcBorders/>
            <w:vAlign w:val="center"/>
          </w:tcPr>
          <w:p>
            <w:pPr>
              <w:pStyle w:val="TableContents"/>
              <w:bidi w:val="0"/>
              <w:spacing w:before="0" w:after="283"/>
              <w:rPr/>
            </w:pPr>
            <w:r>
              <w:rPr>
                <w:rStyle w:val="Strong"/>
              </w:rPr>
              <w:t>9.3</w:t>
            </w:r>
            <w:r>
              <w:rPr/>
              <w:t xml:space="preserve"> Alle Ansprüche und Rechte des Käufers wegen eines Sachmangels des Grundstücks sind ausgeschlossen, ausgenommen Schadensersatzansprüche wegen Vorsatzes.</w:t>
            </w:r>
          </w:p>
        </w:tc>
        <w:tc>
          <w:tcPr>
            <w:tcW w:w="7796" w:type="dxa"/>
            <w:tcBorders/>
            <w:vAlign w:val="center"/>
          </w:tcPr>
          <w:p>
            <w:pPr>
              <w:pStyle w:val="TableContents"/>
              <w:bidi w:val="0"/>
              <w:spacing w:before="0" w:after="283"/>
              <w:rPr/>
            </w:pPr>
            <w:r>
              <w:rPr>
                <w:rStyle w:val="Strong"/>
              </w:rPr>
              <w:t>9.3</w:t>
            </w:r>
            <w:r>
              <w:rPr/>
              <w:t xml:space="preserve"> All claims and rights of the Buyer due to a material defect of the property are excluded, except damage claims due to intent.</w:t>
            </w:r>
          </w:p>
        </w:tc>
      </w:tr>
      <w:tr>
        <w:trPr/>
        <w:tc>
          <w:tcPr>
            <w:tcW w:w="7738" w:type="dxa"/>
            <w:tcBorders/>
            <w:vAlign w:val="center"/>
          </w:tcPr>
          <w:p>
            <w:pPr>
              <w:pStyle w:val="TableContents"/>
              <w:bidi w:val="0"/>
              <w:spacing w:before="0" w:after="283"/>
              <w:rPr/>
            </w:pPr>
            <w:r>
              <w:rPr>
                <w:rStyle w:val="Strong"/>
              </w:rPr>
              <w:t>9.4</w:t>
            </w:r>
            <w:r>
              <w:rPr/>
              <w:t xml:space="preserve"> Hinsichtlich des herzustellenden Bauwerks gelten die Regelungen des Werkvertragsrechts gem. §§ 633 ff. BGB mit folgender Maßgabe und zur Sicherung einer geordneten Gewährleistungsabwicklung:</w:t>
            </w:r>
          </w:p>
        </w:tc>
        <w:tc>
          <w:tcPr>
            <w:tcW w:w="7796" w:type="dxa"/>
            <w:tcBorders/>
            <w:vAlign w:val="center"/>
          </w:tcPr>
          <w:p>
            <w:pPr>
              <w:pStyle w:val="TableContents"/>
              <w:bidi w:val="0"/>
              <w:spacing w:before="0" w:after="283"/>
              <w:rPr/>
            </w:pPr>
            <w:r>
              <w:rPr>
                <w:rStyle w:val="Strong"/>
              </w:rPr>
              <w:t>9.4</w:t>
            </w:r>
            <w:r>
              <w:rPr/>
              <w:t xml:space="preserve"> With regard to the building to be produced, the provisions of the Work Contract Law acc. §§ 633 ff. BGB with the following provisions and to ensure an orderly warranty processing:</w:t>
            </w:r>
          </w:p>
        </w:tc>
      </w:tr>
      <w:tr>
        <w:trPr/>
        <w:tc>
          <w:tcPr>
            <w:tcW w:w="7738" w:type="dxa"/>
            <w:tcBorders/>
            <w:vAlign w:val="center"/>
          </w:tcPr>
          <w:p>
            <w:pPr>
              <w:pStyle w:val="TableContents"/>
              <w:numPr>
                <w:ilvl w:val="0"/>
                <w:numId w:val="8"/>
              </w:numPr>
              <w:tabs>
                <w:tab w:val="clear" w:pos="1134"/>
                <w:tab w:val="left" w:pos="709" w:leader="none"/>
              </w:tabs>
              <w:bidi w:val="0"/>
              <w:spacing w:before="0" w:after="0"/>
              <w:ind w:hanging="283" w:start="709"/>
              <w:rPr/>
            </w:pPr>
            <w:r>
              <w:rPr/>
              <w:t xml:space="preserve">Mängelanzeigen sind mit konkreter Beschreibung, Lageangabe innerhalb der Wohnung 4.27, Foto und gewünschter Kontaktaufnahme an die vom Verkäufer benannte Gewährleistungsstelle </w:t>
            </w:r>
            <w:r>
              <w:rPr>
                <w:rStyle w:val="SourceText"/>
              </w:rPr>
              <w:t>gewaehrleistung-birkenpfuhl@hq-projekt.de</w:t>
            </w:r>
            <w:r>
              <w:rPr/>
              <w:t xml:space="preserve"> zu richten. </w:t>
            </w:r>
          </w:p>
          <w:p>
            <w:pPr>
              <w:pStyle w:val="TableContents"/>
              <w:numPr>
                <w:ilvl w:val="0"/>
                <w:numId w:val="8"/>
              </w:numPr>
              <w:tabs>
                <w:tab w:val="clear" w:pos="1134"/>
                <w:tab w:val="left" w:pos="709" w:leader="none"/>
              </w:tabs>
              <w:bidi w:val="0"/>
              <w:spacing w:before="0" w:after="0"/>
              <w:ind w:hanging="283" w:start="709"/>
              <w:rPr/>
            </w:pPr>
            <w:r>
              <w:rPr/>
              <w:t xml:space="preserve">Der Käufer wird dem Verkäufer zunächst Gelegenheit zur Prüfung und Nacherfüllung geben; Ersatzvornahmen vor Abschluss dieser Prüfung sind nur bei Gefahr im Verzug oder nach schriftlicher Freigabe des Verkäufers erstattungsfähig. </w:t>
            </w:r>
          </w:p>
          <w:p>
            <w:pPr>
              <w:pStyle w:val="TableContents"/>
              <w:numPr>
                <w:ilvl w:val="0"/>
                <w:numId w:val="8"/>
              </w:numPr>
              <w:tabs>
                <w:tab w:val="clear" w:pos="1134"/>
                <w:tab w:val="left" w:pos="709" w:leader="none"/>
              </w:tabs>
              <w:bidi w:val="0"/>
              <w:spacing w:before="0" w:after="0"/>
              <w:ind w:hanging="283" w:start="709"/>
              <w:rPr/>
            </w:pPr>
            <w:r>
              <w:rP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 </w:t>
            </w:r>
          </w:p>
          <w:p>
            <w:pPr>
              <w:pStyle w:val="TableContents"/>
              <w:numPr>
                <w:ilvl w:val="0"/>
                <w:numId w:val="8"/>
              </w:numPr>
              <w:tabs>
                <w:tab w:val="clear" w:pos="1134"/>
                <w:tab w:val="left" w:pos="709" w:leader="none"/>
              </w:tabs>
              <w:bidi w:val="0"/>
              <w:spacing w:before="0" w:after="0"/>
              <w:ind w:hanging="283" w:start="709"/>
              <w:rPr/>
            </w:pPr>
            <w:r>
              <w:rP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 </w:t>
            </w:r>
          </w:p>
          <w:p>
            <w:pPr>
              <w:pStyle w:val="TableContents"/>
              <w:numPr>
                <w:ilvl w:val="0"/>
                <w:numId w:val="8"/>
              </w:numPr>
              <w:tabs>
                <w:tab w:val="clear" w:pos="1134"/>
                <w:tab w:val="left" w:pos="709" w:leader="none"/>
              </w:tabs>
              <w:bidi w:val="0"/>
              <w:spacing w:before="0" w:after="283"/>
              <w:ind w:hanging="283" w:start="709"/>
              <w:rPr/>
            </w:pPr>
            <w:r>
              <w:rPr/>
              <w:t xml:space="preserve">Die Verjährungsfrist für Mängelansprüche beträgt zwei Jahre ab der vom Verkäufer dokumentierten Abnahmebestätigung, soweit zwingendes Recht keine längere Frist vorschreibt. </w:t>
            </w:r>
          </w:p>
        </w:tc>
        <w:tc>
          <w:tcPr>
            <w:tcW w:w="7796" w:type="dxa"/>
            <w:tcBorders/>
            <w:vAlign w:val="center"/>
          </w:tcPr>
          <w:p>
            <w:pPr>
              <w:pStyle w:val="TableContents"/>
              <w:numPr>
                <w:ilvl w:val="0"/>
                <w:numId w:val="9"/>
              </w:numPr>
              <w:tabs>
                <w:tab w:val="clear" w:pos="1134"/>
                <w:tab w:val="left" w:pos="709" w:leader="none"/>
              </w:tabs>
              <w:bidi w:val="0"/>
              <w:spacing w:before="0" w:after="0"/>
              <w:ind w:hanging="283" w:start="709"/>
              <w:rPr/>
            </w:pPr>
            <w:r>
              <w:rPr/>
              <w:t xml:space="preserve">Notices of defects must be sent with a specific description, location within the apartment 4.27, photo and desired contact to the warranty office named by the Seller </w:t>
            </w:r>
            <w:r>
              <w:rPr>
                <w:rStyle w:val="SourceText"/>
              </w:rPr>
              <w:t>gewaehrleistung-birkenpfuhl@hq-projekt.de</w:t>
            </w:r>
            <w:r>
              <w:rPr/>
              <w:t xml:space="preserve">. </w:t>
            </w:r>
          </w:p>
          <w:p>
            <w:pPr>
              <w:pStyle w:val="TableContents"/>
              <w:numPr>
                <w:ilvl w:val="0"/>
                <w:numId w:val="9"/>
              </w:numPr>
              <w:tabs>
                <w:tab w:val="clear" w:pos="1134"/>
                <w:tab w:val="left" w:pos="709" w:leader="none"/>
              </w:tabs>
              <w:bidi w:val="0"/>
              <w:spacing w:before="0" w:after="0"/>
              <w:ind w:hanging="283" w:start="709"/>
              <w:rPr/>
            </w:pPr>
            <w:r>
              <w:rPr/>
              <w:t xml:space="preserve">The Buyer will first give the Seller the opportunity to check and follow-up; Replacement operations before completion of this examination are only refundable in case of danger in default or after written approval of the Seller. </w:t>
            </w:r>
          </w:p>
          <w:p>
            <w:pPr>
              <w:pStyle w:val="TableContents"/>
              <w:numPr>
                <w:ilvl w:val="0"/>
                <w:numId w:val="9"/>
              </w:numPr>
              <w:tabs>
                <w:tab w:val="clear" w:pos="1134"/>
                <w:tab w:val="left" w:pos="709" w:leader="none"/>
              </w:tabs>
              <w:bidi w:val="0"/>
              <w:spacing w:before="0" w:after="0"/>
              <w:ind w:hanging="283" w:start="709"/>
              <w:rPr/>
            </w:pPr>
            <w:r>
              <w:rPr/>
              <w:t xml:space="preserve">To avoid consequential damage, defects should be reported in text form within 14 calendar days of discovery. Points displayed later are taken into account in the context of warranty processing, as far as an assignment to the Seller’s area of responsibility is still possible. </w:t>
            </w:r>
          </w:p>
          <w:p>
            <w:pPr>
              <w:pStyle w:val="TableContents"/>
              <w:numPr>
                <w:ilvl w:val="0"/>
                <w:numId w:val="9"/>
              </w:numPr>
              <w:tabs>
                <w:tab w:val="clear" w:pos="1134"/>
                <w:tab w:val="left" w:pos="709" w:leader="none"/>
              </w:tabs>
              <w:bidi w:val="0"/>
              <w:spacing w:before="0" w:after="0"/>
              <w:ind w:hanging="283" w:start="709"/>
              <w:rPr/>
            </w:pPr>
            <w:r>
              <w:rPr/>
              <w:t xml:space="preserve">For wear parts, installations in need of adjustment and maintenance-dependent components, the respective maintenance and operating instructions apply. If the maintenance provided for in the manufacturer’s or operator’s documents is omitted, it is presumed that malfunctions caused by this are not attributable to the Seller. </w:t>
            </w:r>
          </w:p>
          <w:p>
            <w:pPr>
              <w:pStyle w:val="TableContents"/>
              <w:numPr>
                <w:ilvl w:val="0"/>
                <w:numId w:val="9"/>
              </w:numPr>
              <w:tabs>
                <w:tab w:val="clear" w:pos="1134"/>
                <w:tab w:val="left" w:pos="709" w:leader="none"/>
              </w:tabs>
              <w:bidi w:val="0"/>
              <w:spacing w:before="0" w:after="283"/>
              <w:ind w:hanging="283" w:start="709"/>
              <w:rPr/>
            </w:pPr>
            <w:r>
              <w:rPr/>
              <w:t xml:space="preserve">The limitation period for claims for defects is two years from the confirmation of acceptance documented by the Seller, unless mandatory law prescribes a longer period. </w:t>
            </w:r>
          </w:p>
        </w:tc>
      </w:tr>
      <w:tr>
        <w:trPr/>
        <w:tc>
          <w:tcPr>
            <w:tcW w:w="7738" w:type="dxa"/>
            <w:tcBorders/>
            <w:vAlign w:val="center"/>
          </w:tcPr>
          <w:p>
            <w:pPr>
              <w:pStyle w:val="TableContents"/>
              <w:bidi w:val="0"/>
              <w:spacing w:before="0" w:after="283"/>
              <w:rPr/>
            </w:pPr>
            <w:r>
              <w:rPr>
                <w:rStyle w:val="Strong"/>
              </w:rPr>
              <w:t>9.5</w:t>
            </w:r>
            <w:r>
              <w:rPr/>
              <w:t xml:space="preserve"> Schäden an Gebrauchsteilen und sonstigen Bauteilen, die aufgrund bestimmungsgemäßen Gebrauches über eine nur begrenzte Nutzungsdauer verfügen und/oder ständiger Wartung bedürfen, stellen keinen Mangel dar.</w:t>
            </w:r>
          </w:p>
        </w:tc>
        <w:tc>
          <w:tcPr>
            <w:tcW w:w="7796" w:type="dxa"/>
            <w:tcBorders/>
            <w:vAlign w:val="center"/>
          </w:tcPr>
          <w:p>
            <w:pPr>
              <w:pStyle w:val="TableContents"/>
              <w:bidi w:val="0"/>
              <w:spacing w:before="0" w:after="283"/>
              <w:rPr/>
            </w:pPr>
            <w:r>
              <w:rPr>
                <w:rStyle w:val="Strong"/>
              </w:rPr>
              <w:t>9.5</w:t>
            </w:r>
            <w:r>
              <w:rPr/>
              <w:t xml:space="preserve"> Damage to useful parts and other components which, due to intended use, have only a limited useful life and/or require constant maintenance do not constitute a defect.</w:t>
            </w:r>
          </w:p>
        </w:tc>
      </w:tr>
      <w:tr>
        <w:trPr/>
        <w:tc>
          <w:tcPr>
            <w:tcW w:w="7738" w:type="dxa"/>
            <w:tcBorders/>
            <w:vAlign w:val="center"/>
          </w:tcPr>
          <w:p>
            <w:pPr>
              <w:pStyle w:val="TableContents"/>
              <w:bidi w:val="0"/>
              <w:spacing w:before="0" w:after="283"/>
              <w:rPr/>
            </w:pPr>
            <w:r>
              <w:rPr>
                <w:rStyle w:val="Strong"/>
              </w:rPr>
              <w:t>9.6</w:t>
            </w:r>
            <w:r>
              <w:rPr/>
              <w:t xml:space="preserve"> 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tc>
        <w:tc>
          <w:tcPr>
            <w:tcW w:w="7796" w:type="dxa"/>
            <w:tcBorders/>
            <w:vAlign w:val="center"/>
          </w:tcPr>
          <w:p>
            <w:pPr>
              <w:pStyle w:val="TableContents"/>
              <w:bidi w:val="0"/>
              <w:spacing w:before="0" w:after="283"/>
              <w:rPr/>
            </w:pPr>
            <w:r>
              <w:rPr>
                <w:rStyle w:val="Strong"/>
              </w:rPr>
              <w:t>9.6</w:t>
            </w:r>
            <w:r>
              <w:rPr/>
              <w:t xml:space="preserve"> If insignificant defects or residual work are found on handover or acceptance, the Seller may, in order to accelerate the handover, provide a residual work plan for the apartment 4.27 with a cost assessment per position or a guarantee from a guarantor in accordance with § 2 para. 2 MABV. The parties will limit the retention to the estimated effort remaining under the remaining work plan; after notification of processing, a security provided must be released unless the Buyer substantiated objectes within ten banking working days.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0" w:name="vormerkung"/>
            <w:bookmarkEnd w:id="30"/>
            <w:r>
              <w:rPr/>
              <w:t>§ 10 Vormerkung</w:t>
            </w:r>
          </w:p>
        </w:tc>
        <w:tc>
          <w:tcPr>
            <w:tcW w:w="7796"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738" w:type="dxa"/>
            <w:tcBorders/>
            <w:vAlign w:val="center"/>
          </w:tcPr>
          <w:p>
            <w:pPr>
              <w:pStyle w:val="TableContents"/>
              <w:bidi w:val="0"/>
              <w:spacing w:before="0" w:after="283"/>
              <w:rPr/>
            </w:pPr>
            <w:r>
              <w:rPr>
                <w:rStyle w:val="Strong"/>
              </w:rPr>
              <w:t>10.1</w:t>
            </w:r>
            <w:r>
              <w:rPr/>
              <w:t xml:space="preserve"> Zur Sicherung des Anspruchs des Käufers auf Verschaffung des Eigentums an dem Kaufgegenstand wird die Eintragung einer Eigentumsvormerkung nach § 883 BGB zugunsten des Käufers im Wohnungsgrundbuch durch den Verkäufer bewilligt und durch die Parteien beantragt.</w:t>
            </w:r>
          </w:p>
        </w:tc>
        <w:tc>
          <w:tcPr>
            <w:tcW w:w="7796" w:type="dxa"/>
            <w:tcBorders/>
            <w:vAlign w:val="center"/>
          </w:tcPr>
          <w:p>
            <w:pPr>
              <w:pStyle w:val="TableContents"/>
              <w:bidi w:val="0"/>
              <w:spacing w:before="0" w:after="283"/>
              <w:rPr/>
            </w:pPr>
            <w:r>
              <w:rPr>
                <w:rStyle w:val="Strong"/>
              </w:rPr>
              <w:t>10.1</w:t>
            </w:r>
            <w:r>
              <w:rPr/>
              <w:t xml:space="preserve"> In order to secure the claim of the Buyer to procure the ownership of the Purchased Property, the registration of a priority notice of conveyance according to § 883 BGB in favour of the Buyer in the housing Land Register is approved by the Seller and requested by the parties.</w:t>
            </w:r>
          </w:p>
        </w:tc>
      </w:tr>
      <w:tr>
        <w:trPr/>
        <w:tc>
          <w:tcPr>
            <w:tcW w:w="7738" w:type="dxa"/>
            <w:tcBorders/>
            <w:vAlign w:val="center"/>
          </w:tcPr>
          <w:p>
            <w:pPr>
              <w:pStyle w:val="TableContents"/>
              <w:bidi w:val="0"/>
              <w:spacing w:before="0" w:after="283"/>
              <w:rPr/>
            </w:pPr>
            <w:r>
              <w:rPr>
                <w:rStyle w:val="Strong"/>
              </w:rPr>
              <w:t>10.2</w:t>
            </w:r>
            <w:r>
              <w:rPr/>
              <w:t xml:space="preserve"> 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tc>
        <w:tc>
          <w:tcPr>
            <w:tcW w:w="7796" w:type="dxa"/>
            <w:tcBorders/>
            <w:vAlign w:val="center"/>
          </w:tcPr>
          <w:p>
            <w:pPr>
              <w:pStyle w:val="TableContents"/>
              <w:bidi w:val="0"/>
              <w:spacing w:before="0" w:after="283"/>
              <w:rPr/>
            </w:pPr>
            <w:r>
              <w:rPr>
                <w:rStyle w:val="Strong"/>
              </w:rPr>
              <w:t>10.2</w:t>
            </w:r>
            <w:r>
              <w:rPr/>
              <w:t xml:space="preserve"> In order to avoid blockages, the Buyer already authorizes the deletion of the reservation in the event that the secured claim no longer exists as a result of withdrawal, mutually agreed cancellation, final non-payment of the Purchase Price or other settlement. The Notary may make use of this authorisation if the Seller informs him of the settlement of the secured claim in text form and the Buyer does not object within ten banking working days after the notarial hearing.</w:t>
            </w:r>
          </w:p>
        </w:tc>
      </w:tr>
      <w:tr>
        <w:trPr/>
        <w:tc>
          <w:tcPr>
            <w:tcW w:w="7738" w:type="dxa"/>
            <w:tcBorders/>
            <w:vAlign w:val="center"/>
          </w:tcPr>
          <w:p>
            <w:pPr>
              <w:pStyle w:val="TableContents"/>
              <w:bidi w:val="0"/>
              <w:spacing w:before="0" w:after="283"/>
              <w:rPr/>
            </w:pPr>
            <w:r>
              <w:rPr>
                <w:rStyle w:val="Strong"/>
              </w:rPr>
              <w:t>10.3</w:t>
            </w:r>
            <w:r>
              <w:rPr/>
              <w:t xml:space="preserve"> Der Käufer beantragt schon heute die Löschung der Eigentumsvormerkung Zug um Zug mit Vollzug der Auflassung.</w:t>
            </w:r>
          </w:p>
        </w:tc>
        <w:tc>
          <w:tcPr>
            <w:tcW w:w="7796" w:type="dxa"/>
            <w:tcBorders/>
            <w:vAlign w:val="center"/>
          </w:tcPr>
          <w:p>
            <w:pPr>
              <w:pStyle w:val="TableContents"/>
              <w:bidi w:val="0"/>
              <w:spacing w:before="0" w:after="283"/>
              <w:rPr/>
            </w:pPr>
            <w:r>
              <w:rPr>
                <w:rStyle w:val="Strong"/>
              </w:rPr>
              <w:t>10.3</w:t>
            </w:r>
            <w:r>
              <w:rPr/>
              <w:t xml:space="preserve"> The Buyer already today requests the deletion of the priority notice of conveyance concurrently with completion of the disposition.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2" w:name="auflassung"/>
            <w:bookmarkEnd w:id="32"/>
            <w:r>
              <w:rPr/>
              <w:t>§ 11 Auflassung</w:t>
            </w:r>
          </w:p>
        </w:tc>
        <w:tc>
          <w:tcPr>
            <w:tcW w:w="7796"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738" w:type="dxa"/>
            <w:tcBorders/>
            <w:vAlign w:val="center"/>
          </w:tcPr>
          <w:p>
            <w:pPr>
              <w:pStyle w:val="TableContents"/>
              <w:bidi w:val="0"/>
              <w:spacing w:before="0" w:after="283"/>
              <w:rPr/>
            </w:pPr>
            <w:r>
              <w:rPr/>
              <w:t>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tc>
        <w:tc>
          <w:tcPr>
            <w:tcW w:w="7796" w:type="dxa"/>
            <w:tcBorders/>
            <w:vAlign w:val="center"/>
          </w:tcPr>
          <w:p>
            <w:pPr>
              <w:pStyle w:val="TableContents"/>
              <w:bidi w:val="0"/>
              <w:spacing w:before="0" w:after="283"/>
              <w:rPr/>
            </w:pPr>
            <w:r>
              <w:rPr/>
              <w:t>The Seller and Buyer agree on the transfer of ownership. They approve and apply for the registration of the property change in the Land Register. The Notary is instructed to bring the registration only after receipt of the full Purchase Price and presentation of a confirmation of completion by the Seller to the Land Registry for registration.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4" w:name="vollmachten"/>
            <w:bookmarkEnd w:id="34"/>
            <w:r>
              <w:rPr/>
              <w:t>§ 12 Vollmachten</w:t>
            </w:r>
          </w:p>
        </w:tc>
        <w:tc>
          <w:tcPr>
            <w:tcW w:w="7796"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738"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tc>
        <w:tc>
          <w:tcPr>
            <w:tcW w:w="7796" w:type="dxa"/>
            <w:tcBorders/>
            <w:vAlign w:val="center"/>
          </w:tcPr>
          <w:p>
            <w:pPr>
              <w:pStyle w:val="TableContents"/>
              <w:bidi w:val="0"/>
              <w:spacing w:before="0" w:after="283"/>
              <w:rPr/>
            </w:pPr>
            <w:r>
              <w:rPr>
                <w:rStyle w:val="Strong"/>
              </w:rPr>
              <w:t>12.1</w:t>
            </w:r>
            <w:r>
              <w:rPr/>
              <w:t xml:space="preserve"> The Purchaser shall authorise the Seller to amend the declaration of division, including Community rules, without further involvement of the Purchaser, insofar as this is necessary or appropriate for the implementation of the overall project, for the adjustment of the distribution plans, for the correction of obvious errors, for the formation or adaptation of sub-communities, for the postponement or concretisation of special use rights, for the modification of technical common areas or for the proper allocation of costs. The power of attorney also extends to the special ownership unit of the Buyer, insofar as its economic shape is not significantly changed.</w:t>
            </w:r>
          </w:p>
        </w:tc>
      </w:tr>
      <w:tr>
        <w:trPr/>
        <w:tc>
          <w:tcPr>
            <w:tcW w:w="7738" w:type="dxa"/>
            <w:tcBorders/>
            <w:vAlign w:val="center"/>
          </w:tcPr>
          <w:p>
            <w:pPr>
              <w:pStyle w:val="TableContents"/>
              <w:bidi w:val="0"/>
              <w:spacing w:before="0" w:after="283"/>
              <w:rPr/>
            </w:pPr>
            <w:r>
              <w:rPr>
                <w:rStyle w:val="Strong"/>
              </w:rPr>
              <w:t>12.2</w:t>
            </w:r>
            <w:r>
              <w:rPr/>
              <w:t xml:space="preserve"> 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tc>
        <w:tc>
          <w:tcPr>
            <w:tcW w:w="7796" w:type="dxa"/>
            <w:tcBorders/>
            <w:vAlign w:val="center"/>
          </w:tcPr>
          <w:p>
            <w:pPr>
              <w:pStyle w:val="TableContents"/>
              <w:bidi w:val="0"/>
              <w:spacing w:before="0" w:after="283"/>
              <w:rPr/>
            </w:pPr>
            <w:r>
              <w:rPr>
                <w:rStyle w:val="Strong"/>
              </w:rPr>
              <w:t>12.2</w:t>
            </w:r>
            <w:r>
              <w:rPr/>
              <w:t xml:space="preserve"> The power of attorney is unlimited in external relations and exempt from the restrictions of § 181 BGB. Internally, it should only be exercised on a project-by-project basis and in compliance with the legitimate interests of the Buyer. A revocation is only permitted for an important reason.</w:t>
            </w:r>
          </w:p>
        </w:tc>
      </w:tr>
      <w:tr>
        <w:trPr/>
        <w:tc>
          <w:tcPr>
            <w:tcW w:w="7738" w:type="dxa"/>
            <w:tcBorders/>
            <w:vAlign w:val="center"/>
          </w:tcPr>
          <w:p>
            <w:pPr>
              <w:pStyle w:val="TableContents"/>
              <w:bidi w:val="0"/>
              <w:spacing w:before="0" w:after="283"/>
              <w:rPr/>
            </w:pPr>
            <w:r>
              <w:rPr>
                <w:rStyle w:val="Strong"/>
              </w:rPr>
              <w:t>12.3</w:t>
            </w:r>
            <w:r>
              <w:rPr/>
              <w:t xml:space="preserve"> Der Käufer bevollmächtigt den Verkäufer ferner, sämtliche zur Durchführung dieses Vertrages erforderlichen Anträge, Erklärungen und Verzichte beim Grundbuchamt, bei Behörden und gegenüber Dritten abzugeben.</w:t>
            </w:r>
          </w:p>
        </w:tc>
        <w:tc>
          <w:tcPr>
            <w:tcW w:w="7796" w:type="dxa"/>
            <w:tcBorders/>
            <w:vAlign w:val="center"/>
          </w:tcPr>
          <w:p>
            <w:pPr>
              <w:pStyle w:val="TableContents"/>
              <w:bidi w:val="0"/>
              <w:spacing w:before="0" w:after="283"/>
              <w:rPr/>
            </w:pPr>
            <w:r>
              <w:rPr>
                <w:rStyle w:val="Strong"/>
              </w:rPr>
              <w:t>12.3</w:t>
            </w:r>
            <w:r>
              <w:rPr/>
              <w:t xml:space="preserve"> The Buyer also authorizes the Seller to submit all applications, declarations and waivers necessary for the implementation of this contract to the Land Registry, to authorities and to third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796"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738" w:type="dxa"/>
            <w:tcBorders/>
            <w:vAlign w:val="center"/>
          </w:tcPr>
          <w:p>
            <w:pPr>
              <w:pStyle w:val="TableContents"/>
              <w:bidi w:val="0"/>
              <w:spacing w:before="0" w:after="283"/>
              <w:rPr/>
            </w:pPr>
            <w:r>
              <w:rPr>
                <w:rStyle w:val="Strong"/>
              </w:rPr>
              <w:t>13.1</w:t>
            </w:r>
            <w:r>
              <w:rPr/>
              <w:t xml:space="preserve"> Mündliche Nebenabreden bestehen nicht. Änderungen und Ergänzungen dieses Vertrages bedürfen der notariellen Beurkundung, soweit gesetzlich vorgeschrieben, im Übrigen der Schriftform.</w:t>
            </w:r>
          </w:p>
        </w:tc>
        <w:tc>
          <w:tcPr>
            <w:tcW w:w="7796" w:type="dxa"/>
            <w:tcBorders/>
            <w:vAlign w:val="center"/>
          </w:tcPr>
          <w:p>
            <w:pPr>
              <w:pStyle w:val="TableContents"/>
              <w:bidi w:val="0"/>
              <w:spacing w:before="0" w:after="283"/>
              <w:rPr/>
            </w:pPr>
            <w:r>
              <w:rPr>
                <w:rStyle w:val="Strong"/>
              </w:rPr>
              <w:t>13.1</w:t>
            </w:r>
            <w:r>
              <w:rPr/>
              <w:t xml:space="preserve"> Oral ancillary arrangements do not exist. Amendments and additions to this contract require notarization, as required by law, otherwise in writing.</w:t>
            </w:r>
          </w:p>
        </w:tc>
      </w:tr>
      <w:tr>
        <w:trPr/>
        <w:tc>
          <w:tcPr>
            <w:tcW w:w="7738" w:type="dxa"/>
            <w:tcBorders/>
            <w:vAlign w:val="center"/>
          </w:tcPr>
          <w:p>
            <w:pPr>
              <w:pStyle w:val="TableContents"/>
              <w:bidi w:val="0"/>
              <w:spacing w:before="0" w:after="283"/>
              <w:rPr/>
            </w:pPr>
            <w:r>
              <w:rPr>
                <w:rStyle w:val="Strong"/>
              </w:rPr>
              <w:t>13.2</w:t>
            </w:r>
            <w:r>
              <w:rPr/>
              <w:t xml:space="preserve"> Sollte eine Bestimmung dieses Vertrages unwirksam sein oder werden, so wird die Wirksamkeit der übrigen Bestimmungen davon nicht berührt.</w:t>
            </w:r>
          </w:p>
        </w:tc>
        <w:tc>
          <w:tcPr>
            <w:tcW w:w="7796" w:type="dxa"/>
            <w:tcBorders/>
            <w:vAlign w:val="center"/>
          </w:tcPr>
          <w:p>
            <w:pPr>
              <w:pStyle w:val="TableContents"/>
              <w:bidi w:val="0"/>
              <w:spacing w:before="0" w:after="283"/>
              <w:rPr/>
            </w:pPr>
            <w:r>
              <w:rPr>
                <w:rStyle w:val="Strong"/>
              </w:rPr>
              <w:t>13.2</w:t>
            </w:r>
            <w:r>
              <w:rPr/>
              <w:t xml:space="preserve"> Should a provision of this contract be or become ineffective, the effectiveness of the other provisions shall not be affected.</w:t>
            </w:r>
          </w:p>
        </w:tc>
      </w:tr>
      <w:tr>
        <w:trPr/>
        <w:tc>
          <w:tcPr>
            <w:tcW w:w="7738" w:type="dxa"/>
            <w:tcBorders/>
            <w:vAlign w:val="center"/>
          </w:tcPr>
          <w:p>
            <w:pPr>
              <w:pStyle w:val="TableContents"/>
              <w:bidi w:val="0"/>
              <w:spacing w:before="0" w:after="283"/>
              <w:rPr/>
            </w:pPr>
            <w:r>
              <w:rPr>
                <w:rStyle w:val="Strong"/>
              </w:rPr>
              <w:t>13.3</w:t>
            </w:r>
            <w:r>
              <w:rPr/>
              <w:t xml:space="preserve"> Gerichtsstand für sämtliche Streitigkeiten aus diesem Vertrag ist Berlin, soweit dies rechtlich zulässig ist.</w:t>
            </w:r>
          </w:p>
        </w:tc>
        <w:tc>
          <w:tcPr>
            <w:tcW w:w="7796" w:type="dxa"/>
            <w:tcBorders/>
            <w:vAlign w:val="center"/>
          </w:tcPr>
          <w:p>
            <w:pPr>
              <w:pStyle w:val="TableContents"/>
              <w:bidi w:val="0"/>
              <w:spacing w:before="0" w:after="283"/>
              <w:rPr/>
            </w:pPr>
            <w:r>
              <w:rPr>
                <w:rStyle w:val="Strong"/>
              </w:rPr>
              <w:t>13.3</w:t>
            </w:r>
            <w:r>
              <w:rPr/>
              <w:t xml:space="preserve"> The place of jurisdiction for all disputes arising from this contract is Berlin, as far as this is legally permissible.</w:t>
            </w:r>
          </w:p>
        </w:tc>
      </w:tr>
      <w:tr>
        <w:trPr/>
        <w:tc>
          <w:tcPr>
            <w:tcW w:w="7738" w:type="dxa"/>
            <w:tcBorders/>
            <w:vAlign w:val="center"/>
          </w:tcPr>
          <w:p>
            <w:pPr>
              <w:pStyle w:val="TableContents"/>
              <w:bidi w:val="0"/>
              <w:spacing w:before="0" w:after="283"/>
              <w:rPr/>
            </w:pPr>
            <w:r>
              <w:rPr>
                <w:rStyle w:val="Strong"/>
              </w:rPr>
              <w:t>13.4</w:t>
            </w:r>
            <w:r>
              <w:rPr/>
              <w:t xml:space="preserve"> Die Kosten dieser Urkunde und ihres Vollzugs trägt der Käufer.</w:t>
            </w:r>
          </w:p>
        </w:tc>
        <w:tc>
          <w:tcPr>
            <w:tcW w:w="7796" w:type="dxa"/>
            <w:tcBorders/>
            <w:vAlign w:val="center"/>
          </w:tcPr>
          <w:p>
            <w:pPr>
              <w:pStyle w:val="TableContents"/>
              <w:bidi w:val="0"/>
              <w:spacing w:before="0" w:after="283"/>
              <w:rPr/>
            </w:pPr>
            <w:r>
              <w:rPr>
                <w:rStyle w:val="Strong"/>
              </w:rPr>
              <w:t>13.4</w:t>
            </w:r>
            <w:r>
              <w:rPr/>
              <w:t xml:space="preserve"> The costs of this document and its execution shall be borne by the Buyer.</w:t>
            </w:r>
          </w:p>
        </w:tc>
      </w:tr>
      <w:tr>
        <w:trPr/>
        <w:tc>
          <w:tcPr>
            <w:tcW w:w="7738" w:type="dxa"/>
            <w:tcBorders/>
            <w:vAlign w:val="center"/>
          </w:tcPr>
          <w:p>
            <w:pPr>
              <w:pStyle w:val="TableContents"/>
              <w:bidi w:val="0"/>
              <w:spacing w:before="0" w:after="283"/>
              <w:rPr/>
            </w:pPr>
            <w:r>
              <w:rPr>
                <w:rStyle w:val="Strong"/>
              </w:rPr>
              <w:t>13.5</w:t>
            </w:r>
            <w:r>
              <w:rPr/>
              <w:t xml:space="preserve"> 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tc>
        <w:tc>
          <w:tcPr>
            <w:tcW w:w="7796" w:type="dxa"/>
            <w:tcBorders/>
            <w:vAlign w:val="center"/>
          </w:tcPr>
          <w:p>
            <w:pPr>
              <w:pStyle w:val="TableContents"/>
              <w:bidi w:val="0"/>
              <w:spacing w:before="0" w:after="283"/>
              <w:rPr/>
            </w:pPr>
            <w:r>
              <w:rPr>
                <w:rStyle w:val="Strong"/>
              </w:rPr>
              <w:t>13.5</w:t>
            </w:r>
            <w:r>
              <w:rPr/>
              <w:t xml:space="preserve"> The Purchaser shall bear the costs of unit 4.27 and parking space TG-127 for the initial installation and handover of the WEG administration, technical management, instruction in the lift, underground parking, heat supply, smoke extraction and measuring systems, as well as the maintenance and service contracts concluded for the initial operation phase. A check of the profitability of these contracts by individual acquirers is not owed before transfer of the joint ownership.</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8" w:name="belehrungen"/>
            <w:bookmarkEnd w:id="38"/>
            <w:r>
              <w:rPr/>
              <w:t>§ 14 Belehrungen</w:t>
            </w:r>
          </w:p>
        </w:tc>
        <w:tc>
          <w:tcPr>
            <w:tcW w:w="7796"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738" w:type="dxa"/>
            <w:tcBorders/>
            <w:vAlign w:val="center"/>
          </w:tcPr>
          <w:p>
            <w:pPr>
              <w:pStyle w:val="TableContents"/>
              <w:bidi w:val="0"/>
              <w:spacing w:before="0" w:after="283"/>
              <w:rPr/>
            </w:pPr>
            <w:r>
              <w:rPr/>
              <w:t>Der Notar hat die Beteiligten belehrt über:</w:t>
            </w:r>
          </w:p>
        </w:tc>
        <w:tc>
          <w:tcPr>
            <w:tcW w:w="7796" w:type="dxa"/>
            <w:tcBorders/>
            <w:vAlign w:val="center"/>
          </w:tcPr>
          <w:p>
            <w:pPr>
              <w:pStyle w:val="TableContents"/>
              <w:bidi w:val="0"/>
              <w:spacing w:before="0" w:after="283"/>
              <w:rPr/>
            </w:pPr>
            <w:r>
              <w:rPr/>
              <w:t>The Notary has informed the participants about:</w:t>
            </w:r>
          </w:p>
        </w:tc>
      </w:tr>
      <w:tr>
        <w:trPr/>
        <w:tc>
          <w:tcPr>
            <w:tcW w:w="7738"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den Inhalt und die Bedeutung dieses Vertrages, </w:t>
            </w:r>
          </w:p>
          <w:p>
            <w:pPr>
              <w:pStyle w:val="TableContents"/>
              <w:numPr>
                <w:ilvl w:val="0"/>
                <w:numId w:val="10"/>
              </w:numPr>
              <w:tabs>
                <w:tab w:val="clear" w:pos="1134"/>
                <w:tab w:val="left" w:pos="709" w:leader="none"/>
              </w:tabs>
              <w:bidi w:val="0"/>
              <w:spacing w:before="0" w:after="0"/>
              <w:ind w:hanging="283" w:start="709"/>
              <w:rPr/>
            </w:pPr>
            <w:r>
              <w:rPr/>
              <w:t xml:space="preserve">die Bedeutung der Bezugnahme nach § 13a BeurkG, </w:t>
            </w:r>
          </w:p>
          <w:p>
            <w:pPr>
              <w:pStyle w:val="TableContents"/>
              <w:numPr>
                <w:ilvl w:val="0"/>
                <w:numId w:val="10"/>
              </w:numPr>
              <w:tabs>
                <w:tab w:val="clear" w:pos="1134"/>
                <w:tab w:val="left" w:pos="709" w:leader="none"/>
              </w:tabs>
              <w:bidi w:val="0"/>
              <w:spacing w:before="0" w:after="0"/>
              <w:ind w:hanging="283" w:start="709"/>
              <w:rPr/>
            </w:pPr>
            <w:r>
              <w:rPr/>
              <w:t xml:space="preserve">die Eigentumsübertragung erst mit Eintragung im Grundbuch, </w:t>
            </w:r>
          </w:p>
          <w:p>
            <w:pPr>
              <w:pStyle w:val="TableContents"/>
              <w:numPr>
                <w:ilvl w:val="0"/>
                <w:numId w:val="10"/>
              </w:numPr>
              <w:tabs>
                <w:tab w:val="clear" w:pos="1134"/>
                <w:tab w:val="left" w:pos="709" w:leader="none"/>
              </w:tabs>
              <w:bidi w:val="0"/>
              <w:spacing w:before="0" w:after="0"/>
              <w:ind w:hanging="283" w:start="709"/>
              <w:rPr/>
            </w:pPr>
            <w:r>
              <w:rPr/>
              <w:t xml:space="preserve">die Bedeutung der Auflassungsvormerkung, </w:t>
            </w:r>
          </w:p>
          <w:p>
            <w:pPr>
              <w:pStyle w:val="TableContents"/>
              <w:numPr>
                <w:ilvl w:val="0"/>
                <w:numId w:val="10"/>
              </w:numPr>
              <w:tabs>
                <w:tab w:val="clear" w:pos="1134"/>
                <w:tab w:val="left" w:pos="709" w:leader="none"/>
              </w:tabs>
              <w:bidi w:val="0"/>
              <w:spacing w:before="0" w:after="0"/>
              <w:ind w:hanging="283" w:start="709"/>
              <w:rPr/>
            </w:pPr>
            <w:r>
              <w:rPr/>
              <w:t xml:space="preserve">die Bedeutung der Belastungsvollmacht, </w:t>
            </w:r>
          </w:p>
          <w:p>
            <w:pPr>
              <w:pStyle w:val="TableContents"/>
              <w:numPr>
                <w:ilvl w:val="0"/>
                <w:numId w:val="10"/>
              </w:numPr>
              <w:tabs>
                <w:tab w:val="clear" w:pos="1134"/>
                <w:tab w:val="left" w:pos="709" w:leader="none"/>
              </w:tabs>
              <w:bidi w:val="0"/>
              <w:spacing w:before="0" w:after="0"/>
              <w:ind w:hanging="283" w:start="709"/>
              <w:rPr/>
            </w:pPr>
            <w:r>
              <w:rPr/>
              <w:t xml:space="preserve">die gesetzliche Verjährungsfrist für Mängelansprüche im Werkvertragsrecht, </w:t>
            </w:r>
          </w:p>
          <w:p>
            <w:pPr>
              <w:pStyle w:val="TableContents"/>
              <w:numPr>
                <w:ilvl w:val="0"/>
                <w:numId w:val="10"/>
              </w:numPr>
              <w:tabs>
                <w:tab w:val="clear" w:pos="1134"/>
                <w:tab w:val="left" w:pos="709" w:leader="none"/>
              </w:tabs>
              <w:bidi w:val="0"/>
              <w:spacing w:before="0" w:after="283"/>
              <w:ind w:hanging="283" w:start="709"/>
              <w:rPr/>
            </w:pPr>
            <w:r>
              <w:rPr/>
              <w:t xml:space="preserve">die Möglichkeit, eigene technische Berater hinzuzuziehen, wobei der Notar keine technische Prüfung des Baugrunds, der Bauüberwachung, der Fachplanung oder der Wirtschaftlichkeit von Betriebs- und Wartungsverträgen vorgenommen hat. </w:t>
            </w:r>
          </w:p>
        </w:tc>
        <w:tc>
          <w:tcPr>
            <w:tcW w:w="7796"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the content and significance of this Treaty, </w:t>
            </w:r>
          </w:p>
          <w:p>
            <w:pPr>
              <w:pStyle w:val="TableContents"/>
              <w:numPr>
                <w:ilvl w:val="0"/>
                <w:numId w:val="11"/>
              </w:numPr>
              <w:tabs>
                <w:tab w:val="clear" w:pos="1134"/>
                <w:tab w:val="left" w:pos="709" w:leader="none"/>
              </w:tabs>
              <w:bidi w:val="0"/>
              <w:spacing w:before="0" w:after="0"/>
              <w:ind w:hanging="283" w:start="709"/>
              <w:rPr/>
            </w:pPr>
            <w:r>
              <w:rPr/>
              <w:t xml:space="preserve">the meaning of the reference pursuant to § 13a BeurkG, </w:t>
            </w:r>
          </w:p>
          <w:p>
            <w:pPr>
              <w:pStyle w:val="TableContents"/>
              <w:numPr>
                <w:ilvl w:val="0"/>
                <w:numId w:val="11"/>
              </w:numPr>
              <w:tabs>
                <w:tab w:val="clear" w:pos="1134"/>
                <w:tab w:val="left" w:pos="709" w:leader="none"/>
              </w:tabs>
              <w:bidi w:val="0"/>
              <w:spacing w:before="0" w:after="0"/>
              <w:ind w:hanging="283" w:start="709"/>
              <w:rPr/>
            </w:pPr>
            <w:r>
              <w:rPr/>
              <w:t xml:space="preserve">the transfer of ownership only upon registration in the Land Register, </w:t>
            </w:r>
          </w:p>
          <w:p>
            <w:pPr>
              <w:pStyle w:val="TableContents"/>
              <w:numPr>
                <w:ilvl w:val="0"/>
                <w:numId w:val="11"/>
              </w:numPr>
              <w:tabs>
                <w:tab w:val="clear" w:pos="1134"/>
                <w:tab w:val="left" w:pos="709" w:leader="none"/>
              </w:tabs>
              <w:bidi w:val="0"/>
              <w:spacing w:before="0" w:after="0"/>
              <w:ind w:hanging="283" w:start="709"/>
              <w:rPr/>
            </w:pPr>
            <w:r>
              <w:rPr/>
              <w:t xml:space="preserve">the importance of the injunction, </w:t>
            </w:r>
          </w:p>
          <w:p>
            <w:pPr>
              <w:pStyle w:val="TableContents"/>
              <w:numPr>
                <w:ilvl w:val="0"/>
                <w:numId w:val="11"/>
              </w:numPr>
              <w:tabs>
                <w:tab w:val="clear" w:pos="1134"/>
                <w:tab w:val="left" w:pos="709" w:leader="none"/>
              </w:tabs>
              <w:bidi w:val="0"/>
              <w:spacing w:before="0" w:after="0"/>
              <w:ind w:hanging="283" w:start="709"/>
              <w:rPr/>
            </w:pPr>
            <w:r>
              <w:rPr/>
              <w:t xml:space="preserve">the importance of the power of attorney; </w:t>
            </w:r>
          </w:p>
          <w:p>
            <w:pPr>
              <w:pStyle w:val="TableContents"/>
              <w:numPr>
                <w:ilvl w:val="0"/>
                <w:numId w:val="11"/>
              </w:numPr>
              <w:tabs>
                <w:tab w:val="clear" w:pos="1134"/>
                <w:tab w:val="left" w:pos="709" w:leader="none"/>
              </w:tabs>
              <w:bidi w:val="0"/>
              <w:spacing w:before="0" w:after="0"/>
              <w:ind w:hanging="283" w:start="709"/>
              <w:rPr/>
            </w:pPr>
            <w:r>
              <w:rPr/>
              <w:t xml:space="preserve">the statutory limitation period for claims for defects in work contract law, </w:t>
            </w:r>
          </w:p>
          <w:p>
            <w:pPr>
              <w:pStyle w:val="TableContents"/>
              <w:numPr>
                <w:ilvl w:val="0"/>
                <w:numId w:val="11"/>
              </w:numPr>
              <w:tabs>
                <w:tab w:val="clear" w:pos="1134"/>
                <w:tab w:val="left" w:pos="709" w:leader="none"/>
              </w:tabs>
              <w:bidi w:val="0"/>
              <w:spacing w:before="0" w:after="283"/>
              <w:ind w:hanging="283" w:start="709"/>
              <w:rPr/>
            </w:pPr>
            <w:r>
              <w:rPr/>
              <w:t xml:space="preserve">the possibility of consulting its own technical consultants, where the Notary has not carried out a technical examination of the ground, the construction supervision, the technical planning or the economics of operating and maintenance contracts. </w:t>
            </w:r>
          </w:p>
        </w:tc>
      </w:tr>
      <w:tr>
        <w:trPr/>
        <w:tc>
          <w:tcPr>
            <w:tcW w:w="7738" w:type="dxa"/>
            <w:tcBorders/>
            <w:vAlign w:val="center"/>
          </w:tcPr>
          <w:p>
            <w:pPr>
              <w:pStyle w:val="TableContents"/>
              <w:bidi w:val="0"/>
              <w:spacing w:before="0" w:after="283"/>
              <w:rPr/>
            </w:pPr>
            <w:r>
              <w:rPr/>
              <w:t>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tc>
        <w:tc>
          <w:tcPr>
            <w:tcW w:w="7796" w:type="dxa"/>
            <w:tcBorders/>
            <w:vAlign w:val="center"/>
          </w:tcPr>
          <w:p>
            <w:pPr>
              <w:pStyle w:val="TableContents"/>
              <w:bidi w:val="0"/>
              <w:spacing w:before="0" w:after="283"/>
              <w:rPr/>
            </w:pPr>
            <w:r>
              <w:rPr/>
              <w:t>The Notary has pointed out that, as an impartial public office holder, he does not provide any economic, tax or structural advice and does not represent the interests of a party. Issues of financing, profitability, technical expediency, maintenance costs, eligibility and individual tax implications were not covered by the notarial audit.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796"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738" w:type="dxa"/>
            <w:tcBorders/>
            <w:vAlign w:val="center"/>
          </w:tcPr>
          <w:p>
            <w:pPr>
              <w:pStyle w:val="TableContents"/>
              <w:bidi w:val="0"/>
              <w:spacing w:before="0" w:after="283"/>
              <w:rPr/>
            </w:pPr>
            <w:r>
              <w:rPr>
                <w:rStyle w:val="Strong"/>
              </w:rPr>
              <w:t>Bezugsurkunde 1</w:t>
            </w:r>
            <w:r>
              <w:rPr/>
              <w:t xml:space="preserve"> —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tc>
        <w:tc>
          <w:tcPr>
            <w:tcW w:w="7796" w:type="dxa"/>
            <w:tcBorders/>
            <w:vAlign w:val="center"/>
          </w:tcPr>
          <w:p>
            <w:pPr>
              <w:pStyle w:val="TableContents"/>
              <w:bidi w:val="0"/>
              <w:spacing w:before="0" w:after="283"/>
              <w:rPr/>
            </w:pPr>
            <w:r>
              <w:rPr/>
              <w:t>Declaration of reference 1 — Declaration of division including Community rules of 18 July 2024, UR No 612/2024 W of the Notary Egmont Wachtelborn, Berlin, as amended by the 1st to 7th addendum (UR Nos.) 731/2024 W, 942/2024 W, 28/2025 W, 412/2025 W, 698/2025 W, 1108/2025 W and 187/2026 W. Reading is waived in accordance with § 13a BeurkG (see signature note).</w:t>
            </w:r>
          </w:p>
        </w:tc>
      </w:tr>
      <w:tr>
        <w:trPr/>
        <w:tc>
          <w:tcPr>
            <w:tcW w:w="7738" w:type="dxa"/>
            <w:tcBorders/>
            <w:vAlign w:val="center"/>
          </w:tcPr>
          <w:p>
            <w:pPr>
              <w:pStyle w:val="TableContents"/>
              <w:bidi w:val="0"/>
              <w:spacing w:before="0" w:after="283"/>
              <w:rPr/>
            </w:pPr>
            <w:r>
              <w:rPr>
                <w:rStyle w:val="Strong"/>
              </w:rPr>
              <w:t>Anhang a</w:t>
            </w:r>
            <w:r>
              <w:rPr/>
              <w:t xml:space="preserve"> — beglaubigte Fotokopie der Vollmacht der Erschienenen zu 1. vom 22.10.2025, UR-Nr. 1402/2025 W des Notars Egmont Wachtelborn, Berlin.</w:t>
            </w:r>
          </w:p>
        </w:tc>
        <w:tc>
          <w:tcPr>
            <w:tcW w:w="7796" w:type="dxa"/>
            <w:tcBorders/>
            <w:vAlign w:val="center"/>
          </w:tcPr>
          <w:p>
            <w:pPr>
              <w:pStyle w:val="TableContents"/>
              <w:bidi w:val="0"/>
              <w:spacing w:before="0" w:after="283"/>
              <w:rPr/>
            </w:pPr>
            <w:r>
              <w:rPr/>
              <w:t>Annex a — certified photocopy of the power of attorney issued on 1 October 22, 2025, UR No. 1402/2025 W of the Notary Egmont Wachtelborn, Berlin.</w:t>
            </w:r>
          </w:p>
        </w:tc>
      </w:tr>
      <w:tr>
        <w:trPr/>
        <w:tc>
          <w:tcPr>
            <w:tcW w:w="7738" w:type="dxa"/>
            <w:tcBorders/>
            <w:vAlign w:val="center"/>
          </w:tcPr>
          <w:p>
            <w:pPr>
              <w:pStyle w:val="TableContents"/>
              <w:bidi w:val="0"/>
              <w:spacing w:before="0" w:after="283"/>
              <w:rPr/>
            </w:pPr>
            <w:r>
              <w:rPr>
                <w:rStyle w:val="Strong"/>
              </w:rPr>
              <w:t>Lose übergebene Unterlagen (nicht Gegenstand der Beurkundung):</w:t>
            </w:r>
            <w:r>
              <w:rPr/>
              <w:t xml:space="preserve"> Baubeschreibung in der Fassung Februar 2026, Version 7.2; Abgeschlossenheitsbescheinigung; Aufteilungsplan-Auszug zur Einheit 4.27. Diese Unterlagen wurden dem Käufer mit Vertragsunterzeichnung in Druckfassung ausgehändigt.</w:t>
            </w:r>
          </w:p>
        </w:tc>
        <w:tc>
          <w:tcPr>
            <w:tcW w:w="7796" w:type="dxa"/>
            <w:tcBorders/>
            <w:vAlign w:val="center"/>
          </w:tcPr>
          <w:p>
            <w:pPr>
              <w:pStyle w:val="TableContents"/>
              <w:bidi w:val="0"/>
              <w:spacing w:before="0" w:after="283"/>
              <w:rPr/>
            </w:pPr>
            <w:r>
              <w:rPr/>
              <w:t>Lots of documents handed over (not subject of the notarization): Description of the building in the version February 2026, version 7.2; certificate of completion; Subdivision plan extract to unit 4.27. These documents were handed over to the Buyer with contract signature in print.</w:t>
            </w:r>
          </w:p>
        </w:tc>
      </w:tr>
      <w:tr>
        <w:trPr/>
        <w:tc>
          <w:tcPr>
            <w:tcW w:w="7738" w:type="dxa"/>
            <w:tcBorders/>
            <w:vAlign w:val="center"/>
          </w:tcPr>
          <w:p>
            <w:pPr>
              <w:pStyle w:val="TableContents"/>
              <w:bidi w:val="0"/>
              <w:spacing w:before="0" w:after="283"/>
              <w:rPr/>
            </w:pPr>
            <w:r>
              <w:rPr/>
              <w:t>Der Notar wird mit dem Vollzug beauftragt. Er soll Anträge erst stellen, wenn die hierfür erforderlichen Erklärungen und Nachweise vorliegen. Mitteilungen über den Eintritt der Fälligkeitsvoraussetzungen nach § 3 erfolgen schriftlich an beide Parteien.</w:t>
            </w:r>
          </w:p>
        </w:tc>
        <w:tc>
          <w:tcPr>
            <w:tcW w:w="7796" w:type="dxa"/>
            <w:tcBorders/>
            <w:vAlign w:val="center"/>
          </w:tcPr>
          <w:p>
            <w:pPr>
              <w:pStyle w:val="TableContents"/>
              <w:bidi w:val="0"/>
              <w:spacing w:before="0" w:after="283"/>
              <w:rPr/>
            </w:pPr>
            <w:r>
              <w:rPr/>
              <w:t>The Notary is charged with execution. He should not submit applications until the necessary explanations and supporting documents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796"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738" w:type="dxa"/>
            <w:tcBorders/>
            <w:vAlign w:val="center"/>
          </w:tcPr>
          <w:p>
            <w:pPr>
              <w:pStyle w:val="TableContents"/>
              <w:bidi w:val="0"/>
              <w:spacing w:before="0" w:after="283"/>
              <w:rPr/>
            </w:pPr>
            <w:r>
              <w:rPr/>
              <w:t>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tc>
        <w:tc>
          <w:tcPr>
            <w:tcW w:w="7796" w:type="dxa"/>
            <w:tcBorders/>
            <w:vAlign w:val="center"/>
          </w:tcPr>
          <w:p>
            <w:pPr>
              <w:pStyle w:val="TableContents"/>
              <w:bidi w:val="0"/>
              <w:spacing w:before="0" w:after="283"/>
              <w:rPr/>
            </w:pPr>
            <w:r>
              <w:rPr/>
              <w:t>The business value of this deed is indicated with the total Purchase Price of 828,000.00 EUR. The costs of this document and its execution shall be borne by the Buyer in accordance with § 13.4. Reference was made to the additional property transfer tax and the development and connection costs pursuant to § 7.</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4" w:name="unterschriften"/>
            <w:bookmarkEnd w:id="44"/>
            <w:r>
              <w:rPr/>
              <w:t>Unterschriften</w:t>
            </w:r>
          </w:p>
        </w:tc>
        <w:tc>
          <w:tcPr>
            <w:tcW w:w="7796" w:type="dxa"/>
            <w:tcBorders/>
            <w:vAlign w:val="center"/>
          </w:tcPr>
          <w:p>
            <w:pPr>
              <w:pStyle w:val="Heading1"/>
              <w:bidi w:val="0"/>
              <w:spacing w:before="240" w:after="283"/>
              <w:ind w:hanging="0" w:start="0" w:end="0"/>
              <w:rPr/>
            </w:pPr>
            <w:bookmarkStart w:id="45" w:name="signatures"/>
            <w:bookmarkEnd w:id="45"/>
            <w:r>
              <w:rPr/>
              <w:t>Signatures</w:t>
            </w:r>
          </w:p>
        </w:tc>
      </w:tr>
      <w:tr>
        <w:trPr/>
        <w:tc>
          <w:tcPr>
            <w:tcW w:w="7738" w:type="dxa"/>
            <w:tcBorders/>
            <w:vAlign w:val="center"/>
          </w:tcPr>
          <w:p>
            <w:pPr>
              <w:pStyle w:val="TableContents"/>
              <w:bidi w:val="0"/>
              <w:spacing w:before="0" w:after="283"/>
              <w:rPr/>
            </w:pPr>
            <w:r>
              <w:rPr/>
              <w:t>Die Erschienenen erklärten, dass sie auf das Verlesen der Bezugsurkunden verzichten, da ihnen deren Inhalt bekannt ist. Diese Niederschrift wurde den Erschienenen vom Notar vorgelesen, von ihnen genehmigt und sodann eigenhändig wie folgt unterschrieben:</w:t>
            </w:r>
          </w:p>
        </w:tc>
        <w:tc>
          <w:tcPr>
            <w:tcW w:w="7796" w:type="dxa"/>
            <w:tcBorders/>
            <w:vAlign w:val="center"/>
          </w:tcPr>
          <w:p>
            <w:pPr>
              <w:pStyle w:val="TableContents"/>
              <w:bidi w:val="0"/>
              <w:spacing w:before="0" w:after="283"/>
              <w:rPr/>
            </w:pPr>
            <w:r>
              <w:rPr/>
              <w:t>The publications stated that they did not read the reference documents because they are aware of their content. This record was read to the publications by the Notary, approved by them and then signed by hand as follows:</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Roswitha Quendel-Bingenheimer (für Verkäufer)</w:t>
            </w:r>
          </w:p>
        </w:tc>
        <w:tc>
          <w:tcPr>
            <w:tcW w:w="7796" w:type="dxa"/>
            <w:tcBorders/>
            <w:vAlign w:val="center"/>
          </w:tcPr>
          <w:p>
            <w:pPr>
              <w:pStyle w:val="TableContents"/>
              <w:bidi w:val="0"/>
              <w:spacing w:before="0" w:after="283"/>
              <w:rPr/>
            </w:pPr>
            <w:r>
              <w:rPr/>
              <w:t>Roswitha Quendel-Bingenheimer (for sellers)</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Dr. Eberwein Übelacker-Strohmeyer (Käufer)</w:t>
            </w:r>
          </w:p>
        </w:tc>
        <w:tc>
          <w:tcPr>
            <w:tcW w:w="7796" w:type="dxa"/>
            <w:tcBorders/>
            <w:vAlign w:val="center"/>
          </w:tcPr>
          <w:p>
            <w:pPr>
              <w:pStyle w:val="TableContents"/>
              <w:bidi w:val="0"/>
              <w:spacing w:before="0" w:after="283"/>
              <w:rPr/>
            </w:pPr>
            <w:r>
              <w:rPr/>
              <w:t>Dr. Eberwein Übelacker-Strohmeyer (Buyer)</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Dr. Adalbert von Sickingen-Querfurt, Notar</w:t>
            </w:r>
          </w:p>
        </w:tc>
        <w:tc>
          <w:tcPr>
            <w:tcW w:w="7796" w:type="dxa"/>
            <w:tcBorders/>
            <w:vAlign w:val="center"/>
          </w:tcPr>
          <w:p>
            <w:pPr>
              <w:pStyle w:val="TableContents"/>
              <w:bidi w:val="0"/>
              <w:spacing w:before="0" w:after="283"/>
              <w:rPr/>
            </w:pPr>
            <w:r>
              <w:rPr/>
              <w:t>Dr. Adalbert von Sickingen-Querfurt,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796"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738" w:type="dxa"/>
            <w:tcBorders/>
            <w:vAlign w:val="center"/>
          </w:tcPr>
          <w:p>
            <w:pPr>
              <w:pStyle w:val="TableContents"/>
              <w:bidi w:val="0"/>
              <w:spacing w:before="0" w:after="283"/>
              <w:rPr/>
            </w:pPr>
            <w:r>
              <w:rPr/>
              <w:t>Bauvorhaben: Wohnquartier „Am Birkenpfuhl”, Gemarkung Kannenberg-Niederwall, Flur 7, Flurstück 218/4</w:t>
            </w:r>
          </w:p>
        </w:tc>
        <w:tc>
          <w:tcPr>
            <w:tcW w:w="7796" w:type="dxa"/>
            <w:tcBorders/>
            <w:vAlign w:val="center"/>
          </w:tcPr>
          <w:p>
            <w:pPr>
              <w:pStyle w:val="TableContents"/>
              <w:bidi w:val="0"/>
              <w:spacing w:before="0" w:after="283"/>
              <w:rPr/>
            </w:pPr>
            <w:r>
              <w:rPr/>
              <w:t>Construction project: residential quarter “Am Birkenpfuhl”, marking Kannenberg-Niederwall, corridor 7, parcel 218/4</w:t>
            </w:r>
          </w:p>
        </w:tc>
      </w:tr>
      <w:tr>
        <w:trPr/>
        <w:tc>
          <w:tcPr>
            <w:tcW w:w="7738" w:type="dxa"/>
            <w:tcBorders/>
            <w:vAlign w:val="center"/>
          </w:tcPr>
          <w:p>
            <w:pPr>
              <w:pStyle w:val="TableContents"/>
              <w:bidi w:val="0"/>
              <w:spacing w:before="0" w:after="283"/>
              <w:rPr/>
            </w:pPr>
            <w:r>
              <w:rPr/>
              <w:t>Bauträgerin: Hohenwartshofen Quartiersentwicklung GmbH &amp; Co. KG, Schloßstraße 88, 12163 Berlin</w:t>
            </w:r>
          </w:p>
        </w:tc>
        <w:tc>
          <w:tcPr>
            <w:tcW w:w="7796" w:type="dxa"/>
            <w:tcBorders/>
            <w:vAlign w:val="center"/>
          </w:tcPr>
          <w:p>
            <w:pPr>
              <w:pStyle w:val="TableContents"/>
              <w:bidi w:val="0"/>
              <w:spacing w:before="0" w:after="283"/>
              <w:rPr/>
            </w:pPr>
            <w:r>
              <w:rPr/>
              <w:t>Property developer: Hohenwartshofen Quartiersentwicklung GmbH &amp; Co. KG, Schloßstraße 88, 12163 Berlin</w:t>
            </w:r>
          </w:p>
        </w:tc>
      </w:tr>
      <w:tr>
        <w:trPr/>
        <w:tc>
          <w:tcPr>
            <w:tcW w:w="7738" w:type="dxa"/>
            <w:tcBorders/>
            <w:vAlign w:val="center"/>
          </w:tcPr>
          <w:p>
            <w:pPr>
              <w:pStyle w:val="TableContents"/>
              <w:bidi w:val="0"/>
              <w:spacing w:before="0" w:after="283"/>
              <w:rPr/>
            </w:pPr>
            <w:r>
              <w:rPr/>
              <w:t>Fassung: Februar 2026 — Version 7.2</w:t>
            </w:r>
          </w:p>
        </w:tc>
        <w:tc>
          <w:tcPr>
            <w:tcW w:w="7796" w:type="dxa"/>
            <w:tcBorders/>
            <w:vAlign w:val="center"/>
          </w:tcPr>
          <w:p>
            <w:pPr>
              <w:pStyle w:val="TableContents"/>
              <w:bidi w:val="0"/>
              <w:spacing w:before="0" w:after="283"/>
              <w:rPr/>
            </w:pPr>
            <w:r>
              <w:rPr/>
              <w:t>Version: February 2026 — Version 7.2</w:t>
            </w:r>
          </w:p>
        </w:tc>
      </w:tr>
      <w:tr>
        <w:trPr/>
        <w:tc>
          <w:tcPr>
            <w:tcW w:w="7738" w:type="dxa"/>
            <w:tcBorders/>
            <w:vAlign w:val="center"/>
          </w:tcPr>
          <w:p>
            <w:pPr>
              <w:pStyle w:val="TableContents"/>
              <w:bidi w:val="0"/>
              <w:spacing w:before="0" w:after="283"/>
              <w:rPr/>
            </w:pPr>
            <w:r>
              <w:rPr/>
              <w:t>Bezug: Haus 4, Wohnung 4.27 (3. Obergeschoss) nebst Kellerabteil K-4.27, Terrasse T-4.27 und Tiefgaragenstellplatz TG-127</w:t>
            </w:r>
          </w:p>
        </w:tc>
        <w:tc>
          <w:tcPr>
            <w:tcW w:w="7796" w:type="dxa"/>
            <w:tcBorders/>
            <w:vAlign w:val="center"/>
          </w:tcPr>
          <w:p>
            <w:pPr>
              <w:pStyle w:val="TableContents"/>
              <w:bidi w:val="0"/>
              <w:spacing w:before="0" w:after="283"/>
              <w:rPr/>
            </w:pPr>
            <w:r>
              <w:rPr/>
              <w:t>Reference: House 4, Apartment 4.27 (3rd floor) with basement compartment K-4.27, terrace T-4.27 and underground parking space TG-127</w:t>
            </w:r>
          </w:p>
        </w:tc>
      </w:tr>
      <w:tr>
        <w:trPr/>
        <w:tc>
          <w:tcPr>
            <w:tcW w:w="7738"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796" w:type="dxa"/>
            <w:tcBorders/>
            <w:vAlign w:val="center"/>
          </w:tcPr>
          <w:p>
            <w:pPr>
              <w:pStyle w:val="Heading2"/>
              <w:bidi w:val="0"/>
              <w:spacing w:before="200" w:after="120"/>
              <w:ind w:hanging="0" w:start="0" w:end="0"/>
              <w:rPr/>
            </w:pPr>
            <w:bookmarkStart w:id="49" w:name="preliminary-remarks-on-the-description-o"/>
            <w:bookmarkEnd w:id="49"/>
            <w:r>
              <w:rPr/>
              <w:t>Preliminary remarks on the description of the building</w:t>
            </w:r>
          </w:p>
        </w:tc>
      </w:tr>
      <w:tr>
        <w:trPr/>
        <w:tc>
          <w:tcPr>
            <w:tcW w:w="7738" w:type="dxa"/>
            <w:tcBorders/>
            <w:vAlign w:val="center"/>
          </w:tcPr>
          <w:p>
            <w:pPr>
              <w:pStyle w:val="TableContents"/>
              <w:bidi w:val="0"/>
              <w:spacing w:before="0" w:after="283"/>
              <w:rPr/>
            </w:pPr>
            <w:r>
              <w:rPr>
                <w:rStyle w:val="Strong"/>
              </w:rPr>
              <w:t>V.1</w:t>
            </w:r>
            <w:r>
              <w:rPr/>
              <w:t xml:space="preserve"> 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tc>
        <w:tc>
          <w:tcPr>
            <w:tcW w:w="7796" w:type="dxa"/>
            <w:tcBorders/>
            <w:vAlign w:val="center"/>
          </w:tcPr>
          <w:p>
            <w:pPr>
              <w:pStyle w:val="TableContents"/>
              <w:bidi w:val="0"/>
              <w:spacing w:before="0" w:after="283"/>
              <w:rPr/>
            </w:pPr>
            <w:r>
              <w:rPr>
                <w:rStyle w:val="Strong"/>
              </w:rPr>
              <w:t>V.1</w:t>
            </w:r>
            <w:r>
              <w:rPr/>
              <w:t xml:space="preserve"> This Building Specification describes the construction target for house 4, apartment 4.27, cellar K-4.27, terrace T-4.27 and parking space TG-127 in the version that is relevant for the purchase decision. Sales documents, exposés, visualizations of the quarter square, renderings of houses 4 to 6, floor plan representations with furnishings and the model apartment in house 5 serve to illustrate the quarter and equipment concept “Birkenpfuhl Komfort B4” and become part of the contract only insofar as this Building Specification or the purchase contract expressly refer to it.</w:t>
            </w:r>
          </w:p>
        </w:tc>
      </w:tr>
      <w:tr>
        <w:trPr/>
        <w:tc>
          <w:tcPr>
            <w:tcW w:w="7738" w:type="dxa"/>
            <w:tcBorders/>
            <w:vAlign w:val="center"/>
          </w:tcPr>
          <w:p>
            <w:pPr>
              <w:pStyle w:val="TableContents"/>
              <w:bidi w:val="0"/>
              <w:spacing w:before="0" w:after="283"/>
              <w:rPr/>
            </w:pPr>
            <w:r>
              <w:rPr>
                <w:rStyle w:val="Strong"/>
              </w:rPr>
              <w:t>V.2</w:t>
            </w:r>
            <w:r>
              <w:rPr/>
              <w:t xml:space="preserve"> 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tc>
        <w:tc>
          <w:tcPr>
            <w:tcW w:w="7796" w:type="dxa"/>
            <w:tcBorders/>
            <w:vAlign w:val="center"/>
          </w:tcPr>
          <w:p>
            <w:pPr>
              <w:pStyle w:val="TableContents"/>
              <w:bidi w:val="0"/>
              <w:spacing w:before="0" w:after="283"/>
              <w:rPr/>
            </w:pPr>
            <w:r>
              <w:rPr>
                <w:rStyle w:val="Strong"/>
              </w:rPr>
              <w:t>V.2</w:t>
            </w:r>
            <w:r>
              <w:rPr/>
              <w:t xml:space="preserve"> The manufactures, manufacturers, types and models mentioned in this construction description for floor, tiles, sanitary, doors, fittings, window profiles, elevator, ventilation, measuring systems and underground garage technology are to be understood as examples, if they are mentioned at all. The Seller is entitled to use equivalent or similar products from other manufacturers if this is to be adapted in the construction process due to delivery dates of the house 4 trades, sample bundling, interfaces to the TGA planning or serial order for houses 4 to 6. There is no entitlement to a particular make.</w:t>
            </w:r>
          </w:p>
        </w:tc>
      </w:tr>
      <w:tr>
        <w:trPr/>
        <w:tc>
          <w:tcPr>
            <w:tcW w:w="7738" w:type="dxa"/>
            <w:tcBorders/>
            <w:vAlign w:val="center"/>
          </w:tcPr>
          <w:p>
            <w:pPr>
              <w:pStyle w:val="TableContents"/>
              <w:bidi w:val="0"/>
              <w:spacing w:before="0" w:after="283"/>
              <w:rPr/>
            </w:pPr>
            <w:r>
              <w:rPr>
                <w:rStyle w:val="Strong"/>
              </w:rPr>
              <w:t>V.3</w:t>
            </w:r>
            <w:r>
              <w:rPr/>
              <w:t xml:space="preserve"> 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tc>
        <w:tc>
          <w:tcPr>
            <w:tcW w:w="7796" w:type="dxa"/>
            <w:tcBorders/>
            <w:vAlign w:val="center"/>
          </w:tcPr>
          <w:p>
            <w:pPr>
              <w:pStyle w:val="TableContents"/>
              <w:bidi w:val="0"/>
              <w:spacing w:before="0" w:after="283"/>
              <w:rPr/>
            </w:pPr>
            <w:r>
              <w:rPr>
                <w:rStyle w:val="Strong"/>
              </w:rPr>
              <w:t>V.3</w:t>
            </w:r>
            <w:r>
              <w:rPr/>
              <w:t xml:space="preserve"> If designs, materials, colors or surfaces are not specified in detail, the Seller determines the design within the material family “Birkenpfuhl Comfort B4” taking into account the facade colors of house 4, the sample series B4 floor/B4 bath/B4 door, the TGA interfaces and the later maintainability.</w:t>
            </w:r>
          </w:p>
        </w:tc>
      </w:tr>
      <w:tr>
        <w:trPr/>
        <w:tc>
          <w:tcPr>
            <w:tcW w:w="7738" w:type="dxa"/>
            <w:tcBorders/>
            <w:vAlign w:val="center"/>
          </w:tcPr>
          <w:p>
            <w:pPr>
              <w:pStyle w:val="TableContents"/>
              <w:bidi w:val="0"/>
              <w:spacing w:before="0" w:after="283"/>
              <w:rPr/>
            </w:pPr>
            <w:r>
              <w:rPr>
                <w:rStyle w:val="Strong"/>
              </w:rPr>
              <w:t>V.4</w:t>
            </w:r>
            <w:r>
              <w:rPr/>
              <w:t xml:space="preserve"> 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tc>
        <w:tc>
          <w:tcPr>
            <w:tcW w:w="7796" w:type="dxa"/>
            <w:tcBorders/>
            <w:vAlign w:val="center"/>
          </w:tcPr>
          <w:p>
            <w:pPr>
              <w:pStyle w:val="TableContents"/>
              <w:bidi w:val="0"/>
              <w:spacing w:before="0" w:after="283"/>
              <w:rPr/>
            </w:pPr>
            <w:r>
              <w:rPr>
                <w:rStyle w:val="Strong"/>
              </w:rPr>
              <w:t>V.4</w:t>
            </w:r>
            <w:r>
              <w:rPr/>
              <w:t xml:space="preserve"> Dimensional specifications in plans are, unless expressly designated as binding, approx. information and may change in the course of execution planning, static dimensioning and building technology routes. Minor displacements of walls, shafts, underlays, installation guides and suspended ceilings are reserved and do not constitute a defect.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50" w:name="allgemeines-gebäudekonzept"/>
            <w:bookmarkEnd w:id="50"/>
            <w:r>
              <w:rPr/>
              <w:t>1 Allgemeines, Gebäudekonzept</w:t>
            </w:r>
          </w:p>
        </w:tc>
        <w:tc>
          <w:tcPr>
            <w:tcW w:w="7796" w:type="dxa"/>
            <w:tcBorders/>
            <w:vAlign w:val="center"/>
          </w:tcPr>
          <w:p>
            <w:pPr>
              <w:pStyle w:val="Heading1"/>
              <w:bidi w:val="0"/>
              <w:spacing w:before="240" w:after="283"/>
              <w:ind w:hanging="0" w:start="0" w:end="0"/>
              <w:rPr/>
            </w:pPr>
            <w:bookmarkStart w:id="51" w:name="general-building-concept"/>
            <w:bookmarkEnd w:id="51"/>
            <w:r>
              <w:rPr/>
              <w:t>1 General, building concept</w:t>
            </w:r>
          </w:p>
        </w:tc>
      </w:tr>
      <w:tr>
        <w:trPr/>
        <w:tc>
          <w:tcPr>
            <w:tcW w:w="7738" w:type="dxa"/>
            <w:tcBorders/>
            <w:vAlign w:val="center"/>
          </w:tcPr>
          <w:p>
            <w:pPr>
              <w:pStyle w:val="TableContents"/>
              <w:bidi w:val="0"/>
              <w:spacing w:before="0" w:after="283"/>
              <w:rPr/>
            </w:pPr>
            <w:r>
              <w:rPr>
                <w:rStyle w:val="Strong"/>
              </w:rPr>
              <w:t>1.1</w:t>
            </w:r>
            <w:r>
              <w:rPr/>
              <w:t xml:space="preserve"> Das Quartier umfasst nach derzeitiger Planung zwölf Mehrfamilienhäuser nebst Stadtvilla-Cluster, eine zweigeschossige Tiefgarage sowie Gemeinschafts- und Freiflächen. Haus 4 ist als Mehrfamilienhaus mit Staffelgeschoss konzipiert.</w:t>
            </w:r>
          </w:p>
        </w:tc>
        <w:tc>
          <w:tcPr>
            <w:tcW w:w="7796" w:type="dxa"/>
            <w:tcBorders/>
            <w:vAlign w:val="center"/>
          </w:tcPr>
          <w:p>
            <w:pPr>
              <w:pStyle w:val="TableContents"/>
              <w:bidi w:val="0"/>
              <w:spacing w:before="0" w:after="283"/>
              <w:rPr/>
            </w:pPr>
            <w:r>
              <w:rPr>
                <w:rStyle w:val="Strong"/>
              </w:rPr>
              <w:t>1.1</w:t>
            </w:r>
            <w:r>
              <w:rPr/>
              <w:t xml:space="preserve"> According to current planning, the quarter comprises twelve multi-family houses with a city villa cluster, a two-storey underground garage and common and open spaces. House 4 is designed as an apartment building with a relay floor.</w:t>
            </w:r>
          </w:p>
        </w:tc>
      </w:tr>
      <w:tr>
        <w:trPr/>
        <w:tc>
          <w:tcPr>
            <w:tcW w:w="7738" w:type="dxa"/>
            <w:tcBorders/>
            <w:vAlign w:val="center"/>
          </w:tcPr>
          <w:p>
            <w:pPr>
              <w:pStyle w:val="TableContents"/>
              <w:bidi w:val="0"/>
              <w:spacing w:before="0" w:after="283"/>
              <w:rPr/>
            </w:pPr>
            <w:r>
              <w:rPr>
                <w:rStyle w:val="Strong"/>
              </w:rPr>
              <w:t>1.2</w:t>
            </w:r>
            <w:r>
              <w:rPr/>
              <w:t xml:space="preserve"> 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tc>
        <w:tc>
          <w:tcPr>
            <w:tcW w:w="7796" w:type="dxa"/>
            <w:tcBorders/>
            <w:vAlign w:val="center"/>
          </w:tcPr>
          <w:p>
            <w:pPr>
              <w:pStyle w:val="TableContents"/>
              <w:bidi w:val="0"/>
              <w:spacing w:before="0" w:after="283"/>
              <w:rPr/>
            </w:pPr>
            <w:r>
              <w:rPr>
                <w:rStyle w:val="Strong"/>
              </w:rPr>
              <w:t>1.2</w:t>
            </w:r>
            <w:r>
              <w:rPr/>
              <w:t xml:space="preserve"> The equipment of apartment 4.27 corresponds to the line “Birkenpfuhl Comfort B4” with restrained surfaces, bright sanitary objects, large-sized tiles in bathroom and guest toilet, design-oriented floor coverings in living and sleeping rooms as well as uniform door and hardware series. The specific design of the individual trades results from the following sections and the detailed specifications updated in the course of the execution planning for House 4.</w:t>
            </w:r>
          </w:p>
        </w:tc>
      </w:tr>
      <w:tr>
        <w:trPr/>
        <w:tc>
          <w:tcPr>
            <w:tcW w:w="7738" w:type="dxa"/>
            <w:tcBorders/>
            <w:vAlign w:val="center"/>
          </w:tcPr>
          <w:p>
            <w:pPr>
              <w:pStyle w:val="TableContents"/>
              <w:bidi w:val="0"/>
              <w:spacing w:before="0" w:after="283"/>
              <w:rPr/>
            </w:pPr>
            <w:r>
              <w:rPr>
                <w:rStyle w:val="Strong"/>
              </w:rPr>
              <w:t>1.3</w:t>
            </w:r>
            <w:r>
              <w:rPr/>
              <w:t xml:space="preserve"> 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tc>
        <w:tc>
          <w:tcPr>
            <w:tcW w:w="7796" w:type="dxa"/>
            <w:tcBorders/>
            <w:vAlign w:val="center"/>
          </w:tcPr>
          <w:p>
            <w:pPr>
              <w:pStyle w:val="TableContents"/>
              <w:bidi w:val="0"/>
              <w:spacing w:before="0" w:after="283"/>
              <w:rPr/>
            </w:pPr>
            <w:r>
              <w:rPr>
                <w:rStyle w:val="Strong"/>
              </w:rPr>
              <w:t>1.3</w:t>
            </w:r>
            <w:r>
              <w:rPr/>
              <w:t xml:space="preserve"> Constructive and design changes resulting from the updating of the execution planning, from official requirements, from the structural design or from the coordination of the specialist planners remain reserved, as far as the overall character of the construction project is maintained.</w:t>
            </w:r>
          </w:p>
        </w:tc>
      </w:tr>
      <w:tr>
        <w:trPr/>
        <w:tc>
          <w:tcPr>
            <w:tcW w:w="7738" w:type="dxa"/>
            <w:tcBorders/>
            <w:vAlign w:val="center"/>
          </w:tcPr>
          <w:p>
            <w:pPr>
              <w:pStyle w:val="Heading1"/>
              <w:bidi w:val="0"/>
              <w:spacing w:before="240" w:after="283"/>
              <w:ind w:hanging="0" w:start="0" w:end="0"/>
              <w:rPr/>
            </w:pPr>
            <w:bookmarkStart w:id="52" w:name="baugrund-gründung-baugrube"/>
            <w:bookmarkEnd w:id="52"/>
            <w:r>
              <w:rPr/>
              <w:t>2 Baugrund, Gründung, Baugrube</w:t>
            </w:r>
          </w:p>
        </w:tc>
        <w:tc>
          <w:tcPr>
            <w:tcW w:w="7796" w:type="dxa"/>
            <w:tcBorders/>
            <w:vAlign w:val="center"/>
          </w:tcPr>
          <w:p>
            <w:pPr>
              <w:pStyle w:val="Heading1"/>
              <w:bidi w:val="0"/>
              <w:spacing w:before="240" w:after="283"/>
              <w:ind w:hanging="0" w:start="0" w:end="0"/>
              <w:rPr/>
            </w:pPr>
            <w:bookmarkStart w:id="53" w:name="ground-foundation-excavation-pit"/>
            <w:bookmarkEnd w:id="53"/>
            <w:r>
              <w:rPr/>
              <w:t>2 Ground, foundation, excavation pit</w:t>
            </w:r>
          </w:p>
        </w:tc>
      </w:tr>
      <w:tr>
        <w:trPr/>
        <w:tc>
          <w:tcPr>
            <w:tcW w:w="7738" w:type="dxa"/>
            <w:tcBorders/>
            <w:vAlign w:val="center"/>
          </w:tcPr>
          <w:p>
            <w:pPr>
              <w:pStyle w:val="TableContents"/>
              <w:bidi w:val="0"/>
              <w:spacing w:before="0" w:after="283"/>
              <w:rPr/>
            </w:pPr>
            <w:r>
              <w:rPr>
                <w:rStyle w:val="Strong"/>
              </w:rPr>
              <w:t>2.1</w:t>
            </w:r>
            <w:r>
              <w:rPr/>
              <w:t xml:space="preserve"> 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tc>
        <w:tc>
          <w:tcPr>
            <w:tcW w:w="7796" w:type="dxa"/>
            <w:tcBorders/>
            <w:vAlign w:val="center"/>
          </w:tcPr>
          <w:p>
            <w:pPr>
              <w:pStyle w:val="TableContents"/>
              <w:bidi w:val="0"/>
              <w:spacing w:before="0" w:after="283"/>
              <w:rPr/>
            </w:pPr>
            <w:r>
              <w:rPr>
                <w:rStyle w:val="Strong"/>
              </w:rPr>
              <w:t>2.1</w:t>
            </w:r>
            <w:r>
              <w:rPr/>
              <w:t xml:space="preserve"> The foundation is based on the oriented ground exploration “BQ-KNW-4/2026”. The type and depth of the foundation of House 4 and the underground car park span Nord (flat foundation, underground foundation, soil exchange, soil improvement or combination) are determined in the course of the execution planning by the structural planner.</w:t>
            </w:r>
          </w:p>
        </w:tc>
      </w:tr>
      <w:tr>
        <w:trPr/>
        <w:tc>
          <w:tcPr>
            <w:tcW w:w="7738" w:type="dxa"/>
            <w:tcBorders/>
            <w:vAlign w:val="center"/>
          </w:tcPr>
          <w:p>
            <w:pPr>
              <w:pStyle w:val="TableContents"/>
              <w:bidi w:val="0"/>
              <w:spacing w:before="0" w:after="283"/>
              <w:rPr/>
            </w:pPr>
            <w:r>
              <w:rPr>
                <w:rStyle w:val="Strong"/>
              </w:rPr>
              <w:t>2.2</w:t>
            </w:r>
            <w:r>
              <w:rPr/>
              <w:t xml:space="preserve"> 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tc>
        <w:tc>
          <w:tcPr>
            <w:tcW w:w="7796" w:type="dxa"/>
            <w:tcBorders/>
            <w:vAlign w:val="center"/>
          </w:tcPr>
          <w:p>
            <w:pPr>
              <w:pStyle w:val="TableContents"/>
              <w:bidi w:val="0"/>
              <w:spacing w:before="0" w:after="283"/>
              <w:rPr/>
            </w:pPr>
            <w:r>
              <w:rPr>
                <w:rStyle w:val="Strong"/>
              </w:rPr>
              <w:t>2.2</w:t>
            </w:r>
            <w:r>
              <w:rPr/>
              <w:t xml:space="preserve"> Water management measures, the construction of excavation pits along the northern edge of the underground car park, the lowering of groundwater and any adjustments resulting from actual findings of soil, groundwater, contaminated sites or ordnance constitute part of the construction-side production, but do not justify a condition beyond this specification. The earth-contacting components of house 4, basement zone and underground garage are sealed according to the relevant technical regulations in a design suitable for residential buildings, basement compartments and underground garage use.</w:t>
            </w:r>
          </w:p>
        </w:tc>
      </w:tr>
      <w:tr>
        <w:trPr/>
        <w:tc>
          <w:tcPr>
            <w:tcW w:w="7738" w:type="dxa"/>
            <w:tcBorders/>
            <w:vAlign w:val="center"/>
          </w:tcPr>
          <w:p>
            <w:pPr>
              <w:pStyle w:val="Heading1"/>
              <w:bidi w:val="0"/>
              <w:spacing w:before="240" w:after="283"/>
              <w:ind w:hanging="0" w:start="0" w:end="0"/>
              <w:rPr/>
            </w:pPr>
            <w:bookmarkStart w:id="54" w:name="rohbau-und-konstruktion"/>
            <w:bookmarkEnd w:id="54"/>
            <w:r>
              <w:rPr/>
              <w:t>3 Rohbau und Konstruktion</w:t>
            </w:r>
          </w:p>
        </w:tc>
        <w:tc>
          <w:tcPr>
            <w:tcW w:w="7796" w:type="dxa"/>
            <w:tcBorders/>
            <w:vAlign w:val="center"/>
          </w:tcPr>
          <w:p>
            <w:pPr>
              <w:pStyle w:val="Heading1"/>
              <w:bidi w:val="0"/>
              <w:spacing w:before="240" w:after="283"/>
              <w:ind w:hanging="0" w:start="0" w:end="0"/>
              <w:rPr/>
            </w:pPr>
            <w:bookmarkStart w:id="55" w:name="structure-and-construction"/>
            <w:bookmarkEnd w:id="55"/>
            <w:r>
              <w:rPr/>
              <w:t>3 Structure and construction</w:t>
            </w:r>
          </w:p>
        </w:tc>
      </w:tr>
      <w:tr>
        <w:trPr/>
        <w:tc>
          <w:tcPr>
            <w:tcW w:w="7738" w:type="dxa"/>
            <w:tcBorders/>
            <w:vAlign w:val="center"/>
          </w:tcPr>
          <w:p>
            <w:pPr>
              <w:pStyle w:val="TableContents"/>
              <w:bidi w:val="0"/>
              <w:spacing w:before="0" w:after="283"/>
              <w:rPr/>
            </w:pPr>
            <w:r>
              <w:rPr>
                <w:rStyle w:val="Strong"/>
              </w:rPr>
              <w:t>3.1</w:t>
            </w:r>
            <w:r>
              <w:rPr/>
              <w:t xml:space="preserve"> Gründung, Kelleraußenwände und Tiefgarage werden in Stahlbeton bzw. wasserundurchlässigem Beton hergestellt, soweit es die Tragwerksplanung vorsieht. Wohnungstrennwände und tragende Innenwände werden in Massivbauweise (Beton oder Mauerwerk) ausgeführt.</w:t>
            </w:r>
          </w:p>
        </w:tc>
        <w:tc>
          <w:tcPr>
            <w:tcW w:w="7796" w:type="dxa"/>
            <w:tcBorders/>
            <w:vAlign w:val="center"/>
          </w:tcPr>
          <w:p>
            <w:pPr>
              <w:pStyle w:val="TableContents"/>
              <w:bidi w:val="0"/>
              <w:spacing w:before="0" w:after="283"/>
              <w:rPr/>
            </w:pPr>
            <w:r>
              <w:rPr>
                <w:rStyle w:val="Strong"/>
              </w:rPr>
              <w:t>3.1</w:t>
            </w:r>
            <w:r>
              <w:rPr/>
              <w:t xml:space="preserve"> Foundation, basement outer walls and underground garage are produced in reinforced concrete or water-impermeable concrete, as far as the structural design provides. Residential partition walls and load-bearing interior walls are of solid construction (concrete or masonry).</w:t>
            </w:r>
          </w:p>
        </w:tc>
      </w:tr>
      <w:tr>
        <w:trPr/>
        <w:tc>
          <w:tcPr>
            <w:tcW w:w="7738" w:type="dxa"/>
            <w:tcBorders/>
            <w:vAlign w:val="center"/>
          </w:tcPr>
          <w:p>
            <w:pPr>
              <w:pStyle w:val="TableContents"/>
              <w:bidi w:val="0"/>
              <w:spacing w:before="0" w:after="283"/>
              <w:rPr/>
            </w:pPr>
            <w:r>
              <w:rPr>
                <w:rStyle w:val="Strong"/>
              </w:rPr>
              <w:t>3.2</w:t>
            </w:r>
            <w:r>
              <w:rPr/>
              <w:t xml:space="preserve"> Nichttragende Trennwände innerhalb der Wohnung 4.27 werden entsprechend der Ausführungsplanung als Trockenbau- oder Mauerwerkswände erstellt. Die genaue Ausführung legt der Verkäufer anhand von Schachtlage, Installationsführung, Schallschutzkonzept und Bauablauf fest.</w:t>
            </w:r>
          </w:p>
        </w:tc>
        <w:tc>
          <w:tcPr>
            <w:tcW w:w="7796" w:type="dxa"/>
            <w:tcBorders/>
            <w:vAlign w:val="center"/>
          </w:tcPr>
          <w:p>
            <w:pPr>
              <w:pStyle w:val="TableContents"/>
              <w:bidi w:val="0"/>
              <w:spacing w:before="0" w:after="283"/>
              <w:rPr/>
            </w:pPr>
            <w:r>
              <w:rPr>
                <w:rStyle w:val="Strong"/>
              </w:rPr>
              <w:t>3.2</w:t>
            </w:r>
            <w:r>
              <w:rPr/>
              <w:t xml:space="preserve"> Non-supporting partitions within the apartment 4.27 are constructed as drywall or masonry walls according to the execution planning. The Seller determines the exact execution on the basis of shaft location, installation guidance, sound protection concept and construction process.</w:t>
            </w:r>
          </w:p>
        </w:tc>
      </w:tr>
      <w:tr>
        <w:trPr/>
        <w:tc>
          <w:tcPr>
            <w:tcW w:w="7738" w:type="dxa"/>
            <w:tcBorders/>
            <w:vAlign w:val="center"/>
          </w:tcPr>
          <w:p>
            <w:pPr>
              <w:pStyle w:val="TableContents"/>
              <w:bidi w:val="0"/>
              <w:spacing w:before="0" w:after="283"/>
              <w:rPr/>
            </w:pPr>
            <w:r>
              <w:rPr>
                <w:rStyle w:val="Strong"/>
              </w:rPr>
              <w:t>3.3</w:t>
            </w:r>
            <w:r>
              <w:rPr/>
              <w:t xml:space="preserve"> Die lichte Raumhöhe der Wohnräume beträgt ca. 2,60 m, im Bereich von Unterzügen, abgehängten Decken und Installationsführungen entsprechend weniger.</w:t>
            </w:r>
          </w:p>
        </w:tc>
        <w:tc>
          <w:tcPr>
            <w:tcW w:w="7796" w:type="dxa"/>
            <w:tcBorders/>
            <w:vAlign w:val="center"/>
          </w:tcPr>
          <w:p>
            <w:pPr>
              <w:pStyle w:val="TableContents"/>
              <w:bidi w:val="0"/>
              <w:spacing w:before="0" w:after="283"/>
              <w:rPr/>
            </w:pPr>
            <w:r>
              <w:rPr>
                <w:rStyle w:val="Strong"/>
              </w:rPr>
              <w:t>3.3</w:t>
            </w:r>
            <w:r>
              <w:rPr/>
              <w:t xml:space="preserve"> The clear room height of the living rooms is approx. 2,60 m, correspondingly less in the area of lifts, suspended ceilings and installation guides.</w:t>
            </w:r>
          </w:p>
        </w:tc>
      </w:tr>
      <w:tr>
        <w:trPr/>
        <w:tc>
          <w:tcPr>
            <w:tcW w:w="7738" w:type="dxa"/>
            <w:tcBorders/>
            <w:vAlign w:val="center"/>
          </w:tcPr>
          <w:p>
            <w:pPr>
              <w:pStyle w:val="Heading1"/>
              <w:bidi w:val="0"/>
              <w:spacing w:before="240" w:after="283"/>
              <w:ind w:hanging="0" w:start="0" w:end="0"/>
              <w:rPr/>
            </w:pPr>
            <w:bookmarkStart w:id="56" w:name="fassade-außenwände-wärmedämmung"/>
            <w:bookmarkEnd w:id="56"/>
            <w:r>
              <w:rPr/>
              <w:t>4 Fassade, Außenwände, Wärmedämmung</w:t>
            </w:r>
          </w:p>
        </w:tc>
        <w:tc>
          <w:tcPr>
            <w:tcW w:w="7796" w:type="dxa"/>
            <w:tcBorders/>
            <w:vAlign w:val="center"/>
          </w:tcPr>
          <w:p>
            <w:pPr>
              <w:pStyle w:val="Heading1"/>
              <w:bidi w:val="0"/>
              <w:spacing w:before="240" w:after="283"/>
              <w:ind w:hanging="0" w:start="0" w:end="0"/>
              <w:rPr/>
            </w:pPr>
            <w:bookmarkStart w:id="57" w:name="facade-exterior-walls-thermal-insulation"/>
            <w:bookmarkEnd w:id="57"/>
            <w:r>
              <w:rPr/>
              <w:t>4 Facade, exterior walls, thermal insulation</w:t>
            </w:r>
          </w:p>
        </w:tc>
      </w:tr>
      <w:tr>
        <w:trPr/>
        <w:tc>
          <w:tcPr>
            <w:tcW w:w="7738" w:type="dxa"/>
            <w:tcBorders/>
            <w:vAlign w:val="center"/>
          </w:tcPr>
          <w:p>
            <w:pPr>
              <w:pStyle w:val="TableContents"/>
              <w:bidi w:val="0"/>
              <w:spacing w:before="0" w:after="283"/>
              <w:rPr/>
            </w:pPr>
            <w:r>
              <w:rPr>
                <w:rStyle w:val="Strong"/>
              </w:rPr>
              <w:t>4.1</w:t>
            </w:r>
            <w:r>
              <w:rPr/>
              <w:t xml:space="preserve"> 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tc>
        <w:tc>
          <w:tcPr>
            <w:tcW w:w="7796" w:type="dxa"/>
            <w:tcBorders/>
            <w:vAlign w:val="center"/>
          </w:tcPr>
          <w:p>
            <w:pPr>
              <w:pStyle w:val="TableContents"/>
              <w:bidi w:val="0"/>
              <w:spacing w:before="0" w:after="283"/>
              <w:rPr/>
            </w:pPr>
            <w:r>
              <w:rPr>
                <w:rStyle w:val="Strong"/>
              </w:rPr>
              <w:t>4.1</w:t>
            </w:r>
            <w:r>
              <w:rPr/>
              <w:t xml:space="preserve"> The exterior walls of house 4 receive a thermal insulation composite system or an equivalent insulation construction with a bright plaster surface, accentuated facade fields and a solid base construction on the ground floor. The colouring and materiality of the facade is defined by the Seller as part of the design concept “Birkenpfuhl Q1”.</w:t>
            </w:r>
          </w:p>
        </w:tc>
      </w:tr>
      <w:tr>
        <w:trPr/>
        <w:tc>
          <w:tcPr>
            <w:tcW w:w="7738" w:type="dxa"/>
            <w:tcBorders/>
            <w:vAlign w:val="center"/>
          </w:tcPr>
          <w:p>
            <w:pPr>
              <w:pStyle w:val="TableContents"/>
              <w:bidi w:val="0"/>
              <w:spacing w:before="0" w:after="283"/>
              <w:rPr/>
            </w:pPr>
            <w:r>
              <w:rPr>
                <w:rStyle w:val="Strong"/>
              </w:rPr>
              <w:t>4.2</w:t>
            </w:r>
            <w:r>
              <w:rPr/>
              <w:t xml:space="preserve"> Dämmstärken und Dämmstoffe werden nach den energetischen Nachweisen bemessen (vgl. Abschnitt 17).</w:t>
            </w:r>
          </w:p>
        </w:tc>
        <w:tc>
          <w:tcPr>
            <w:tcW w:w="7796" w:type="dxa"/>
            <w:tcBorders/>
            <w:vAlign w:val="center"/>
          </w:tcPr>
          <w:p>
            <w:pPr>
              <w:pStyle w:val="TableContents"/>
              <w:bidi w:val="0"/>
              <w:spacing w:before="0" w:after="283"/>
              <w:rPr/>
            </w:pPr>
            <w:r>
              <w:rPr>
                <w:rStyle w:val="Strong"/>
              </w:rPr>
              <w:t>4.2</w:t>
            </w:r>
            <w:r>
              <w:rPr/>
              <w:t xml:space="preserve"> Insulation thicknesses and insulation materials are measured according to the energetic evidence (see Section 17).</w:t>
            </w:r>
          </w:p>
        </w:tc>
      </w:tr>
      <w:tr>
        <w:trPr/>
        <w:tc>
          <w:tcPr>
            <w:tcW w:w="7738" w:type="dxa"/>
            <w:tcBorders/>
            <w:vAlign w:val="center"/>
          </w:tcPr>
          <w:p>
            <w:pPr>
              <w:pStyle w:val="Heading1"/>
              <w:bidi w:val="0"/>
              <w:spacing w:before="240" w:after="283"/>
              <w:ind w:hanging="0" w:start="0" w:end="0"/>
              <w:rPr/>
            </w:pPr>
            <w:bookmarkStart w:id="58" w:name="dach"/>
            <w:bookmarkEnd w:id="58"/>
            <w:r>
              <w:rPr/>
              <w:t>5 Dach</w:t>
            </w:r>
          </w:p>
        </w:tc>
        <w:tc>
          <w:tcPr>
            <w:tcW w:w="7796" w:type="dxa"/>
            <w:tcBorders/>
            <w:vAlign w:val="center"/>
          </w:tcPr>
          <w:p>
            <w:pPr>
              <w:pStyle w:val="Heading1"/>
              <w:bidi w:val="0"/>
              <w:spacing w:before="240" w:after="283"/>
              <w:ind w:hanging="0" w:start="0" w:end="0"/>
              <w:rPr/>
            </w:pPr>
            <w:bookmarkStart w:id="59" w:name="roof"/>
            <w:bookmarkEnd w:id="59"/>
            <w:r>
              <w:rPr/>
              <w:t>5 roof</w:t>
            </w:r>
          </w:p>
        </w:tc>
      </w:tr>
      <w:tr>
        <w:trPr/>
        <w:tc>
          <w:tcPr>
            <w:tcW w:w="7738" w:type="dxa"/>
            <w:tcBorders/>
            <w:vAlign w:val="center"/>
          </w:tcPr>
          <w:p>
            <w:pPr>
              <w:pStyle w:val="TableContents"/>
              <w:bidi w:val="0"/>
              <w:spacing w:before="0" w:after="283"/>
              <w:rPr/>
            </w:pPr>
            <w:r>
              <w:rPr>
                <w:rStyle w:val="Strong"/>
              </w:rPr>
              <w:t>5.1</w:t>
            </w:r>
            <w:r>
              <w:rPr/>
              <w:t xml:space="preserve"> Die Dachflächen werden als Flachdach bzw. flach geneigtes Dach ausgeführt und abgedichtet. Dachbegrünung, Bekiesung oder Belegung erfolgt nach dem Freiflächen- und Entwässerungskonzept.</w:t>
            </w:r>
          </w:p>
        </w:tc>
        <w:tc>
          <w:tcPr>
            <w:tcW w:w="7796" w:type="dxa"/>
            <w:tcBorders/>
            <w:vAlign w:val="center"/>
          </w:tcPr>
          <w:p>
            <w:pPr>
              <w:pStyle w:val="TableContents"/>
              <w:bidi w:val="0"/>
              <w:spacing w:before="0" w:after="283"/>
              <w:rPr/>
            </w:pPr>
            <w:r>
              <w:rPr>
                <w:rStyle w:val="Strong"/>
              </w:rPr>
              <w:t>5.1</w:t>
            </w:r>
            <w:r>
              <w:rPr/>
              <w:t xml:space="preserve"> The roof surfaces are designed and sealed as a flat roof or a flatly inclined roof. Green roofing, gravel or occupancy is carried out according to the open-air and drainage concept.</w:t>
            </w:r>
          </w:p>
        </w:tc>
      </w:tr>
      <w:tr>
        <w:trPr/>
        <w:tc>
          <w:tcPr>
            <w:tcW w:w="7738" w:type="dxa"/>
            <w:tcBorders/>
            <w:vAlign w:val="center"/>
          </w:tcPr>
          <w:p>
            <w:pPr>
              <w:pStyle w:val="TableContents"/>
              <w:bidi w:val="0"/>
              <w:spacing w:before="0" w:after="283"/>
              <w:rPr/>
            </w:pPr>
            <w:r>
              <w:rPr>
                <w:rStyle w:val="Strong"/>
              </w:rPr>
              <w:t>5.2</w:t>
            </w:r>
            <w:r>
              <w:rPr/>
              <w:t xml:space="preserve"> Eine Nutzung der Dachflächen durch die Erwerber des Hauses 4 ist nicht geschuldet, soweit nicht in der Teilungserklärung ausdrücklich ein Sondernutzungsrecht zugewiesen ist.</w:t>
            </w:r>
          </w:p>
        </w:tc>
        <w:tc>
          <w:tcPr>
            <w:tcW w:w="7796" w:type="dxa"/>
            <w:tcBorders/>
            <w:vAlign w:val="center"/>
          </w:tcPr>
          <w:p>
            <w:pPr>
              <w:pStyle w:val="TableContents"/>
              <w:bidi w:val="0"/>
              <w:spacing w:before="0" w:after="283"/>
              <w:rPr/>
            </w:pPr>
            <w:r>
              <w:rPr>
                <w:rStyle w:val="Strong"/>
              </w:rPr>
              <w:t>5.2</w:t>
            </w:r>
            <w:r>
              <w:rPr/>
              <w:t xml:space="preserve"> A use of the roof areas by the purchasers of House 4 is not owed, unless a special right of use is explicitly assigned in the declaration of division.</w:t>
            </w:r>
          </w:p>
        </w:tc>
      </w:tr>
      <w:tr>
        <w:trPr/>
        <w:tc>
          <w:tcPr>
            <w:tcW w:w="7738" w:type="dxa"/>
            <w:tcBorders/>
            <w:vAlign w:val="center"/>
          </w:tcPr>
          <w:p>
            <w:pPr>
              <w:pStyle w:val="Heading1"/>
              <w:bidi w:val="0"/>
              <w:spacing w:before="240" w:after="283"/>
              <w:ind w:hanging="0" w:start="0" w:end="0"/>
              <w:rPr/>
            </w:pPr>
            <w:bookmarkStart w:id="60" w:name="fenster-außentüren-verglasung"/>
            <w:bookmarkEnd w:id="60"/>
            <w:r>
              <w:rPr/>
              <w:t>6 Fenster, Außentüren, Verglasung</w:t>
            </w:r>
          </w:p>
        </w:tc>
        <w:tc>
          <w:tcPr>
            <w:tcW w:w="7796" w:type="dxa"/>
            <w:tcBorders/>
            <w:vAlign w:val="center"/>
          </w:tcPr>
          <w:p>
            <w:pPr>
              <w:pStyle w:val="Heading1"/>
              <w:bidi w:val="0"/>
              <w:spacing w:before="240" w:after="283"/>
              <w:ind w:hanging="0" w:start="0" w:end="0"/>
              <w:rPr/>
            </w:pPr>
            <w:bookmarkStart w:id="61" w:name="windows-exterior-doors-glazing"/>
            <w:bookmarkEnd w:id="61"/>
            <w:r>
              <w:rPr/>
              <w:t>6 windows, exterior doors, glazing</w:t>
            </w:r>
          </w:p>
        </w:tc>
      </w:tr>
      <w:tr>
        <w:trPr/>
        <w:tc>
          <w:tcPr>
            <w:tcW w:w="7738" w:type="dxa"/>
            <w:tcBorders/>
            <w:vAlign w:val="center"/>
          </w:tcPr>
          <w:p>
            <w:pPr>
              <w:pStyle w:val="TableContents"/>
              <w:bidi w:val="0"/>
              <w:spacing w:before="0" w:after="283"/>
              <w:rPr/>
            </w:pPr>
            <w:r>
              <w:rPr>
                <w:rStyle w:val="Strong"/>
              </w:rPr>
              <w:t>6.1</w:t>
            </w:r>
            <w:r>
              <w:rPr/>
              <w:t xml:space="preserve"> 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tc>
        <w:tc>
          <w:tcPr>
            <w:tcW w:w="7796" w:type="dxa"/>
            <w:tcBorders/>
            <w:vAlign w:val="center"/>
          </w:tcPr>
          <w:p>
            <w:pPr>
              <w:pStyle w:val="TableContents"/>
              <w:bidi w:val="0"/>
              <w:spacing w:before="0" w:after="283"/>
              <w:rPr/>
            </w:pPr>
            <w:r>
              <w:rPr>
                <w:rStyle w:val="Strong"/>
              </w:rPr>
              <w:t>6.1</w:t>
            </w:r>
            <w:r>
              <w:rPr/>
              <w:t xml:space="preserve"> The windows of the apartment 4.27 are designed as plastic, plastic aluminum or aluminum windows with multiple-glazing; Profile selection, standard fitting, opening type and colour shade are made by the Seller within the framework of the facade and energy concept for House 4. External color, frame width and divisions follow the facade grid B4-F-03; A bright standard surface is provided on the inside.</w:t>
            </w:r>
          </w:p>
        </w:tc>
      </w:tr>
      <w:tr>
        <w:trPr/>
        <w:tc>
          <w:tcPr>
            <w:tcW w:w="7738" w:type="dxa"/>
            <w:tcBorders/>
            <w:vAlign w:val="center"/>
          </w:tcPr>
          <w:p>
            <w:pPr>
              <w:pStyle w:val="TableContents"/>
              <w:bidi w:val="0"/>
              <w:spacing w:before="0" w:after="283"/>
              <w:rPr/>
            </w:pPr>
            <w:r>
              <w:rPr>
                <w:rStyle w:val="Strong"/>
              </w:rPr>
              <w:t>6.2</w:t>
            </w:r>
            <w:r>
              <w:rPr/>
              <w:t xml:space="preserve"> 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tc>
        <w:tc>
          <w:tcPr>
            <w:tcW w:w="7796" w:type="dxa"/>
            <w:tcBorders/>
            <w:vAlign w:val="center"/>
          </w:tcPr>
          <w:p>
            <w:pPr>
              <w:pStyle w:val="TableContents"/>
              <w:bidi w:val="0"/>
              <w:spacing w:before="0" w:after="283"/>
              <w:rPr/>
            </w:pPr>
            <w:r>
              <w:rPr>
                <w:rStyle w:val="Strong"/>
              </w:rPr>
              <w:t>6.2</w:t>
            </w:r>
            <w:r>
              <w:rPr/>
              <w:t xml:space="preserve"> Part of the windows and window doors are equipped with external sun protection. Which openings of the apartment 4.27 receive sun protection depends on facade location, wind guard concept, shading of the neighboring buildings and technical feasibility; It is determined by the Seller.</w:t>
            </w:r>
          </w:p>
        </w:tc>
      </w:tr>
      <w:tr>
        <w:trPr/>
        <w:tc>
          <w:tcPr>
            <w:tcW w:w="7738" w:type="dxa"/>
            <w:tcBorders/>
            <w:vAlign w:val="center"/>
          </w:tcPr>
          <w:p>
            <w:pPr>
              <w:pStyle w:val="TableContents"/>
              <w:bidi w:val="0"/>
              <w:spacing w:before="0" w:after="283"/>
              <w:rPr/>
            </w:pPr>
            <w:r>
              <w:rPr>
                <w:rStyle w:val="Strong"/>
              </w:rPr>
              <w:t>6.3</w:t>
            </w:r>
            <w:r>
              <w:rPr/>
              <w:t xml:space="preserve"> 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tc>
        <w:tc>
          <w:tcPr>
            <w:tcW w:w="7796" w:type="dxa"/>
            <w:tcBorders/>
            <w:vAlign w:val="center"/>
          </w:tcPr>
          <w:p>
            <w:pPr>
              <w:pStyle w:val="TableContents"/>
              <w:bidi w:val="0"/>
              <w:spacing w:before="0" w:after="283"/>
              <w:rPr/>
            </w:pPr>
            <w:r>
              <w:rPr>
                <w:rStyle w:val="Strong"/>
              </w:rPr>
              <w:t>6.3</w:t>
            </w:r>
            <w:r>
              <w:rPr/>
              <w:t xml:space="preserve"> The apartment entrance door of unit 4.27 is designed as a tight-closing door with spy, multiple-locking according to Seller standard, stainless steel pusher fitting and the series of surfaces used in stairwell house 4; Further resistance or sound protection classes are only owed if they are expressly agreed with the characteristic value.</w:t>
            </w:r>
          </w:p>
        </w:tc>
      </w:tr>
      <w:tr>
        <w:trPr/>
        <w:tc>
          <w:tcPr>
            <w:tcW w:w="7738" w:type="dxa"/>
            <w:tcBorders/>
            <w:vAlign w:val="center"/>
          </w:tcPr>
          <w:p>
            <w:pPr>
              <w:pStyle w:val="Heading1"/>
              <w:bidi w:val="0"/>
              <w:spacing w:before="240" w:after="283"/>
              <w:ind w:hanging="0" w:start="0" w:end="0"/>
              <w:rPr/>
            </w:pPr>
            <w:bookmarkStart w:id="62" w:name="innenausbau-wände-decken-estrich"/>
            <w:bookmarkEnd w:id="62"/>
            <w:r>
              <w:rPr/>
              <w:t>7 Innenausbau, Wände, Decken, Estrich</w:t>
            </w:r>
          </w:p>
        </w:tc>
        <w:tc>
          <w:tcPr>
            <w:tcW w:w="7796" w:type="dxa"/>
            <w:tcBorders/>
            <w:vAlign w:val="center"/>
          </w:tcPr>
          <w:p>
            <w:pPr>
              <w:pStyle w:val="Heading1"/>
              <w:bidi w:val="0"/>
              <w:spacing w:before="240" w:after="283"/>
              <w:ind w:hanging="0" w:start="0" w:end="0"/>
              <w:rPr/>
            </w:pPr>
            <w:bookmarkStart w:id="63" w:name="interior-walls-ceilings-floor-screed"/>
            <w:bookmarkEnd w:id="63"/>
            <w:r>
              <w:rPr/>
              <w:t>7 Interior, walls, ceilings, floor screed</w:t>
            </w:r>
          </w:p>
        </w:tc>
      </w:tr>
      <w:tr>
        <w:trPr/>
        <w:tc>
          <w:tcPr>
            <w:tcW w:w="7738" w:type="dxa"/>
            <w:tcBorders/>
            <w:vAlign w:val="center"/>
          </w:tcPr>
          <w:p>
            <w:pPr>
              <w:pStyle w:val="TableContents"/>
              <w:bidi w:val="0"/>
              <w:spacing w:before="0" w:after="283"/>
              <w:rPr/>
            </w:pPr>
            <w:r>
              <w:rPr>
                <w:rStyle w:val="Strong"/>
              </w:rPr>
              <w:t>7.1</w:t>
            </w:r>
            <w:r>
              <w:rPr/>
              <w:t xml:space="preserve"> 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tc>
        <w:tc>
          <w:tcPr>
            <w:tcW w:w="7796" w:type="dxa"/>
            <w:tcBorders/>
            <w:vAlign w:val="center"/>
          </w:tcPr>
          <w:p>
            <w:pPr>
              <w:pStyle w:val="TableContents"/>
              <w:bidi w:val="0"/>
              <w:spacing w:before="0" w:after="283"/>
              <w:rPr/>
            </w:pPr>
            <w:r>
              <w:rPr>
                <w:rStyle w:val="Strong"/>
              </w:rPr>
              <w:t>7.1</w:t>
            </w:r>
            <w:r>
              <w:rPr/>
              <w:t xml:space="preserve"> Wall and ceiling surfaces are plastered or made in drywall and prepared for a paint-ready or paper-ready surface. A painting of the walls in the living rooms is not included in the standard, unless otherwise specified in the sample.</w:t>
            </w:r>
          </w:p>
        </w:tc>
      </w:tr>
      <w:tr>
        <w:trPr/>
        <w:tc>
          <w:tcPr>
            <w:tcW w:w="7738" w:type="dxa"/>
            <w:tcBorders/>
            <w:vAlign w:val="center"/>
          </w:tcPr>
          <w:p>
            <w:pPr>
              <w:pStyle w:val="TableContents"/>
              <w:bidi w:val="0"/>
              <w:spacing w:before="0" w:after="283"/>
              <w:rPr/>
            </w:pPr>
            <w:r>
              <w:rPr>
                <w:rStyle w:val="Strong"/>
              </w:rPr>
              <w:t>7.2</w:t>
            </w:r>
            <w:r>
              <w:rPr/>
              <w:t xml:space="preserve"> In den Wohnräumen wird ein schwimmender Estrich auf Dämmung eingebracht. Der Estrich wird für die in Abschnitt 8 vorgesehenen Bodenbeläge vorbereitet.</w:t>
            </w:r>
          </w:p>
        </w:tc>
        <w:tc>
          <w:tcPr>
            <w:tcW w:w="7796" w:type="dxa"/>
            <w:tcBorders/>
            <w:vAlign w:val="center"/>
          </w:tcPr>
          <w:p>
            <w:pPr>
              <w:pStyle w:val="TableContents"/>
              <w:bidi w:val="0"/>
              <w:spacing w:before="0" w:after="283"/>
              <w:rPr/>
            </w:pPr>
            <w:r>
              <w:rPr>
                <w:rStyle w:val="Strong"/>
              </w:rPr>
              <w:t>7.2</w:t>
            </w:r>
            <w:r>
              <w:rPr/>
              <w:t xml:space="preserve"> A floating screed is placed on insulation in the living quarters. The screed is prepared for the floor coverings provided for in Section 8.</w:t>
            </w:r>
          </w:p>
        </w:tc>
      </w:tr>
      <w:tr>
        <w:trPr/>
        <w:tc>
          <w:tcPr>
            <w:tcW w:w="7738" w:type="dxa"/>
            <w:tcBorders/>
            <w:vAlign w:val="center"/>
          </w:tcPr>
          <w:p>
            <w:pPr>
              <w:pStyle w:val="Heading1"/>
              <w:bidi w:val="0"/>
              <w:spacing w:before="240" w:after="283"/>
              <w:ind w:hanging="0" w:start="0" w:end="0"/>
              <w:rPr/>
            </w:pPr>
            <w:bookmarkStart w:id="64" w:name="bodenbeläge"/>
            <w:bookmarkEnd w:id="64"/>
            <w:r>
              <w:rPr/>
              <w:t>8 Bodenbeläge</w:t>
            </w:r>
          </w:p>
        </w:tc>
        <w:tc>
          <w:tcPr>
            <w:tcW w:w="7796" w:type="dxa"/>
            <w:tcBorders/>
            <w:vAlign w:val="center"/>
          </w:tcPr>
          <w:p>
            <w:pPr>
              <w:pStyle w:val="Heading1"/>
              <w:bidi w:val="0"/>
              <w:spacing w:before="240" w:after="283"/>
              <w:ind w:hanging="0" w:start="0" w:end="0"/>
              <w:rPr/>
            </w:pPr>
            <w:bookmarkStart w:id="65" w:name="floor-coverings"/>
            <w:bookmarkEnd w:id="65"/>
            <w:r>
              <w:rPr/>
              <w:t>8 Floor coverings</w:t>
            </w:r>
          </w:p>
        </w:tc>
      </w:tr>
      <w:tr>
        <w:trPr/>
        <w:tc>
          <w:tcPr>
            <w:tcW w:w="7738" w:type="dxa"/>
            <w:tcBorders/>
            <w:vAlign w:val="center"/>
          </w:tcPr>
          <w:p>
            <w:pPr>
              <w:pStyle w:val="TableContents"/>
              <w:bidi w:val="0"/>
              <w:spacing w:before="0" w:after="283"/>
              <w:rPr/>
            </w:pPr>
            <w:r>
              <w:rPr>
                <w:rStyle w:val="Strong"/>
              </w:rPr>
              <w:t>8.1</w:t>
            </w:r>
            <w:r>
              <w:rPr/>
              <w:t xml:space="preserve"> 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tc>
        <w:tc>
          <w:tcPr>
            <w:tcW w:w="7796" w:type="dxa"/>
            <w:tcBorders/>
            <w:vAlign w:val="center"/>
          </w:tcPr>
          <w:p>
            <w:pPr>
              <w:pStyle w:val="TableContents"/>
              <w:bidi w:val="0"/>
              <w:spacing w:before="0" w:after="283"/>
              <w:rPr/>
            </w:pPr>
            <w:r>
              <w:rPr>
                <w:rStyle w:val="Strong"/>
              </w:rPr>
              <w:t>8.1</w:t>
            </w:r>
            <w:r>
              <w:rPr/>
              <w:t xml:space="preserve"> The living and sleeping rooms of apartment 4.27 receive a floor covering from the pattern line “Birkenpfuhl Comfort B4” (design vinyl or multilayer floor in oak, sand or grey tones from the B4-01 to B4-06 series). Bathroom and guest toilet receive tile coverings from the B4 Bathroom series in the formats 30 x 60 cm or 60 x 60 cm; The laying pattern, base design and joint color depend on the patterning and technical requirements.</w:t>
            </w:r>
          </w:p>
        </w:tc>
      </w:tr>
      <w:tr>
        <w:trPr/>
        <w:tc>
          <w:tcPr>
            <w:tcW w:w="7738" w:type="dxa"/>
            <w:tcBorders/>
            <w:vAlign w:val="center"/>
          </w:tcPr>
          <w:p>
            <w:pPr>
              <w:pStyle w:val="TableContents"/>
              <w:bidi w:val="0"/>
              <w:spacing w:before="0" w:after="283"/>
              <w:rPr/>
            </w:pPr>
            <w:r>
              <w:rPr>
                <w:rStyle w:val="Strong"/>
              </w:rPr>
              <w:t>8.2</w:t>
            </w:r>
            <w:r>
              <w:rPr/>
              <w:t xml:space="preserve"> 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tc>
        <w:tc>
          <w:tcPr>
            <w:tcW w:w="7796" w:type="dxa"/>
            <w:tcBorders/>
            <w:vAlign w:val="center"/>
          </w:tcPr>
          <w:p>
            <w:pPr>
              <w:pStyle w:val="TableContents"/>
              <w:bidi w:val="0"/>
              <w:spacing w:before="0" w:after="283"/>
              <w:rPr/>
            </w:pPr>
            <w:r>
              <w:rPr>
                <w:rStyle w:val="Strong"/>
              </w:rPr>
              <w:t>8.2</w:t>
            </w:r>
            <w:r>
              <w:rPr/>
              <w:t xml:space="preserve"> The Buyer can select from the series B4-01 to B4-06 and B4-Bad available at the sampling date as far as the construction progress still allows. A selection outside of these series is to be agreed and paid separately as a special request.</w:t>
            </w:r>
          </w:p>
        </w:tc>
      </w:tr>
      <w:tr>
        <w:trPr/>
        <w:tc>
          <w:tcPr>
            <w:tcW w:w="7738" w:type="dxa"/>
            <w:tcBorders/>
            <w:vAlign w:val="center"/>
          </w:tcPr>
          <w:p>
            <w:pPr>
              <w:pStyle w:val="Heading1"/>
              <w:bidi w:val="0"/>
              <w:spacing w:before="240" w:after="283"/>
              <w:ind w:hanging="0" w:start="0" w:end="0"/>
              <w:rPr/>
            </w:pPr>
            <w:bookmarkStart w:id="66" w:name="innentüren"/>
            <w:bookmarkEnd w:id="66"/>
            <w:r>
              <w:rPr/>
              <w:t>9 Innentüren</w:t>
            </w:r>
          </w:p>
        </w:tc>
        <w:tc>
          <w:tcPr>
            <w:tcW w:w="7796" w:type="dxa"/>
            <w:tcBorders/>
            <w:vAlign w:val="center"/>
          </w:tcPr>
          <w:p>
            <w:pPr>
              <w:pStyle w:val="Heading1"/>
              <w:bidi w:val="0"/>
              <w:spacing w:before="240" w:after="283"/>
              <w:ind w:hanging="0" w:start="0" w:end="0"/>
              <w:rPr/>
            </w:pPr>
            <w:bookmarkStart w:id="67" w:name="interior-doors"/>
            <w:bookmarkEnd w:id="67"/>
            <w:r>
              <w:rPr/>
              <w:t>9 Interior doors</w:t>
            </w:r>
          </w:p>
        </w:tc>
      </w:tr>
      <w:tr>
        <w:trPr/>
        <w:tc>
          <w:tcPr>
            <w:tcW w:w="7738" w:type="dxa"/>
            <w:tcBorders/>
            <w:vAlign w:val="center"/>
          </w:tcPr>
          <w:p>
            <w:pPr>
              <w:pStyle w:val="TableContents"/>
              <w:bidi w:val="0"/>
              <w:spacing w:before="0" w:after="283"/>
              <w:rPr/>
            </w:pPr>
            <w:r>
              <w:rPr>
                <w:rStyle w:val="Strong"/>
              </w:rPr>
              <w:t>9.1</w:t>
            </w:r>
            <w:r>
              <w:rPr/>
              <w:t xml:space="preserve"> 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tc>
        <w:tc>
          <w:tcPr>
            <w:tcW w:w="7796" w:type="dxa"/>
            <w:tcBorders/>
            <w:vAlign w:val="center"/>
          </w:tcPr>
          <w:p>
            <w:pPr>
              <w:pStyle w:val="TableContents"/>
              <w:bidi w:val="0"/>
              <w:spacing w:before="0" w:after="283"/>
              <w:rPr/>
            </w:pPr>
            <w:r>
              <w:rPr>
                <w:rStyle w:val="Strong"/>
              </w:rPr>
              <w:t>9.1</w:t>
            </w:r>
            <w:r>
              <w:rPr/>
              <w:t xml:space="preserve"> The interior doors of apartment 4.27 are installed as smooth room doors with CPL or lacquer surface in white or grey tones. Bodies, belts and button fittings are based on the B4 door series; Deviating door heights, glass cutouts or special fittings are special requests.</w:t>
            </w:r>
          </w:p>
        </w:tc>
      </w:tr>
      <w:tr>
        <w:trPr/>
        <w:tc>
          <w:tcPr>
            <w:tcW w:w="7738" w:type="dxa"/>
            <w:tcBorders/>
            <w:vAlign w:val="center"/>
          </w:tcPr>
          <w:p>
            <w:pPr>
              <w:pStyle w:val="Heading1"/>
              <w:bidi w:val="0"/>
              <w:spacing w:before="240" w:after="283"/>
              <w:ind w:hanging="0" w:start="0" w:end="0"/>
              <w:rPr/>
            </w:pPr>
            <w:bookmarkStart w:id="68" w:name="sanitärobjekte-und-sanitärausstattung"/>
            <w:bookmarkEnd w:id="68"/>
            <w:r>
              <w:rPr/>
              <w:t>10 Sanitärobjekte und Sanitärausstattung</w:t>
            </w:r>
          </w:p>
        </w:tc>
        <w:tc>
          <w:tcPr>
            <w:tcW w:w="7796" w:type="dxa"/>
            <w:tcBorders/>
            <w:vAlign w:val="center"/>
          </w:tcPr>
          <w:p>
            <w:pPr>
              <w:pStyle w:val="Heading1"/>
              <w:bidi w:val="0"/>
              <w:spacing w:before="240" w:after="283"/>
              <w:ind w:hanging="0" w:start="0" w:end="0"/>
              <w:rPr/>
            </w:pPr>
            <w:bookmarkStart w:id="69" w:name="sanitary-objects-and-sanitary-equipment"/>
            <w:bookmarkEnd w:id="69"/>
            <w:r>
              <w:rPr/>
              <w:t>10 Sanitary objects and sanitary equipment</w:t>
            </w:r>
          </w:p>
        </w:tc>
      </w:tr>
      <w:tr>
        <w:trPr/>
        <w:tc>
          <w:tcPr>
            <w:tcW w:w="7738" w:type="dxa"/>
            <w:tcBorders/>
            <w:vAlign w:val="center"/>
          </w:tcPr>
          <w:p>
            <w:pPr>
              <w:pStyle w:val="TableContents"/>
              <w:bidi w:val="0"/>
              <w:spacing w:before="0" w:after="283"/>
              <w:rPr/>
            </w:pPr>
            <w:r>
              <w:rPr>
                <w:rStyle w:val="Strong"/>
              </w:rPr>
              <w:t>10.1</w:t>
            </w:r>
            <w:r>
              <w:rPr/>
              <w:t xml:space="preserve"> 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tc>
        <w:tc>
          <w:tcPr>
            <w:tcW w:w="7796" w:type="dxa"/>
            <w:tcBorders/>
            <w:vAlign w:val="center"/>
          </w:tcPr>
          <w:p>
            <w:pPr>
              <w:pStyle w:val="TableContents"/>
              <w:bidi w:val="0"/>
              <w:spacing w:before="0" w:after="283"/>
              <w:rPr/>
            </w:pPr>
            <w:r>
              <w:rPr>
                <w:rStyle w:val="Strong"/>
              </w:rPr>
              <w:t>10.1</w:t>
            </w:r>
            <w:r>
              <w:rPr/>
              <w:t xml:space="preserve"> Bathroom and guest toilet are equipped with white sanitary objects from the sanitary program B4 (washroom, toilet, floor-level shower and/or bathtub depending on the execution plan). valves are supplied as single-lever mixers in a chrome-plated version from the standard series run by the Seller; Flush or special fittings are owed only as a special request.</w:t>
            </w:r>
          </w:p>
        </w:tc>
      </w:tr>
      <w:tr>
        <w:trPr/>
        <w:tc>
          <w:tcPr>
            <w:tcW w:w="7738" w:type="dxa"/>
            <w:tcBorders/>
            <w:vAlign w:val="center"/>
          </w:tcPr>
          <w:p>
            <w:pPr>
              <w:pStyle w:val="TableContents"/>
              <w:bidi w:val="0"/>
              <w:spacing w:before="0" w:after="283"/>
              <w:rPr/>
            </w:pPr>
            <w:r>
              <w:rPr>
                <w:rStyle w:val="Strong"/>
              </w:rPr>
              <w:t>10.2</w:t>
            </w:r>
            <w:r>
              <w:rPr/>
              <w:t xml:space="preserve"> Anzahl, Anordnung und Art der Sanitärobjekte ergeben sich aus den Ausführungsplänen. Änderungen der Anordnung infolge der Haustechnik- und Schachtplanung bleiben vorbehalten.</w:t>
            </w:r>
          </w:p>
        </w:tc>
        <w:tc>
          <w:tcPr>
            <w:tcW w:w="7796" w:type="dxa"/>
            <w:tcBorders/>
            <w:vAlign w:val="center"/>
          </w:tcPr>
          <w:p>
            <w:pPr>
              <w:pStyle w:val="TableContents"/>
              <w:bidi w:val="0"/>
              <w:spacing w:before="0" w:after="283"/>
              <w:rPr/>
            </w:pPr>
            <w:r>
              <w:rPr>
                <w:rStyle w:val="Strong"/>
              </w:rPr>
              <w:t>10.2</w:t>
            </w:r>
            <w:r>
              <w:rPr/>
              <w:t xml:space="preserve"> The number, arrangement and type of sanitary objects result from the implementation plans. Changes to the arrangement as a result of the building technology and shaft planning remain reserved.</w:t>
            </w:r>
          </w:p>
        </w:tc>
      </w:tr>
      <w:tr>
        <w:trPr/>
        <w:tc>
          <w:tcPr>
            <w:tcW w:w="7738" w:type="dxa"/>
            <w:tcBorders/>
            <w:vAlign w:val="center"/>
          </w:tcPr>
          <w:p>
            <w:pPr>
              <w:pStyle w:val="Heading1"/>
              <w:bidi w:val="0"/>
              <w:spacing w:before="240" w:after="283"/>
              <w:ind w:hanging="0" w:start="0" w:end="0"/>
              <w:rPr/>
            </w:pPr>
            <w:bookmarkStart w:id="70" w:name="heizung-warmwasser"/>
            <w:bookmarkEnd w:id="70"/>
            <w:r>
              <w:rPr/>
              <w:t>11 Heizung, Warmwasser</w:t>
            </w:r>
          </w:p>
        </w:tc>
        <w:tc>
          <w:tcPr>
            <w:tcW w:w="7796" w:type="dxa"/>
            <w:tcBorders/>
            <w:vAlign w:val="center"/>
          </w:tcPr>
          <w:p>
            <w:pPr>
              <w:pStyle w:val="Heading1"/>
              <w:bidi w:val="0"/>
              <w:spacing w:before="240" w:after="283"/>
              <w:ind w:hanging="0" w:start="0" w:end="0"/>
              <w:rPr/>
            </w:pPr>
            <w:bookmarkStart w:id="71" w:name="heating-hot-water"/>
            <w:bookmarkEnd w:id="71"/>
            <w:r>
              <w:rPr/>
              <w:t>11 Heating, hot water</w:t>
            </w:r>
          </w:p>
        </w:tc>
      </w:tr>
      <w:tr>
        <w:trPr/>
        <w:tc>
          <w:tcPr>
            <w:tcW w:w="7738" w:type="dxa"/>
            <w:tcBorders/>
            <w:vAlign w:val="center"/>
          </w:tcPr>
          <w:p>
            <w:pPr>
              <w:pStyle w:val="TableContents"/>
              <w:bidi w:val="0"/>
              <w:spacing w:before="0" w:after="283"/>
              <w:rPr/>
            </w:pPr>
            <w:r>
              <w:rPr>
                <w:rStyle w:val="Strong"/>
              </w:rPr>
              <w:t>11.1</w:t>
            </w:r>
            <w:r>
              <w:rPr/>
              <w:t xml:space="preserve"> 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tc>
        <w:tc>
          <w:tcPr>
            <w:tcW w:w="7796" w:type="dxa"/>
            <w:tcBorders/>
            <w:vAlign w:val="center"/>
          </w:tcPr>
          <w:p>
            <w:pPr>
              <w:pStyle w:val="TableContents"/>
              <w:bidi w:val="0"/>
              <w:spacing w:before="0" w:after="283"/>
              <w:rPr/>
            </w:pPr>
            <w:r>
              <w:rPr>
                <w:rStyle w:val="Strong"/>
              </w:rPr>
              <w:t>11.1</w:t>
            </w:r>
            <w:r>
              <w:rPr/>
              <w:t xml:space="preserve"> The heating and heating of house 4 is carried out via a central system according to the district supply concept (district heating, heat pump, condensing technology or a combination thereof). The living rooms of the apartment 4.27 receive heating surfaces as floor heating and/or radiators according to execution planning; Design, control zones and distribution location are based on TGA planning and shaft guidance.</w:t>
            </w:r>
          </w:p>
        </w:tc>
      </w:tr>
      <w:tr>
        <w:trPr/>
        <w:tc>
          <w:tcPr>
            <w:tcW w:w="7738" w:type="dxa"/>
            <w:tcBorders/>
            <w:vAlign w:val="center"/>
          </w:tcPr>
          <w:p>
            <w:pPr>
              <w:pStyle w:val="TableContents"/>
              <w:bidi w:val="0"/>
              <w:spacing w:before="0" w:after="283"/>
              <w:rPr/>
            </w:pPr>
            <w:r>
              <w:rPr>
                <w:rStyle w:val="Strong"/>
              </w:rPr>
              <w:t>11.2</w:t>
            </w:r>
            <w:r>
              <w:rPr/>
              <w:t xml:space="preserve"> Die Wärme- und Warmwasserlieferung kann über einen Wärmeliefer-/Contractingvertrag erfolgen. Die hieraus entstehenden Kosten tragen die Erwerber nach Maßgabe der Teilungserklärung.</w:t>
            </w:r>
          </w:p>
        </w:tc>
        <w:tc>
          <w:tcPr>
            <w:tcW w:w="7796" w:type="dxa"/>
            <w:tcBorders/>
            <w:vAlign w:val="center"/>
          </w:tcPr>
          <w:p>
            <w:pPr>
              <w:pStyle w:val="TableContents"/>
              <w:bidi w:val="0"/>
              <w:spacing w:before="0" w:after="283"/>
              <w:rPr/>
            </w:pPr>
            <w:r>
              <w:rPr>
                <w:rStyle w:val="Strong"/>
              </w:rPr>
              <w:t>11.2</w:t>
            </w:r>
            <w:r>
              <w:rPr/>
              <w:t xml:space="preserve"> The supply of heat and hot water can take place via a heat supply/contracting contract. The purchasers shall bear the costs resulting therefrom in accordance with the declaration of division.</w:t>
            </w:r>
          </w:p>
        </w:tc>
      </w:tr>
      <w:tr>
        <w:trPr/>
        <w:tc>
          <w:tcPr>
            <w:tcW w:w="7738" w:type="dxa"/>
            <w:tcBorders/>
            <w:vAlign w:val="center"/>
          </w:tcPr>
          <w:p>
            <w:pPr>
              <w:pStyle w:val="Heading1"/>
              <w:bidi w:val="0"/>
              <w:spacing w:before="240" w:after="283"/>
              <w:ind w:hanging="0" w:start="0" w:end="0"/>
              <w:rPr/>
            </w:pPr>
            <w:bookmarkStart w:id="72" w:name="lüftung"/>
            <w:bookmarkEnd w:id="72"/>
            <w:r>
              <w:rPr/>
              <w:t>12 Lüftung</w:t>
            </w:r>
          </w:p>
        </w:tc>
        <w:tc>
          <w:tcPr>
            <w:tcW w:w="7796" w:type="dxa"/>
            <w:tcBorders/>
            <w:vAlign w:val="center"/>
          </w:tcPr>
          <w:p>
            <w:pPr>
              <w:pStyle w:val="Heading1"/>
              <w:bidi w:val="0"/>
              <w:spacing w:before="240" w:after="283"/>
              <w:ind w:hanging="0" w:start="0" w:end="0"/>
              <w:rPr/>
            </w:pPr>
            <w:bookmarkStart w:id="73" w:name="ventilation"/>
            <w:bookmarkEnd w:id="73"/>
            <w:r>
              <w:rPr/>
              <w:t>12 Ventilation</w:t>
            </w:r>
          </w:p>
        </w:tc>
      </w:tr>
      <w:tr>
        <w:trPr/>
        <w:tc>
          <w:tcPr>
            <w:tcW w:w="7738" w:type="dxa"/>
            <w:tcBorders/>
            <w:vAlign w:val="center"/>
          </w:tcPr>
          <w:p>
            <w:pPr>
              <w:pStyle w:val="TableContents"/>
              <w:bidi w:val="0"/>
              <w:spacing w:before="0" w:after="283"/>
              <w:rPr/>
            </w:pPr>
            <w:r>
              <w:rPr>
                <w:rStyle w:val="Strong"/>
              </w:rPr>
              <w:t>12.1</w:t>
            </w:r>
            <w:r>
              <w:rPr/>
              <w:t xml:space="preserve"> 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tc>
        <w:tc>
          <w:tcPr>
            <w:tcW w:w="7796" w:type="dxa"/>
            <w:tcBorders/>
            <w:vAlign w:val="center"/>
          </w:tcPr>
          <w:p>
            <w:pPr>
              <w:pStyle w:val="TableContents"/>
              <w:bidi w:val="0"/>
              <w:spacing w:before="0" w:after="283"/>
              <w:rPr/>
            </w:pPr>
            <w:r>
              <w:rPr>
                <w:rStyle w:val="Strong"/>
              </w:rPr>
              <w:t>12.1</w:t>
            </w:r>
            <w:r>
              <w:rPr/>
              <w:t xml:space="preserve"> Interior bathrooms, guest toilet and windowless storage areas of apartment 4.27 are ventilated and ventilated according to the ventilation concept house 4. Whether and to what extent controlled residential ventilation with heat recovery is carried out depends on the energy proofs, the ventilation concept and the determination of the Seller. A certain air exchange rate, a certain sound insulation value of the ventilation or a certain summer room temperature in the south-west-oriented living rooms is not due, unless these values are expressly mentioned in a transfer document.</w:t>
            </w:r>
          </w:p>
        </w:tc>
      </w:tr>
      <w:tr>
        <w:trPr/>
        <w:tc>
          <w:tcPr>
            <w:tcW w:w="7738" w:type="dxa"/>
            <w:tcBorders/>
            <w:vAlign w:val="center"/>
          </w:tcPr>
          <w:p>
            <w:pPr>
              <w:pStyle w:val="Heading1"/>
              <w:bidi w:val="0"/>
              <w:spacing w:before="240" w:after="283"/>
              <w:ind w:hanging="0" w:start="0" w:end="0"/>
              <w:rPr/>
            </w:pPr>
            <w:bookmarkStart w:id="74" w:name="elektroinstallation-medien-lade--und-pv-"/>
            <w:bookmarkEnd w:id="74"/>
            <w:r>
              <w:rPr/>
              <w:t>13 Elektroinstallation, Medien, Lade- und PV-Infrastruktur</w:t>
            </w:r>
          </w:p>
        </w:tc>
        <w:tc>
          <w:tcPr>
            <w:tcW w:w="7796" w:type="dxa"/>
            <w:tcBorders/>
            <w:vAlign w:val="center"/>
          </w:tcPr>
          <w:p>
            <w:pPr>
              <w:pStyle w:val="Heading1"/>
              <w:bidi w:val="0"/>
              <w:spacing w:before="240" w:after="283"/>
              <w:ind w:hanging="0" w:start="0" w:end="0"/>
              <w:rPr/>
            </w:pPr>
            <w:bookmarkStart w:id="75" w:name="electrical-installation-media-charging-a"/>
            <w:bookmarkEnd w:id="75"/>
            <w:r>
              <w:rPr/>
              <w:t>13 Electrical installation, media, charging and PV infrastructure</w:t>
            </w:r>
          </w:p>
        </w:tc>
      </w:tr>
      <w:tr>
        <w:trPr/>
        <w:tc>
          <w:tcPr>
            <w:tcW w:w="7738" w:type="dxa"/>
            <w:tcBorders/>
            <w:vAlign w:val="center"/>
          </w:tcPr>
          <w:p>
            <w:pPr>
              <w:pStyle w:val="TableContents"/>
              <w:bidi w:val="0"/>
              <w:spacing w:before="0" w:after="283"/>
              <w:rPr/>
            </w:pPr>
            <w:r>
              <w:rPr>
                <w:rStyle w:val="Strong"/>
              </w:rPr>
              <w:t>13.1</w:t>
            </w:r>
            <w:r>
              <w:rPr/>
              <w:t xml:space="preserve"> 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tc>
        <w:tc>
          <w:tcPr>
            <w:tcW w:w="7796" w:type="dxa"/>
            <w:tcBorders/>
            <w:vAlign w:val="center"/>
          </w:tcPr>
          <w:p>
            <w:pPr>
              <w:pStyle w:val="TableContents"/>
              <w:bidi w:val="0"/>
              <w:spacing w:before="0" w:after="283"/>
              <w:rPr/>
            </w:pPr>
            <w:r>
              <w:rPr>
                <w:rStyle w:val="Strong"/>
              </w:rPr>
              <w:t>13.1</w:t>
            </w:r>
            <w:r>
              <w:rPr/>
              <w:t xml:space="preserve"> The electrical installation of the apartment 4.27 is carried out according to the relevant technical rules and the equipment grid B4 Electric. the number and position of sockets, switches, ceiling outlets, network/media connections and kitchen and washing machine connections shall be determined in the implementation plans; Multipoints are to be commissioned as a special request.</w:t>
            </w:r>
          </w:p>
        </w:tc>
      </w:tr>
      <w:tr>
        <w:trPr/>
        <w:tc>
          <w:tcPr>
            <w:tcW w:w="7738" w:type="dxa"/>
            <w:tcBorders/>
            <w:vAlign w:val="center"/>
          </w:tcPr>
          <w:p>
            <w:pPr>
              <w:pStyle w:val="TableContents"/>
              <w:bidi w:val="0"/>
              <w:spacing w:before="0" w:after="283"/>
              <w:rPr/>
            </w:pPr>
            <w:r>
              <w:rPr>
                <w:rStyle w:val="Strong"/>
              </w:rPr>
              <w:t>13.2</w:t>
            </w:r>
            <w:r>
              <w:rPr/>
              <w:t xml:space="preserve"> Die Wohnung erhält einen Multimedia-/Datenanschluss im Wohnbereich sowie die nach Ausführungsplanung vorgesehenen Leitungswege zum Wohnungsverteiler. Eine bestimmte Bandbreite, Glasfaseraktivierung, Routerposition oder ein bestimmter Anbieter wird nicht geschuldet.</w:t>
            </w:r>
          </w:p>
        </w:tc>
        <w:tc>
          <w:tcPr>
            <w:tcW w:w="7796" w:type="dxa"/>
            <w:tcBorders/>
            <w:vAlign w:val="center"/>
          </w:tcPr>
          <w:p>
            <w:pPr>
              <w:pStyle w:val="TableContents"/>
              <w:bidi w:val="0"/>
              <w:spacing w:before="0" w:after="283"/>
              <w:rPr/>
            </w:pPr>
            <w:r>
              <w:rPr>
                <w:rStyle w:val="Strong"/>
              </w:rPr>
              <w:t>13.2</w:t>
            </w:r>
            <w:r>
              <w:rPr/>
              <w:t xml:space="preserve"> The apartment receives a multimedia/data connection in the living area as well as the line routes to the apartment distributor provided after execution planning. A certain bandwidth, fiber optic activation, router position or a certain provider is not owed.</w:t>
            </w:r>
          </w:p>
        </w:tc>
      </w:tr>
      <w:tr>
        <w:trPr/>
        <w:tc>
          <w:tcPr>
            <w:tcW w:w="7738" w:type="dxa"/>
            <w:tcBorders/>
            <w:vAlign w:val="center"/>
          </w:tcPr>
          <w:p>
            <w:pPr>
              <w:pStyle w:val="TableContents"/>
              <w:bidi w:val="0"/>
              <w:spacing w:before="0" w:after="283"/>
              <w:rPr/>
            </w:pPr>
            <w:r>
              <w:rPr>
                <w:rStyle w:val="Strong"/>
              </w:rPr>
              <w:t>13.3</w:t>
            </w:r>
            <w:r>
              <w:rPr/>
              <w:t xml:space="preserve"> Ob die Tiefgarage mit Lade-Infrastruktur und ob das Gebäude mit einer Photovoltaikanlage ausgestattet wird, bestimmt der Verkäufer im Rahmen der Gesamtplanung. Ein Anspruch des einzelnen Erwerbers hierauf besteht nicht.</w:t>
            </w:r>
          </w:p>
        </w:tc>
        <w:tc>
          <w:tcPr>
            <w:tcW w:w="7796" w:type="dxa"/>
            <w:tcBorders/>
            <w:vAlign w:val="center"/>
          </w:tcPr>
          <w:p>
            <w:pPr>
              <w:pStyle w:val="TableContents"/>
              <w:bidi w:val="0"/>
              <w:spacing w:before="0" w:after="283"/>
              <w:rPr/>
            </w:pPr>
            <w:r>
              <w:rPr>
                <w:rStyle w:val="Strong"/>
              </w:rPr>
              <w:t>13.3</w:t>
            </w:r>
            <w:r>
              <w:rPr/>
              <w:t xml:space="preserve"> Whether the underground car park is equipped with charging infrastructure and whether the building is equipped with a photovoltaic system is determined by the Seller as part of the overall planning. The individual acquirer is not entitled to this.</w:t>
            </w:r>
          </w:p>
        </w:tc>
      </w:tr>
      <w:tr>
        <w:trPr/>
        <w:tc>
          <w:tcPr>
            <w:tcW w:w="7738" w:type="dxa"/>
            <w:tcBorders/>
            <w:vAlign w:val="center"/>
          </w:tcPr>
          <w:p>
            <w:pPr>
              <w:pStyle w:val="Heading1"/>
              <w:bidi w:val="0"/>
              <w:spacing w:before="240" w:after="283"/>
              <w:ind w:hanging="0" w:start="0" w:end="0"/>
              <w:rPr/>
            </w:pPr>
            <w:bookmarkStart w:id="76" w:name="aufzug"/>
            <w:bookmarkEnd w:id="76"/>
            <w:r>
              <w:rPr/>
              <w:t>14 Aufzug</w:t>
            </w:r>
          </w:p>
        </w:tc>
        <w:tc>
          <w:tcPr>
            <w:tcW w:w="7796" w:type="dxa"/>
            <w:tcBorders/>
            <w:vAlign w:val="center"/>
          </w:tcPr>
          <w:p>
            <w:pPr>
              <w:pStyle w:val="Heading1"/>
              <w:bidi w:val="0"/>
              <w:spacing w:before="240" w:after="283"/>
              <w:ind w:hanging="0" w:start="0" w:end="0"/>
              <w:rPr/>
            </w:pPr>
            <w:bookmarkStart w:id="77" w:name="elevator"/>
            <w:bookmarkEnd w:id="77"/>
            <w:r>
              <w:rPr/>
              <w:t>14 Elevator</w:t>
            </w:r>
          </w:p>
        </w:tc>
      </w:tr>
      <w:tr>
        <w:trPr/>
        <w:tc>
          <w:tcPr>
            <w:tcW w:w="7738" w:type="dxa"/>
            <w:tcBorders/>
            <w:vAlign w:val="center"/>
          </w:tcPr>
          <w:p>
            <w:pPr>
              <w:pStyle w:val="TableContents"/>
              <w:bidi w:val="0"/>
              <w:spacing w:before="0" w:after="283"/>
              <w:rPr/>
            </w:pPr>
            <w:r>
              <w:rPr>
                <w:rStyle w:val="Strong"/>
              </w:rPr>
              <w:t>14.1</w:t>
            </w:r>
            <w:r>
              <w:rPr/>
              <w:t xml:space="preserve"> 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tc>
        <w:tc>
          <w:tcPr>
            <w:tcW w:w="7796" w:type="dxa"/>
            <w:tcBorders/>
            <w:vAlign w:val="center"/>
          </w:tcPr>
          <w:p>
            <w:pPr>
              <w:pStyle w:val="TableContents"/>
              <w:bidi w:val="0"/>
              <w:spacing w:before="0" w:after="283"/>
              <w:rPr/>
            </w:pPr>
            <w:r>
              <w:rPr>
                <w:rStyle w:val="Strong"/>
              </w:rPr>
              <w:t>14.1</w:t>
            </w:r>
            <w:r>
              <w:rPr/>
              <w:t xml:space="preserve"> House 4 receives a passenger elevator which opens up the residential floors, the relay floor and the underground garage. Manufacture, conveyance height, load capacity, door width, cabin surfaces and control, the Seller selects, taking into account the building concept and the maintenance contracts of the initial operating phase.</w:t>
            </w:r>
          </w:p>
        </w:tc>
      </w:tr>
      <w:tr>
        <w:trPr/>
        <w:tc>
          <w:tcPr>
            <w:tcW w:w="7738" w:type="dxa"/>
            <w:tcBorders/>
            <w:vAlign w:val="center"/>
          </w:tcPr>
          <w:p>
            <w:pPr>
              <w:pStyle w:val="Heading1"/>
              <w:bidi w:val="0"/>
              <w:spacing w:before="240" w:after="283"/>
              <w:ind w:hanging="0" w:start="0" w:end="0"/>
              <w:rPr/>
            </w:pPr>
            <w:bookmarkStart w:id="78" w:name="tiefgarage"/>
            <w:bookmarkEnd w:id="78"/>
            <w:r>
              <w:rPr/>
              <w:t>15 Tiefgarage</w:t>
            </w:r>
          </w:p>
        </w:tc>
        <w:tc>
          <w:tcPr>
            <w:tcW w:w="7796" w:type="dxa"/>
            <w:tcBorders/>
            <w:vAlign w:val="center"/>
          </w:tcPr>
          <w:p>
            <w:pPr>
              <w:pStyle w:val="Heading1"/>
              <w:bidi w:val="0"/>
              <w:spacing w:before="240" w:after="283"/>
              <w:ind w:hanging="0" w:start="0" w:end="0"/>
              <w:rPr/>
            </w:pPr>
            <w:bookmarkStart w:id="79" w:name="underground-car-park"/>
            <w:bookmarkEnd w:id="79"/>
            <w:r>
              <w:rPr/>
              <w:t>15 underground car park</w:t>
            </w:r>
          </w:p>
        </w:tc>
      </w:tr>
      <w:tr>
        <w:trPr/>
        <w:tc>
          <w:tcPr>
            <w:tcW w:w="7738" w:type="dxa"/>
            <w:tcBorders/>
            <w:vAlign w:val="center"/>
          </w:tcPr>
          <w:p>
            <w:pPr>
              <w:pStyle w:val="TableContents"/>
              <w:bidi w:val="0"/>
              <w:spacing w:before="0" w:after="283"/>
              <w:rPr/>
            </w:pPr>
            <w:r>
              <w:rPr>
                <w:rStyle w:val="Strong"/>
              </w:rPr>
              <w:t>15.1</w:t>
            </w:r>
            <w:r>
              <w:rPr/>
              <w:t xml:space="preserve"> Die zweigeschossige Tiefgarage wird in Stahlbeton ausgeführt und maschinell be- und entlüftet. Bodenbeschichtung, Entwässerungsrinnen, Markierung, Beschilderung, CO-Warnanlage, Brandschutztore und technische Ausstattung richten sich nach dem Garagen- und Brandschutzkonzept.</w:t>
            </w:r>
          </w:p>
        </w:tc>
        <w:tc>
          <w:tcPr>
            <w:tcW w:w="7796" w:type="dxa"/>
            <w:tcBorders/>
            <w:vAlign w:val="center"/>
          </w:tcPr>
          <w:p>
            <w:pPr>
              <w:pStyle w:val="TableContents"/>
              <w:bidi w:val="0"/>
              <w:spacing w:before="0" w:after="283"/>
              <w:rPr/>
            </w:pPr>
            <w:r>
              <w:rPr>
                <w:rStyle w:val="Strong"/>
              </w:rPr>
              <w:t>15.1</w:t>
            </w:r>
            <w:r>
              <w:rPr/>
              <w:t xml:space="preserve"> The two-storey underground garage is made in reinforced concrete and is mechanically ventilated and ventilated. Floor coating, drainage channels, marking, signage, CO warning system, fire gates and technical equipment are based on the garage and fire protection concept.</w:t>
            </w:r>
          </w:p>
        </w:tc>
      </w:tr>
      <w:tr>
        <w:trPr/>
        <w:tc>
          <w:tcPr>
            <w:tcW w:w="7738" w:type="dxa"/>
            <w:tcBorders/>
            <w:vAlign w:val="center"/>
          </w:tcPr>
          <w:p>
            <w:pPr>
              <w:pStyle w:val="TableContents"/>
              <w:bidi w:val="0"/>
              <w:spacing w:before="0" w:after="283"/>
              <w:rPr/>
            </w:pPr>
            <w:r>
              <w:rPr>
                <w:rStyle w:val="Strong"/>
              </w:rPr>
              <w:t>15.2</w:t>
            </w:r>
            <w:r>
              <w:rPr/>
              <w:t xml:space="preserve"> 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tc>
        <w:tc>
          <w:tcPr>
            <w:tcW w:w="7796" w:type="dxa"/>
            <w:tcBorders/>
            <w:vAlign w:val="center"/>
          </w:tcPr>
          <w:p>
            <w:pPr>
              <w:pStyle w:val="TableContents"/>
              <w:bidi w:val="0"/>
              <w:spacing w:before="0" w:after="283"/>
              <w:rPr/>
            </w:pPr>
            <w:r>
              <w:rPr>
                <w:rStyle w:val="Strong"/>
              </w:rPr>
              <w:t>15.2</w:t>
            </w:r>
            <w:r>
              <w:rPr/>
              <w:t xml:space="preserve"> The parking space TG-127 assigned to the Buyer is produced as a parking space in the underground garage span Nord. Supports, wall discs, conduits, ventilation ducts, gradients and drainage channels can influence its use. A certain minimum width or minimum height beyond what is necessary under building code law is not due.</w:t>
            </w:r>
          </w:p>
        </w:tc>
      </w:tr>
      <w:tr>
        <w:trPr/>
        <w:tc>
          <w:tcPr>
            <w:tcW w:w="7738" w:type="dxa"/>
            <w:tcBorders/>
            <w:vAlign w:val="center"/>
          </w:tcPr>
          <w:p>
            <w:pPr>
              <w:pStyle w:val="Heading1"/>
              <w:bidi w:val="0"/>
              <w:spacing w:before="240" w:after="283"/>
              <w:ind w:hanging="0" w:start="0" w:end="0"/>
              <w:rPr/>
            </w:pPr>
            <w:bookmarkStart w:id="80" w:name="schall--wärme--feuchte--und-brandschutz"/>
            <w:bookmarkEnd w:id="80"/>
            <w:r>
              <w:rPr/>
              <w:t>16 Schall-, Wärme-, Feuchte- und Brandschutz</w:t>
            </w:r>
          </w:p>
        </w:tc>
        <w:tc>
          <w:tcPr>
            <w:tcW w:w="7796" w:type="dxa"/>
            <w:tcBorders/>
            <w:vAlign w:val="center"/>
          </w:tcPr>
          <w:p>
            <w:pPr>
              <w:pStyle w:val="Heading1"/>
              <w:bidi w:val="0"/>
              <w:spacing w:before="240" w:after="283"/>
              <w:ind w:hanging="0" w:start="0" w:end="0"/>
              <w:rPr/>
            </w:pPr>
            <w:bookmarkStart w:id="81" w:name="sound-heat-humidity-and-fire-protection"/>
            <w:bookmarkEnd w:id="81"/>
            <w:r>
              <w:rPr/>
              <w:t>16 Sound, heat, humidity and fire protection</w:t>
            </w:r>
          </w:p>
        </w:tc>
      </w:tr>
      <w:tr>
        <w:trPr/>
        <w:tc>
          <w:tcPr>
            <w:tcW w:w="7738" w:type="dxa"/>
            <w:tcBorders/>
            <w:vAlign w:val="center"/>
          </w:tcPr>
          <w:p>
            <w:pPr>
              <w:pStyle w:val="TableContents"/>
              <w:bidi w:val="0"/>
              <w:spacing w:before="0" w:after="283"/>
              <w:rPr/>
            </w:pPr>
            <w:r>
              <w:rPr>
                <w:rStyle w:val="Strong"/>
              </w:rPr>
              <w:t>16.1</w:t>
            </w:r>
            <w:r>
              <w:rPr/>
              <w:t xml:space="preserve"> 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tc>
        <w:tc>
          <w:tcPr>
            <w:tcW w:w="7796" w:type="dxa"/>
            <w:tcBorders/>
            <w:vAlign w:val="center"/>
          </w:tcPr>
          <w:p>
            <w:pPr>
              <w:pStyle w:val="TableContents"/>
              <w:bidi w:val="0"/>
              <w:spacing w:before="0" w:after="283"/>
              <w:rPr/>
            </w:pPr>
            <w:r>
              <w:rPr>
                <w:rStyle w:val="Strong"/>
              </w:rPr>
              <w:t>16.1</w:t>
            </w:r>
            <w:r>
              <w:rPr/>
              <w:t xml:space="preserve"> Sound, heat, humidity and fire protection for house 4, apartment 4.27, basement zone and underground garage are proven and executed to the extent required by public law. An increased sound insulation between the dwelling, stairwell, elevator, underground garage and technical installations, which goes beyond the minimum requirements, is only owed if it is expressly agreed with numerical values below.</w:t>
            </w:r>
          </w:p>
        </w:tc>
      </w:tr>
      <w:tr>
        <w:trPr/>
        <w:tc>
          <w:tcPr>
            <w:tcW w:w="7738" w:type="dxa"/>
            <w:tcBorders/>
            <w:vAlign w:val="center"/>
          </w:tcPr>
          <w:p>
            <w:pPr>
              <w:pStyle w:val="TableContents"/>
              <w:bidi w:val="0"/>
              <w:spacing w:before="0" w:after="283"/>
              <w:rPr/>
            </w:pPr>
            <w:r>
              <w:rPr>
                <w:rStyle w:val="Strong"/>
              </w:rPr>
              <w:t>16.2</w:t>
            </w:r>
            <w:r>
              <w:rPr/>
              <w:t xml:space="preserve"> Die schallschutztechnische Auslegung richtet sich nach dem projektbezogenen Nachweiskonzept und den öffentlich-rechtlich erforderlichen Mindestanforderungen. Ein erhöhter Schallschutz bedarf einer ausdrücklichen, zahlenmäßig bezeichneten Vereinbarung.</w:t>
            </w:r>
          </w:p>
        </w:tc>
        <w:tc>
          <w:tcPr>
            <w:tcW w:w="7796" w:type="dxa"/>
            <w:tcBorders/>
            <w:vAlign w:val="center"/>
          </w:tcPr>
          <w:p>
            <w:pPr>
              <w:pStyle w:val="TableContents"/>
              <w:bidi w:val="0"/>
              <w:spacing w:before="0" w:after="283"/>
              <w:rPr/>
            </w:pPr>
            <w:r>
              <w:rPr>
                <w:rStyle w:val="Strong"/>
              </w:rPr>
              <w:t>16.2</w:t>
            </w:r>
            <w:r>
              <w:rPr/>
              <w:t xml:space="preserve"> The acoustic protection design is based on the project-related demonstration concept and the minimum requirements required by public law. Increased noise protection requires an explicit, numerically specified agreement.</w:t>
            </w:r>
          </w:p>
        </w:tc>
      </w:tr>
      <w:tr>
        <w:trPr/>
        <w:tc>
          <w:tcPr>
            <w:tcW w:w="7738" w:type="dxa"/>
            <w:tcBorders/>
            <w:vAlign w:val="center"/>
          </w:tcPr>
          <w:p>
            <w:pPr>
              <w:pStyle w:val="Heading1"/>
              <w:bidi w:val="0"/>
              <w:spacing w:before="240" w:after="283"/>
              <w:ind w:hanging="0" w:start="0" w:end="0"/>
              <w:rPr/>
            </w:pPr>
            <w:bookmarkStart w:id="82" w:name="energetischer-standard"/>
            <w:bookmarkEnd w:id="82"/>
            <w:r>
              <w:rPr/>
              <w:t>17 Energetischer Standard</w:t>
            </w:r>
          </w:p>
        </w:tc>
        <w:tc>
          <w:tcPr>
            <w:tcW w:w="7796" w:type="dxa"/>
            <w:tcBorders/>
            <w:vAlign w:val="center"/>
          </w:tcPr>
          <w:p>
            <w:pPr>
              <w:pStyle w:val="Heading1"/>
              <w:bidi w:val="0"/>
              <w:spacing w:before="240" w:after="283"/>
              <w:ind w:hanging="0" w:start="0" w:end="0"/>
              <w:rPr/>
            </w:pPr>
            <w:bookmarkStart w:id="83" w:name="energy-standard"/>
            <w:bookmarkEnd w:id="83"/>
            <w:r>
              <w:rPr/>
              <w:t>17 Energy Standard</w:t>
            </w:r>
          </w:p>
        </w:tc>
      </w:tr>
      <w:tr>
        <w:trPr/>
        <w:tc>
          <w:tcPr>
            <w:tcW w:w="7738" w:type="dxa"/>
            <w:tcBorders/>
            <w:vAlign w:val="center"/>
          </w:tcPr>
          <w:p>
            <w:pPr>
              <w:pStyle w:val="TableContents"/>
              <w:bidi w:val="0"/>
              <w:spacing w:before="0" w:after="283"/>
              <w:rPr/>
            </w:pPr>
            <w:r>
              <w:rPr>
                <w:rStyle w:val="Strong"/>
              </w:rPr>
              <w:t>17.1</w:t>
            </w:r>
            <w:r>
              <w:rPr/>
              <w:t xml:space="preserve"> 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tc>
        <w:tc>
          <w:tcPr>
            <w:tcW w:w="7796" w:type="dxa"/>
            <w:tcBorders/>
            <w:vAlign w:val="center"/>
          </w:tcPr>
          <w:p>
            <w:pPr>
              <w:pStyle w:val="TableContents"/>
              <w:bidi w:val="0"/>
              <w:spacing w:before="0" w:after="283"/>
              <w:rPr/>
            </w:pPr>
            <w:r>
              <w:rPr>
                <w:rStyle w:val="Strong"/>
              </w:rPr>
              <w:t>17.1</w:t>
            </w:r>
            <w:r>
              <w:rPr/>
              <w:t xml:space="preserve"> House 4 will be built according to the energy requirements applicable on the day the building permit is issued. Energy certificates, supporting documents and any supporting documents shall be drawn up in accordance with public and financial requirements. A certain KfW efficiency house class, a certain primary energy requirement, a certain GEG level or a certain eligibility of the apartment 4.27 is not owed, unless expressly agreed with a numerical value.</w:t>
            </w:r>
          </w:p>
        </w:tc>
      </w:tr>
      <w:tr>
        <w:trPr/>
        <w:tc>
          <w:tcPr>
            <w:tcW w:w="7738" w:type="dxa"/>
            <w:tcBorders/>
            <w:vAlign w:val="center"/>
          </w:tcPr>
          <w:p>
            <w:pPr>
              <w:pStyle w:val="Heading1"/>
              <w:bidi w:val="0"/>
              <w:spacing w:before="240" w:after="283"/>
              <w:ind w:hanging="0" w:start="0" w:end="0"/>
              <w:rPr/>
            </w:pPr>
            <w:bookmarkStart w:id="84" w:name="außenanlagen-gemeinschaftsflächen"/>
            <w:bookmarkEnd w:id="84"/>
            <w:r>
              <w:rPr/>
              <w:t>18 Außenanlagen, Gemeinschaftsflächen</w:t>
            </w:r>
          </w:p>
        </w:tc>
        <w:tc>
          <w:tcPr>
            <w:tcW w:w="7796" w:type="dxa"/>
            <w:tcBorders/>
            <w:vAlign w:val="center"/>
          </w:tcPr>
          <w:p>
            <w:pPr>
              <w:pStyle w:val="Heading1"/>
              <w:bidi w:val="0"/>
              <w:spacing w:before="240" w:after="283"/>
              <w:ind w:hanging="0" w:start="0" w:end="0"/>
              <w:rPr/>
            </w:pPr>
            <w:bookmarkStart w:id="85" w:name="outdoor-installations-common-areas"/>
            <w:bookmarkEnd w:id="85"/>
            <w:r>
              <w:rPr/>
              <w:t>18 outdoor installations, common areas</w:t>
            </w:r>
          </w:p>
        </w:tc>
      </w:tr>
      <w:tr>
        <w:trPr/>
        <w:tc>
          <w:tcPr>
            <w:tcW w:w="7738" w:type="dxa"/>
            <w:tcBorders/>
            <w:vAlign w:val="center"/>
          </w:tcPr>
          <w:p>
            <w:pPr>
              <w:pStyle w:val="TableContents"/>
              <w:bidi w:val="0"/>
              <w:spacing w:before="0" w:after="283"/>
              <w:rPr/>
            </w:pPr>
            <w:r>
              <w:rPr>
                <w:rStyle w:val="Strong"/>
              </w:rPr>
              <w:t>18.1</w:t>
            </w:r>
            <w:r>
              <w:rPr/>
              <w:t xml:space="preserve"> 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tc>
        <w:tc>
          <w:tcPr>
            <w:tcW w:w="7796" w:type="dxa"/>
            <w:tcBorders/>
            <w:vAlign w:val="center"/>
          </w:tcPr>
          <w:p>
            <w:pPr>
              <w:pStyle w:val="TableContents"/>
              <w:bidi w:val="0"/>
              <w:spacing w:before="0" w:after="283"/>
              <w:rPr/>
            </w:pPr>
            <w:r>
              <w:rPr>
                <w:rStyle w:val="Strong"/>
              </w:rPr>
              <w:t>18.1</w:t>
            </w:r>
            <w:r>
              <w:rPr/>
              <w:t xml:space="preserve"> The outdoor facilities in the area house 4 (access from the quarter square, firefighting and delivery areas, planting areas, bicycle parking areas, waste locations, lighting and the terrace T-4.27) are produced according to the open space concept. The type, scope and time of completion depend on the construction process of the entire quarter, in particular the adjacent building plots Q2 and Q3, and can be after the transfer day of the apartment.</w:t>
            </w:r>
          </w:p>
        </w:tc>
      </w:tr>
      <w:tr>
        <w:trPr/>
        <w:tc>
          <w:tcPr>
            <w:tcW w:w="7738" w:type="dxa"/>
            <w:tcBorders/>
            <w:vAlign w:val="center"/>
          </w:tcPr>
          <w:p>
            <w:pPr>
              <w:pStyle w:val="TableContents"/>
              <w:bidi w:val="0"/>
              <w:spacing w:before="0" w:after="283"/>
              <w:rPr/>
            </w:pPr>
            <w:r>
              <w:rPr>
                <w:rStyle w:val="Strong"/>
              </w:rPr>
              <w:t>18.2</w:t>
            </w:r>
            <w:r>
              <w:rPr/>
              <w:t xml:space="preserve"> Die Terrasse T-4.27 wird mit Betonplatten, keramischen Terrassenplatten oder einem vergleichbaren Belag aus der Außenanlagenserie Q1 auf Gefälle bzw. Unterkonstruktion hergestellt; Format, Farbe, Fuge und Entwässerungsdetail richten sich nach dem Freiflächenkonzept.</w:t>
            </w:r>
          </w:p>
        </w:tc>
        <w:tc>
          <w:tcPr>
            <w:tcW w:w="7796" w:type="dxa"/>
            <w:tcBorders/>
            <w:vAlign w:val="center"/>
          </w:tcPr>
          <w:p>
            <w:pPr>
              <w:pStyle w:val="TableContents"/>
              <w:bidi w:val="0"/>
              <w:spacing w:before="0" w:after="283"/>
              <w:rPr/>
            </w:pPr>
            <w:r>
              <w:rPr>
                <w:rStyle w:val="Strong"/>
              </w:rPr>
              <w:t>18.2</w:t>
            </w:r>
            <w:r>
              <w:rPr/>
              <w:t xml:space="preserve"> The terrace T-4.27 is produced with concrete slabs, ceramic terrace slabs or a comparable covering from the outdoor plant series Q1 on slope or substructure; The format, color, joint and drainage detail depend on the open surface concept.</w:t>
            </w:r>
          </w:p>
        </w:tc>
      </w:tr>
      <w:tr>
        <w:trPr/>
        <w:tc>
          <w:tcPr>
            <w:tcW w:w="7738" w:type="dxa"/>
            <w:tcBorders/>
            <w:vAlign w:val="center"/>
          </w:tcPr>
          <w:p>
            <w:pPr>
              <w:pStyle w:val="Heading1"/>
              <w:bidi w:val="0"/>
              <w:spacing w:before="240" w:after="283"/>
              <w:ind w:hanging="0" w:start="0" w:end="0"/>
              <w:rPr/>
            </w:pPr>
            <w:bookmarkStart w:id="86" w:name="wohnflächen"/>
            <w:bookmarkEnd w:id="86"/>
            <w:r>
              <w:rPr/>
              <w:t>19 Wohnflächen</w:t>
            </w:r>
          </w:p>
        </w:tc>
        <w:tc>
          <w:tcPr>
            <w:tcW w:w="7796" w:type="dxa"/>
            <w:tcBorders/>
            <w:vAlign w:val="center"/>
          </w:tcPr>
          <w:p>
            <w:pPr>
              <w:pStyle w:val="Heading1"/>
              <w:bidi w:val="0"/>
              <w:spacing w:before="240" w:after="283"/>
              <w:ind w:hanging="0" w:start="0" w:end="0"/>
              <w:rPr/>
            </w:pPr>
            <w:bookmarkStart w:id="87" w:name="living-spaces"/>
            <w:bookmarkEnd w:id="87"/>
            <w:r>
              <w:rPr/>
              <w:t>19 Living spaces</w:t>
            </w:r>
          </w:p>
        </w:tc>
      </w:tr>
      <w:tr>
        <w:trPr/>
        <w:tc>
          <w:tcPr>
            <w:tcW w:w="7738" w:type="dxa"/>
            <w:tcBorders/>
            <w:vAlign w:val="center"/>
          </w:tcPr>
          <w:p>
            <w:pPr>
              <w:pStyle w:val="TableContents"/>
              <w:bidi w:val="0"/>
              <w:spacing w:before="0" w:after="283"/>
              <w:rPr/>
            </w:pPr>
            <w:r>
              <w:rPr>
                <w:rStyle w:val="Strong"/>
              </w:rPr>
              <w:t>19.1</w:t>
            </w:r>
            <w:r>
              <w:rPr/>
              <w:t xml:space="preserve"> 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tc>
        <w:tc>
          <w:tcPr>
            <w:tcW w:w="7796" w:type="dxa"/>
            <w:tcBorders/>
            <w:vAlign w:val="center"/>
          </w:tcPr>
          <w:p>
            <w:pPr>
              <w:pStyle w:val="TableContents"/>
              <w:bidi w:val="0"/>
              <w:spacing w:before="0" w:after="283"/>
              <w:rPr/>
            </w:pPr>
            <w:r>
              <w:rPr>
                <w:rStyle w:val="Strong"/>
              </w:rPr>
              <w:t>19.1</w:t>
            </w:r>
            <w:r>
              <w:rPr/>
              <w:t xml:space="preserve"> The living area of the apartment 4.27 amounts to approximately 118.4 m2 including the areas of the terrace T-4.27, which are planned according to the planning status. The determination is made according to DIN 277 on the basis of the planning statuses. The decisive factor is the execution actually performed after completion; the approximate indication serves the object description and is not an independent guarantee.</w:t>
            </w:r>
          </w:p>
        </w:tc>
      </w:tr>
      <w:tr>
        <w:trPr/>
        <w:tc>
          <w:tcPr>
            <w:tcW w:w="7738" w:type="dxa"/>
            <w:tcBorders/>
            <w:vAlign w:val="center"/>
          </w:tcPr>
          <w:p>
            <w:pPr>
              <w:pStyle w:val="Heading1"/>
              <w:bidi w:val="0"/>
              <w:spacing w:before="240" w:after="283"/>
              <w:ind w:hanging="0" w:start="0" w:end="0"/>
              <w:rPr/>
            </w:pPr>
            <w:bookmarkStart w:id="88" w:name="bemusterung-sonderwünsche"/>
            <w:bookmarkEnd w:id="88"/>
            <w:r>
              <w:rPr/>
              <w:t>20 Bemusterung, Sonderwünsche</w:t>
            </w:r>
          </w:p>
        </w:tc>
        <w:tc>
          <w:tcPr>
            <w:tcW w:w="7796" w:type="dxa"/>
            <w:tcBorders/>
            <w:vAlign w:val="center"/>
          </w:tcPr>
          <w:p>
            <w:pPr>
              <w:pStyle w:val="Heading1"/>
              <w:bidi w:val="0"/>
              <w:spacing w:before="240" w:after="283"/>
              <w:ind w:hanging="0" w:start="0" w:end="0"/>
              <w:rPr/>
            </w:pPr>
            <w:bookmarkStart w:id="89" w:name="samples-special-requests"/>
            <w:bookmarkEnd w:id="89"/>
            <w:r>
              <w:rPr/>
              <w:t>20 Samples, special requests</w:t>
            </w:r>
          </w:p>
        </w:tc>
      </w:tr>
      <w:tr>
        <w:trPr/>
        <w:tc>
          <w:tcPr>
            <w:tcW w:w="7738" w:type="dxa"/>
            <w:tcBorders/>
            <w:vAlign w:val="center"/>
          </w:tcPr>
          <w:p>
            <w:pPr>
              <w:pStyle w:val="TableContents"/>
              <w:bidi w:val="0"/>
              <w:spacing w:before="0" w:after="283"/>
              <w:rPr/>
            </w:pPr>
            <w:r>
              <w:rPr>
                <w:rStyle w:val="Strong"/>
              </w:rPr>
              <w:t>20.1</w:t>
            </w:r>
            <w:r>
              <w:rPr/>
              <w:t xml:space="preserve"> 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tc>
        <w:tc>
          <w:tcPr>
            <w:tcW w:w="7796" w:type="dxa"/>
            <w:tcBorders/>
            <w:vAlign w:val="center"/>
          </w:tcPr>
          <w:p>
            <w:pPr>
              <w:pStyle w:val="TableContents"/>
              <w:bidi w:val="0"/>
              <w:spacing w:before="0" w:after="283"/>
              <w:rPr/>
            </w:pPr>
            <w:r>
              <w:rPr>
                <w:rStyle w:val="Strong"/>
              </w:rPr>
              <w:t>20.1</w:t>
            </w:r>
            <w:r>
              <w:rPr/>
              <w:t xml:space="preserve"> As part of the sampling in the “Birkenpfuhl Selection World” sampling center, the Buyer chooses from the respective valid range of the B4 line for floor, tiles, sanitary objects, fittings, interior doors, fittings, switch range and electric multipoints. Three consultation hours are included in the Purchase Price; Expenditure in excess of this amount will be reimbursed with 180.00 EUR net per started hour.</w:t>
            </w:r>
          </w:p>
        </w:tc>
      </w:tr>
      <w:tr>
        <w:trPr/>
        <w:tc>
          <w:tcPr>
            <w:tcW w:w="7738" w:type="dxa"/>
            <w:tcBorders/>
            <w:vAlign w:val="center"/>
          </w:tcPr>
          <w:p>
            <w:pPr>
              <w:pStyle w:val="TableContents"/>
              <w:bidi w:val="0"/>
              <w:spacing w:before="0" w:after="283"/>
              <w:rPr/>
            </w:pPr>
            <w:r>
              <w:rPr>
                <w:rStyle w:val="Strong"/>
              </w:rPr>
              <w:t>20.2</w:t>
            </w:r>
            <w:r>
              <w:rPr/>
              <w:t xml:space="preserve"> 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tc>
        <w:tc>
          <w:tcPr>
            <w:tcW w:w="7796" w:type="dxa"/>
            <w:tcBorders/>
            <w:vAlign w:val="center"/>
          </w:tcPr>
          <w:p>
            <w:pPr>
              <w:pStyle w:val="TableContents"/>
              <w:bidi w:val="0"/>
              <w:spacing w:before="0" w:after="283"/>
              <w:rPr/>
            </w:pPr>
            <w:r>
              <w:rPr>
                <w:rStyle w:val="Strong"/>
              </w:rPr>
              <w:t>20.2</w:t>
            </w:r>
            <w:r>
              <w:rPr/>
              <w:t xml:space="preserve"> Samples shall be taken within four weeks of the request. If the Buyer does not respond in time, the Seller chooses for apartment 4.27 from the series B4-01 to B4-06, B4-Bad and B4-Door. Subsequent changes are only possible as far as ordering, delivery and installation in the construction process House 4 are still possible without redesign, and to be remunerated separately.</w:t>
            </w:r>
          </w:p>
        </w:tc>
      </w:tr>
      <w:tr>
        <w:trPr/>
        <w:tc>
          <w:tcPr>
            <w:tcW w:w="7738" w:type="dxa"/>
            <w:tcBorders/>
            <w:vAlign w:val="center"/>
          </w:tcPr>
          <w:p>
            <w:pPr>
              <w:pStyle w:val="TableContents"/>
              <w:bidi w:val="0"/>
              <w:spacing w:before="0" w:after="283"/>
              <w:rPr/>
            </w:pPr>
            <w:r>
              <w:rPr>
                <w:rStyle w:val="Strong"/>
              </w:rPr>
              <w:t>20.3</w:t>
            </w:r>
            <w:r>
              <w:rPr/>
              <w:t xml:space="preserve"> Sonderwünsche außerhalb der Serien B4-01 bis B4-06, B4-Bad, B4-Tür und B4-Elektro sind vor Beginn der betroffenen Bauleistung vollständig und im Voraus zu zahlen.</w:t>
            </w:r>
          </w:p>
        </w:tc>
        <w:tc>
          <w:tcPr>
            <w:tcW w:w="7796" w:type="dxa"/>
            <w:tcBorders/>
            <w:vAlign w:val="center"/>
          </w:tcPr>
          <w:p>
            <w:pPr>
              <w:pStyle w:val="TableContents"/>
              <w:bidi w:val="0"/>
              <w:spacing w:before="0" w:after="283"/>
              <w:rPr/>
            </w:pPr>
            <w:r>
              <w:rPr>
                <w:rStyle w:val="Strong"/>
              </w:rPr>
              <w:t>20.3</w:t>
            </w:r>
            <w:r>
              <w:rPr/>
              <w:t xml:space="preserve"> Special requests outside series B4-01 to B4-06, B4-Bad, B4-Door and B4-Electric must be paid in full and in advance before the start of the affected construction work.</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90" w:name="schlussbestimmungen-der-baubeschreibung"/>
            <w:bookmarkEnd w:id="90"/>
            <w:r>
              <w:rPr/>
              <w:t>Schlussbestimmungen der Baubeschreibung</w:t>
            </w:r>
          </w:p>
        </w:tc>
        <w:tc>
          <w:tcPr>
            <w:tcW w:w="7796" w:type="dxa"/>
            <w:tcBorders/>
            <w:vAlign w:val="center"/>
          </w:tcPr>
          <w:p>
            <w:pPr>
              <w:pStyle w:val="Heading1"/>
              <w:bidi w:val="0"/>
              <w:spacing w:before="240" w:after="283"/>
              <w:ind w:hanging="0" w:start="0" w:end="0"/>
              <w:rPr/>
            </w:pPr>
            <w:bookmarkStart w:id="91" w:name="final-provisions-of-the-building-specifi"/>
            <w:bookmarkEnd w:id="91"/>
            <w:r>
              <w:rPr/>
              <w:t>Final Provisions of the Building Specification</w:t>
            </w:r>
          </w:p>
        </w:tc>
      </w:tr>
      <w:tr>
        <w:trPr/>
        <w:tc>
          <w:tcPr>
            <w:tcW w:w="7738" w:type="dxa"/>
            <w:tcBorders/>
            <w:vAlign w:val="center"/>
          </w:tcPr>
          <w:p>
            <w:pPr>
              <w:pStyle w:val="TableContents"/>
              <w:bidi w:val="0"/>
              <w:spacing w:before="0" w:after="283"/>
              <w:rPr/>
            </w:pPr>
            <w:r>
              <w:rPr>
                <w:rStyle w:val="Strong"/>
              </w:rPr>
              <w:t>S.1</w:t>
            </w:r>
            <w:r>
              <w:rPr/>
              <w:t xml:space="preserve"> 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tc>
        <w:tc>
          <w:tcPr>
            <w:tcW w:w="7796" w:type="dxa"/>
            <w:tcBorders/>
            <w:vAlign w:val="center"/>
          </w:tcPr>
          <w:p>
            <w:pPr>
              <w:pStyle w:val="TableContents"/>
              <w:bidi w:val="0"/>
              <w:spacing w:before="0" w:after="283"/>
              <w:rPr/>
            </w:pPr>
            <w:r>
              <w:rPr>
                <w:rStyle w:val="Strong"/>
              </w:rPr>
              <w:t>S.1</w:t>
            </w:r>
            <w:r>
              <w:rPr/>
              <w:t xml:space="preserve"> In the event of contradictions between this specification, plans B4-A-100 to B4-A-612, sample documentation and the purchase contract, a technically and economically appropriate interpretation must first be made in the sense of a uniform project execution for House 4 and the underground car park span Nord. For this purpose, the Seller makes the necessary coordination decisions for shaft locations, facade connections, TGA interfaces, sample series and outdoor plant connections.</w:t>
            </w:r>
          </w:p>
        </w:tc>
      </w:tr>
      <w:tr>
        <w:trPr/>
        <w:tc>
          <w:tcPr>
            <w:tcW w:w="7738" w:type="dxa"/>
            <w:tcBorders/>
            <w:vAlign w:val="center"/>
          </w:tcPr>
          <w:p>
            <w:pPr>
              <w:pStyle w:val="TableContents"/>
              <w:bidi w:val="0"/>
              <w:spacing w:before="0" w:after="283"/>
              <w:rPr/>
            </w:pPr>
            <w:r>
              <w:rPr>
                <w:rStyle w:val="Strong"/>
              </w:rPr>
              <w:t>S.2</w:t>
            </w:r>
            <w:r>
              <w:rPr/>
              <w:t xml:space="preserve"> 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tc>
        <w:tc>
          <w:tcPr>
            <w:tcW w:w="7796" w:type="dxa"/>
            <w:tcBorders/>
            <w:vAlign w:val="center"/>
          </w:tcPr>
          <w:p>
            <w:pPr>
              <w:pStyle w:val="TableContents"/>
              <w:bidi w:val="0"/>
              <w:spacing w:before="0" w:after="283"/>
              <w:rPr/>
            </w:pPr>
            <w:r>
              <w:rPr>
                <w:rStyle w:val="Strong"/>
              </w:rPr>
              <w:t>S.2</w:t>
            </w:r>
            <w:r>
              <w:rPr/>
              <w:t xml:space="preserve"> This Building Specification applies in the version February 2026, version 7.2. Previous versions lose their validity. The Seller reserves the right to update the construction description in the course of the execution planning, as long as the overall character of the construction project is maintained.</w:t>
            </w:r>
          </w:p>
        </w:tc>
      </w:tr>
      <w:tr>
        <w:trPr/>
        <w:tc>
          <w:tcPr>
            <w:tcW w:w="7738" w:type="dxa"/>
            <w:tcBorders/>
            <w:vAlign w:val="center"/>
          </w:tcPr>
          <w:p>
            <w:pPr>
              <w:pStyle w:val="TableContents"/>
              <w:bidi w:val="0"/>
              <w:spacing w:before="0" w:after="283"/>
              <w:rPr/>
            </w:pPr>
            <w:r>
              <w:rPr/>
              <w:t>Berlin, im Februar 2026</w:t>
            </w:r>
          </w:p>
        </w:tc>
        <w:tc>
          <w:tcPr>
            <w:tcW w:w="7796" w:type="dxa"/>
            <w:tcBorders/>
            <w:vAlign w:val="center"/>
          </w:tcPr>
          <w:p>
            <w:pPr>
              <w:pStyle w:val="TableContents"/>
              <w:bidi w:val="0"/>
              <w:spacing w:before="0" w:after="283"/>
              <w:rPr/>
            </w:pPr>
            <w:r>
              <w:rPr/>
              <w:t>Berlin, February 2026</w:t>
            </w:r>
          </w:p>
        </w:tc>
      </w:tr>
      <w:tr>
        <w:trPr/>
        <w:tc>
          <w:tcPr>
            <w:tcW w:w="7738" w:type="dxa"/>
            <w:tcBorders/>
            <w:vAlign w:val="center"/>
          </w:tcPr>
          <w:p>
            <w:pPr>
              <w:pStyle w:val="TableContents"/>
              <w:bidi w:val="0"/>
              <w:spacing w:before="0" w:after="283"/>
              <w:rPr/>
            </w:pPr>
            <w:r>
              <w:rPr/>
              <w:t>Hohenwartshofen Quartiersentwicklung GmbH &amp; Co. KG</w:t>
            </w:r>
          </w:p>
        </w:tc>
        <w:tc>
          <w:tcPr>
            <w:tcW w:w="7796" w:type="dxa"/>
            <w:tcBorders/>
            <w:vAlign w:val="center"/>
          </w:tcPr>
          <w:p>
            <w:pPr>
              <w:pStyle w:val="TableContents"/>
              <w:bidi w:val="0"/>
              <w:spacing w:before="0" w:after="283"/>
              <w:rPr/>
            </w:pPr>
            <w:r>
              <w:rPr/>
              <w:t>Hohenwartshofen Quartiersentwicklung GmbH &amp; Co. KG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92" w:name="sprachvorrang"/>
            <w:bookmarkEnd w:id="92"/>
            <w:r>
              <w:rPr/>
              <w:t>Sprachvorrang</w:t>
            </w:r>
          </w:p>
        </w:tc>
        <w:tc>
          <w:tcPr>
            <w:tcW w:w="7796" w:type="dxa"/>
            <w:tcBorders/>
            <w:vAlign w:val="center"/>
          </w:tcPr>
          <w:p>
            <w:pPr>
              <w:pStyle w:val="Heading1"/>
              <w:bidi w:val="0"/>
              <w:spacing w:before="240" w:after="283"/>
              <w:ind w:hanging="0" w:start="0" w:end="0"/>
              <w:rPr/>
            </w:pPr>
            <w:bookmarkStart w:id="93" w:name="language-precedence"/>
            <w:bookmarkEnd w:id="93"/>
            <w:r>
              <w:rPr/>
              <w:t>Language Precedence</w:t>
            </w:r>
          </w:p>
        </w:tc>
      </w:tr>
      <w:tr>
        <w:trPr/>
        <w:tc>
          <w:tcPr>
            <w:tcW w:w="7738"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796"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Songti SC" w:cs="Arial Unicode M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Songti SC" w:cs="Arial Unicode M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16007</Words>
  <Characters>100121</Characters>
  <CharactersWithSpaces>115599</CharactersWithSpaces>
  <Paragraphs>548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