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BodyTextdoc-note"/>
        <w:bidi w:val="0"/>
        <w:rPr/>
      </w:pPr>
      <w:r>
        <w:rPr>
          <w:rStyle w:val="Strong"/>
        </w:rPr>
        <w:t>ENTWURF / DRAFT</w:t>
      </w:r>
    </w:p>
    <w:p>
      <w:pPr>
        <w:pStyle w:val="Title"/>
        <w:bidi w:val="0"/>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7545"/>
        <w:gridCol w:w="7989"/>
      </w:tblGrid>
      <w:tr>
        <w:trPr>
          <w:tblHeader w:val="true"/>
          <w:cantSplit/>
        </w:trPr>
        <w:tc>
          <w:tcPr>
            <w:tcW w:w="7545" w:type="dxa"/>
            <w:tcBorders/>
            <w:vAlign w:val="center"/>
          </w:tcPr>
          <w:p>
            <w:pPr>
              <w:pStyle w:val="TableHeading"/>
              <w:widowControl/>
              <w:suppressLineNumbers/>
              <w:bidi w:val="0"/>
              <w:spacing w:before="0" w:after="283"/>
              <w:jc w:val="center"/>
              <w:rPr/>
            </w:pPr>
            <w:r>
              <w:rPr/>
              <w:t>Deutsche Fassung</w:t>
            </w:r>
          </w:p>
        </w:tc>
        <w:tc>
          <w:tcPr>
            <w:tcW w:w="7989" w:type="dxa"/>
            <w:tcBorders/>
            <w:vAlign w:val="center"/>
          </w:tcPr>
          <w:p>
            <w:pPr>
              <w:pStyle w:val="TableHeading"/>
              <w:widowControl/>
              <w:suppressLineNumbers/>
              <w:bidi w:val="0"/>
              <w:spacing w:before="0" w:after="283"/>
              <w:jc w:val="center"/>
              <w:rPr/>
            </w:pPr>
            <w:r>
              <w:rPr/>
              <w:t>English convenience translation</w:t>
            </w:r>
          </w:p>
        </w:tc>
      </w:tr>
      <w:tr>
        <w:trPr>
          <w:cantSplit/>
        </w:trPr>
        <w:tc>
          <w:tcPr>
            <w:tcW w:w="7545" w:type="dxa"/>
            <w:tcBorders/>
            <w:vAlign w:val="center"/>
          </w:tcPr>
          <w:p>
            <w:pPr>
              <w:pStyle w:val="Heading1"/>
              <w:keepNext/>
              <w:widowControl/>
              <w:bidi w:val="0"/>
              <w:spacing w:before="240" w:after="283"/>
              <w:ind w:hanging="0" w:start="0" w:end="0"/>
              <w:rPr/>
            </w:pPr>
            <w:bookmarkStart w:id="0" w:name="entwurf"/>
            <w:bookmarkEnd w:id="0"/>
            <w:r>
              <w:rPr/>
              <w:t>ENTWURF</w:t>
            </w:r>
          </w:p>
          <w:p>
            <w:pPr>
              <w:pStyle w:val="Heading2"/>
              <w:widowControl/>
              <w:bidi w:val="0"/>
              <w:spacing w:before="200" w:after="120"/>
              <w:ind w:hanging="0" w:start="0" w:end="0"/>
              <w:rPr/>
            </w:pPr>
            <w:bookmarkStart w:id="2" w:name="sprachfassung-verlesung-und-verständnish"/>
            <w:bookmarkEnd w:id="2"/>
            <w:r>
              <w:rPr/>
              <w:t>Sprachfassung, Verlesung und Verständnishilfe</w:t>
            </w:r>
          </w:p>
        </w:tc>
        <w:tc>
          <w:tcPr>
            <w:tcW w:w="7989" w:type="dxa"/>
            <w:tcBorders/>
            <w:vAlign w:val="center"/>
          </w:tcPr>
          <w:p>
            <w:pPr>
              <w:pStyle w:val="Heading1"/>
              <w:keepNext/>
              <w:widowControl/>
              <w:bidi w:val="0"/>
              <w:spacing w:before="240" w:after="283"/>
              <w:ind w:hanging="0" w:start="0" w:end="0"/>
              <w:rPr/>
            </w:pPr>
            <w:bookmarkStart w:id="1" w:name="draft"/>
            <w:bookmarkEnd w:id="1"/>
            <w:r>
              <w:rPr/>
              <w:t>DRAFT</w:t>
            </w:r>
          </w:p>
          <w:p>
            <w:pPr>
              <w:pStyle w:val="Heading2"/>
              <w:widowControl/>
              <w:bidi w:val="0"/>
              <w:spacing w:before="200" w:after="120"/>
              <w:ind w:hanging="0" w:start="0" w:end="0"/>
              <w:rPr/>
            </w:pPr>
            <w:bookmarkStart w:id="3" w:name="language-version-reading-aloud-and-compr"/>
            <w:bookmarkEnd w:id="3"/>
            <w:r>
              <w:rPr/>
              <w:t xml:space="preserve">Language Version, Reading Aloud and Comprehension Aid </w:t>
            </w:r>
          </w:p>
        </w:tc>
      </w:tr>
      <w:tr>
        <w:trPr>
          <w:cantSplit/>
        </w:trPr>
        <w:tc>
          <w:tcPr>
            <w:tcW w:w="7545" w:type="dxa"/>
            <w:tcBorders/>
            <w:vAlign w:val="center"/>
          </w:tcPr>
          <w:p>
            <w:pPr>
              <w:pStyle w:val="TableContents"/>
              <w:widowControl/>
              <w:bidi w:val="0"/>
              <w:spacing w:before="0" w:after="283"/>
              <w:rPr/>
            </w:pPr>
            <w:r>
              <w:rPr>
                <w:rStyle w:val="Strong"/>
              </w:rPr>
              <w:t>S.0</w:t>
            </w:r>
            <w:r>
              <w:rPr/>
              <w:t xml:space="preserve"> Diese deutsch-englische Lesefassung ist ein Entwurf. Die amtierende Notarin soll im künftigen Beurkundungstermin ausschließlich die deutsche Sprachfassung beurkunden und verlesen. Die englische Sprachfassung ist keine selbständige Vertragssprache, soll nicht verlesen werden und dient allein dem besseren Verständnis des Käufers; sie begründet keine von der deutschen Sprachfassung abweichenden Rechte, Pflichten, Fälligkeiten, Fristen, Beschaffenheiten oder Rechtsfolgen.</w:t>
            </w:r>
          </w:p>
        </w:tc>
        <w:tc>
          <w:tcPr>
            <w:tcW w:w="7989" w:type="dxa"/>
            <w:tcBorders/>
            <w:vAlign w:val="center"/>
          </w:tcPr>
          <w:p>
            <w:pPr>
              <w:pStyle w:val="TableContents"/>
              <w:widowControl/>
              <w:bidi w:val="0"/>
              <w:spacing w:before="0" w:after="283"/>
              <w:rPr/>
            </w:pPr>
            <w:r>
              <w:rPr>
                <w:rStyle w:val="Strong"/>
              </w:rPr>
              <w:t>S.0</w:t>
            </w:r>
            <w:r>
              <w:rPr/>
              <w:t xml:space="preserve"> This German/English reading version is a draft. At the future notarisation appointment, the acting notary is to record and read aloud only the German language version. The English language version is not an independent contractual language, is not intended to be read aloud and serves solely to assist the Buyer in understanding the draft; it does not create any rights, obligations, due dates, time limits, qualities or legal consequences differing from the German language version.</w:t>
            </w:r>
          </w:p>
        </w:tc>
      </w:tr>
      <w:tr>
        <w:trPr>
          <w:cantSplit/>
        </w:trPr>
        <w:tc>
          <w:tcPr>
            <w:tcW w:w="7545" w:type="dxa"/>
            <w:tcBorders/>
            <w:vAlign w:val="center"/>
          </w:tcPr>
          <w:p>
            <w:pPr>
              <w:pStyle w:val="Heading1"/>
              <w:keepNext/>
              <w:widowControl/>
              <w:bidi w:val="0"/>
              <w:spacing w:before="240" w:after="283"/>
              <w:ind w:hanging="0" w:start="0" w:end="0"/>
              <w:rPr/>
            </w:pPr>
            <w:bookmarkStart w:id="4" w:name="bauträgervertrag"/>
            <w:bookmarkEnd w:id="4"/>
            <w:r>
              <w:rPr/>
              <w:t>Bauträgervertrag</w:t>
            </w:r>
          </w:p>
          <w:p>
            <w:pPr>
              <w:pStyle w:val="TableContents"/>
              <w:widowControl/>
              <w:bidi w:val="0"/>
              <w:spacing w:before="0" w:after="283"/>
              <w:rPr/>
            </w:pPr>
            <w:r>
              <w:rPr>
                <w:rStyle w:val="Strong"/>
              </w:rPr>
              <w:t>UR-Nr. ____________________</w:t>
            </w:r>
          </w:p>
        </w:tc>
        <w:tc>
          <w:tcPr>
            <w:tcW w:w="7989" w:type="dxa"/>
            <w:tcBorders/>
            <w:vAlign w:val="center"/>
          </w:tcPr>
          <w:p>
            <w:pPr>
              <w:pStyle w:val="Heading1"/>
              <w:keepNext/>
              <w:widowControl/>
              <w:bidi w:val="0"/>
              <w:spacing w:before="240" w:after="283"/>
              <w:ind w:hanging="0" w:start="0" w:end="0"/>
              <w:rPr/>
            </w:pPr>
            <w:bookmarkStart w:id="5" w:name="property-development-contract"/>
            <w:bookmarkEnd w:id="5"/>
            <w:r>
              <w:rPr/>
              <w:t xml:space="preserve">Property Development Contract </w:t>
            </w:r>
          </w:p>
          <w:p>
            <w:pPr>
              <w:pStyle w:val="TableContents"/>
              <w:widowControl/>
              <w:bidi w:val="0"/>
              <w:spacing w:before="0" w:after="283"/>
              <w:rPr/>
            </w:pPr>
            <w:r>
              <w:rPr>
                <w:rStyle w:val="Strong"/>
              </w:rPr>
              <w:t>Deed no. ____________________</w:t>
            </w:r>
          </w:p>
        </w:tc>
      </w:tr>
      <w:tr>
        <w:trPr>
          <w:cantSplit/>
        </w:trPr>
        <w:tc>
          <w:tcPr>
            <w:tcW w:w="7545" w:type="dxa"/>
            <w:tcBorders/>
            <w:vAlign w:val="center"/>
          </w:tcPr>
          <w:p>
            <w:pPr>
              <w:pStyle w:val="Heading2"/>
              <w:keepNext/>
              <w:widowControl/>
              <w:bidi w:val="0"/>
              <w:spacing w:before="200" w:after="120"/>
              <w:ind w:hanging="0" w:start="0" w:end="0"/>
              <w:rPr/>
            </w:pPr>
            <w:bookmarkStart w:id="6" w:name="vorgesehener-beurkundungstermin"/>
            <w:bookmarkEnd w:id="6"/>
            <w:r>
              <w:rPr/>
              <w:t>Vorgesehener Beurkundungstermin</w:t>
            </w:r>
          </w:p>
          <w:p>
            <w:pPr>
              <w:pStyle w:val="TableContents"/>
              <w:widowControl/>
              <w:bidi w:val="0"/>
              <w:spacing w:before="0" w:after="283"/>
              <w:rPr/>
            </w:pPr>
            <w:r>
              <w:rPr/>
              <w:t>Köln, vorgesehen für den 18. September 2026</w:t>
            </w:r>
          </w:p>
        </w:tc>
        <w:tc>
          <w:tcPr>
            <w:tcW w:w="7989" w:type="dxa"/>
            <w:tcBorders/>
            <w:vAlign w:val="center"/>
          </w:tcPr>
          <w:p>
            <w:pPr>
              <w:pStyle w:val="Heading2"/>
              <w:keepNext/>
              <w:widowControl/>
              <w:bidi w:val="0"/>
              <w:spacing w:before="200" w:after="120"/>
              <w:ind w:hanging="0" w:start="0" w:end="0"/>
              <w:rPr/>
            </w:pPr>
            <w:bookmarkStart w:id="7" w:name="proposed-notarisation-appointment"/>
            <w:bookmarkEnd w:id="7"/>
            <w:r>
              <w:rPr/>
              <w:t>Proposed notarisation appointment</w:t>
            </w:r>
          </w:p>
          <w:p>
            <w:pPr>
              <w:pStyle w:val="TableContents"/>
              <w:widowControl/>
              <w:bidi w:val="0"/>
              <w:spacing w:before="0" w:after="283"/>
              <w:rPr/>
            </w:pPr>
            <w:r>
              <w:rPr/>
              <w:t>Cologne, proposed for 18 September 2026</w:t>
            </w:r>
          </w:p>
        </w:tc>
      </w:tr>
      <w:tr>
        <w:trPr>
          <w:cantSplit/>
        </w:trPr>
        <w:tc>
          <w:tcPr>
            <w:tcW w:w="7545" w:type="dxa"/>
            <w:tcBorders/>
            <w:vAlign w:val="center"/>
          </w:tcPr>
          <w:p>
            <w:pPr>
              <w:pStyle w:val="TableContents"/>
              <w:widowControl/>
              <w:bidi w:val="0"/>
              <w:spacing w:before="0" w:after="283"/>
              <w:rPr/>
            </w:pPr>
            <w:r>
              <w:rPr/>
              <w:t>Vorgesehene Notarin im Bezirk des Oberlandesgerichts Köln</w:t>
            </w:r>
          </w:p>
        </w:tc>
        <w:tc>
          <w:tcPr>
            <w:tcW w:w="7989" w:type="dxa"/>
            <w:tcBorders/>
            <w:vAlign w:val="center"/>
          </w:tcPr>
          <w:p>
            <w:pPr>
              <w:pStyle w:val="TableContents"/>
              <w:widowControl/>
              <w:bidi w:val="0"/>
              <w:spacing w:before="0" w:after="283"/>
              <w:rPr/>
            </w:pPr>
            <w:r>
              <w:rPr/>
              <w:t>Proposed Notary in the district of the Higher Regional Court of Cologne</w:t>
            </w:r>
          </w:p>
        </w:tc>
      </w:tr>
      <w:tr>
        <w:trPr>
          <w:cantSplit/>
        </w:trPr>
        <w:tc>
          <w:tcPr>
            <w:tcW w:w="7545" w:type="dxa"/>
            <w:tcBorders/>
            <w:vAlign w:val="center"/>
          </w:tcPr>
          <w:p>
            <w:pPr>
              <w:pStyle w:val="TableContents"/>
              <w:widowControl/>
              <w:bidi w:val="0"/>
              <w:spacing w:before="0" w:after="283"/>
              <w:rPr/>
            </w:pPr>
            <w:r>
              <w:rPr>
                <w:rStyle w:val="Strong"/>
              </w:rPr>
              <w:t>Dr. Miriam Falkenried</w:t>
            </w:r>
          </w:p>
        </w:tc>
        <w:tc>
          <w:tcPr>
            <w:tcW w:w="7989" w:type="dxa"/>
            <w:tcBorders/>
            <w:vAlign w:val="center"/>
          </w:tcPr>
          <w:p>
            <w:pPr>
              <w:pStyle w:val="TableContents"/>
              <w:widowControl/>
              <w:bidi w:val="0"/>
              <w:spacing w:before="0" w:after="283"/>
              <w:rPr/>
            </w:pPr>
            <w:r>
              <w:rPr>
                <w:rStyle w:val="Strong"/>
              </w:rPr>
              <w:t>Dr. Miriam Falkenried</w:t>
            </w:r>
            <w:r>
              <w:rPr/>
              <w:t xml:space="preserve"> </w:t>
            </w:r>
          </w:p>
        </w:tc>
      </w:tr>
      <w:tr>
        <w:trPr>
          <w:cantSplit/>
        </w:trPr>
        <w:tc>
          <w:tcPr>
            <w:tcW w:w="7545" w:type="dxa"/>
            <w:tcBorders/>
            <w:vAlign w:val="center"/>
          </w:tcPr>
          <w:p>
            <w:pPr>
              <w:pStyle w:val="TableContents"/>
              <w:widowControl/>
              <w:bidi w:val="0"/>
              <w:spacing w:before="0" w:after="283"/>
              <w:rPr/>
            </w:pPr>
            <w:r>
              <w:rPr/>
              <w:t>Hohenzollernring 42, 50672 Köln</w:t>
            </w:r>
          </w:p>
        </w:tc>
        <w:tc>
          <w:tcPr>
            <w:tcW w:w="7989" w:type="dxa"/>
            <w:tcBorders/>
            <w:vAlign w:val="center"/>
          </w:tcPr>
          <w:p>
            <w:pPr>
              <w:pStyle w:val="TableContents"/>
              <w:widowControl/>
              <w:bidi w:val="0"/>
              <w:spacing w:before="0" w:after="283"/>
              <w:rPr/>
            </w:pPr>
            <w:r>
              <w:rPr/>
              <w:t xml:space="preserve">Hohenzollernring 42, 50672 Cologne </w:t>
            </w:r>
          </w:p>
        </w:tc>
      </w:tr>
      <w:tr>
        <w:trPr>
          <w:cantSplit/>
        </w:trPr>
        <w:tc>
          <w:tcPr>
            <w:tcW w:w="7545" w:type="dxa"/>
            <w:tcBorders/>
            <w:vAlign w:val="center"/>
          </w:tcPr>
          <w:p>
            <w:pPr>
              <w:pStyle w:val="TableContents"/>
              <w:widowControl/>
              <w:bidi w:val="0"/>
              <w:spacing w:before="0" w:after="283"/>
              <w:rPr/>
            </w:pPr>
            <w:r>
              <w:rPr/>
              <w:t>Vorgesehene Beteiligte:</w:t>
            </w:r>
          </w:p>
        </w:tc>
        <w:tc>
          <w:tcPr>
            <w:tcW w:w="7989" w:type="dxa"/>
            <w:tcBorders/>
            <w:vAlign w:val="center"/>
          </w:tcPr>
          <w:p>
            <w:pPr>
              <w:pStyle w:val="TableContents"/>
              <w:widowControl/>
              <w:bidi w:val="0"/>
              <w:spacing w:before="0" w:after="283"/>
              <w:rPr/>
            </w:pPr>
            <w:r>
              <w:rPr/>
              <w:t>Proposed parties:</w:t>
            </w:r>
          </w:p>
        </w:tc>
      </w:tr>
      <w:tr>
        <w:trPr>
          <w:cantSplit/>
        </w:trPr>
        <w:tc>
          <w:tcPr>
            <w:tcW w:w="7545" w:type="dxa"/>
            <w:tcBorders/>
            <w:vAlign w:val="center"/>
          </w:tcPr>
          <w:p>
            <w:pPr>
              <w:pStyle w:val="TableContents"/>
              <w:widowControl/>
              <w:bidi w:val="0"/>
              <w:spacing w:before="0" w:after="283"/>
              <w:rPr/>
            </w:pPr>
            <w:r>
              <w:rPr>
                <w:rStyle w:val="Strong"/>
              </w:rPr>
              <w:t>Herr Jonas Reuter</w:t>
            </w:r>
            <w:r>
              <w:rPr/>
              <w:t>, geboren am 03.04.1979,</w:t>
            </w:r>
          </w:p>
        </w:tc>
        <w:tc>
          <w:tcPr>
            <w:tcW w:w="7989" w:type="dxa"/>
            <w:tcBorders/>
            <w:vAlign w:val="center"/>
          </w:tcPr>
          <w:p>
            <w:pPr>
              <w:pStyle w:val="TableContents"/>
              <w:widowControl/>
              <w:bidi w:val="0"/>
              <w:spacing w:before="0" w:after="283"/>
              <w:rPr/>
            </w:pPr>
            <w:r>
              <w:rPr>
                <w:rStyle w:val="Strong"/>
              </w:rPr>
              <w:t>Mr Jonas Reuter</w:t>
            </w:r>
            <w:r>
              <w:rPr/>
              <w:t>, born on 3 April 1979,</w:t>
            </w:r>
          </w:p>
        </w:tc>
      </w:tr>
      <w:tr>
        <w:trPr>
          <w:cantSplit/>
        </w:trPr>
        <w:tc>
          <w:tcPr>
            <w:tcW w:w="7545" w:type="dxa"/>
            <w:tcBorders/>
            <w:vAlign w:val="center"/>
          </w:tcPr>
          <w:p>
            <w:pPr>
              <w:pStyle w:val="TableContents"/>
              <w:widowControl/>
              <w:bidi w:val="0"/>
              <w:spacing w:before="0" w:after="283"/>
              <w:rPr/>
            </w:pPr>
            <w:r>
              <w:rPr/>
              <w:t>geschäftsansässig: Lindenhain Wohnwerte GmbH &amp; Co. KG, Gereonstraße 18, 50670 Köln,</w:t>
            </w:r>
          </w:p>
        </w:tc>
        <w:tc>
          <w:tcPr>
            <w:tcW w:w="7989" w:type="dxa"/>
            <w:tcBorders/>
            <w:vAlign w:val="center"/>
          </w:tcPr>
          <w:p>
            <w:pPr>
              <w:pStyle w:val="TableContents"/>
              <w:widowControl/>
              <w:bidi w:val="0"/>
              <w:spacing w:before="0" w:after="283"/>
              <w:rPr/>
            </w:pPr>
            <w:r>
              <w:rPr/>
              <w:t xml:space="preserve">business address: Lindenhain Wohnwerte GmbH &amp; Co. KG, Gereonstraße 18, 50670 Köln, </w:t>
            </w:r>
          </w:p>
        </w:tc>
      </w:tr>
      <w:tr>
        <w:trPr>
          <w:cantSplit/>
        </w:trPr>
        <w:tc>
          <w:tcPr>
            <w:tcW w:w="7545" w:type="dxa"/>
            <w:tcBorders/>
            <w:vAlign w:val="center"/>
          </w:tcPr>
          <w:p>
            <w:pPr>
              <w:pStyle w:val="TableContents"/>
              <w:widowControl/>
              <w:bidi w:val="0"/>
              <w:spacing w:before="0" w:after="283"/>
              <w:rPr/>
            </w:pPr>
            <w:r>
              <w:rPr/>
              <w:t>Identität im Beurkundungstermin festzustellen,</w:t>
            </w:r>
          </w:p>
        </w:tc>
        <w:tc>
          <w:tcPr>
            <w:tcW w:w="7989" w:type="dxa"/>
            <w:tcBorders/>
            <w:vAlign w:val="center"/>
          </w:tcPr>
          <w:p>
            <w:pPr>
              <w:pStyle w:val="TableContents"/>
              <w:widowControl/>
              <w:bidi w:val="0"/>
              <w:spacing w:before="0" w:after="283"/>
              <w:rPr/>
            </w:pPr>
            <w:r>
              <w:rPr/>
              <w:t>identity to be verified at the notarisation appointment,</w:t>
            </w:r>
          </w:p>
        </w:tc>
      </w:tr>
      <w:tr>
        <w:trPr>
          <w:cantSplit/>
        </w:trPr>
        <w:tc>
          <w:tcPr>
            <w:tcW w:w="7545" w:type="dxa"/>
            <w:tcBorders/>
            <w:vAlign w:val="center"/>
          </w:tcPr>
          <w:p>
            <w:pPr>
              <w:pStyle w:val="TableContents"/>
              <w:widowControl/>
              <w:bidi w:val="0"/>
              <w:spacing w:before="0" w:after="283"/>
              <w:rPr/>
            </w:pPr>
            <w:r>
              <w:rPr/>
              <w:t>handelnd nicht im eigenen Namen, sondern als einzelvertretungsberechtigter, von den Beschränkungen des § 181 BGB befreiter Geschäftsführer der</w:t>
            </w:r>
          </w:p>
        </w:tc>
        <w:tc>
          <w:tcPr>
            <w:tcW w:w="7989" w:type="dxa"/>
            <w:tcBorders/>
            <w:vAlign w:val="center"/>
          </w:tcPr>
          <w:p>
            <w:pPr>
              <w:pStyle w:val="TableContents"/>
              <w:widowControl/>
              <w:bidi w:val="0"/>
              <w:spacing w:before="0" w:after="283"/>
              <w:rPr/>
            </w:pPr>
            <w:r>
              <w:rPr/>
              <w:t>acting not in his own name, but as the managing director authorised to represent the company alone and exempt from the restrictions of section 181 BGB, of</w:t>
            </w:r>
          </w:p>
        </w:tc>
      </w:tr>
      <w:tr>
        <w:trPr>
          <w:cantSplit/>
        </w:trPr>
        <w:tc>
          <w:tcPr>
            <w:tcW w:w="7545" w:type="dxa"/>
            <w:tcBorders/>
            <w:vAlign w:val="center"/>
          </w:tcPr>
          <w:p>
            <w:pPr>
              <w:pStyle w:val="TableContents"/>
              <w:widowControl/>
              <w:bidi w:val="0"/>
              <w:spacing w:before="0" w:after="283"/>
              <w:rPr/>
            </w:pPr>
            <w:r>
              <w:rPr>
                <w:rStyle w:val="Strong"/>
              </w:rPr>
              <w:t>Lindenhain Wohnwerte Verwaltungs GmbH</w:t>
            </w:r>
          </w:p>
        </w:tc>
        <w:tc>
          <w:tcPr>
            <w:tcW w:w="7989" w:type="dxa"/>
            <w:tcBorders/>
            <w:vAlign w:val="center"/>
          </w:tcPr>
          <w:p>
            <w:pPr>
              <w:pStyle w:val="TableContents"/>
              <w:widowControl/>
              <w:bidi w:val="0"/>
              <w:spacing w:before="0" w:after="283"/>
              <w:rPr/>
            </w:pPr>
            <w:r>
              <w:rPr>
                <w:rStyle w:val="Strong"/>
              </w:rPr>
              <w:t>Lindenhain Wohnwerte Verwaltungs GmbH</w:t>
            </w:r>
            <w:r>
              <w:rPr/>
              <w:t xml:space="preserve"> </w:t>
            </w:r>
          </w:p>
        </w:tc>
      </w:tr>
      <w:tr>
        <w:trPr>
          <w:cantSplit/>
        </w:trPr>
        <w:tc>
          <w:tcPr>
            <w:tcW w:w="7545" w:type="dxa"/>
            <w:tcBorders/>
            <w:vAlign w:val="center"/>
          </w:tcPr>
          <w:p>
            <w:pPr>
              <w:pStyle w:val="TableContents"/>
              <w:widowControl/>
              <w:bidi w:val="0"/>
              <w:spacing w:before="0" w:after="283"/>
              <w:rPr/>
            </w:pPr>
            <w:r>
              <w:rPr/>
              <w:t>eingetragen im Handelsregister des Amtsgerichts Köln unter HRB 118402,</w:t>
            </w:r>
          </w:p>
        </w:tc>
        <w:tc>
          <w:tcPr>
            <w:tcW w:w="7989" w:type="dxa"/>
            <w:tcBorders/>
            <w:vAlign w:val="center"/>
          </w:tcPr>
          <w:p>
            <w:pPr>
              <w:pStyle w:val="TableContents"/>
              <w:widowControl/>
              <w:bidi w:val="0"/>
              <w:spacing w:before="0" w:after="283"/>
              <w:rPr/>
            </w:pPr>
            <w:r>
              <w:rPr/>
              <w:t xml:space="preserve">registered in the Commercial Register of the District Court of Cologne under HRB 118402, </w:t>
            </w:r>
          </w:p>
        </w:tc>
      </w:tr>
      <w:tr>
        <w:trPr>
          <w:cantSplit/>
        </w:trPr>
        <w:tc>
          <w:tcPr>
            <w:tcW w:w="7545" w:type="dxa"/>
            <w:tcBorders/>
            <w:vAlign w:val="center"/>
          </w:tcPr>
          <w:p>
            <w:pPr>
              <w:pStyle w:val="TableContents"/>
              <w:widowControl/>
              <w:bidi w:val="0"/>
              <w:spacing w:before="0" w:after="283"/>
              <w:rPr/>
            </w:pPr>
            <w:r>
              <w:rPr/>
              <w:t>diese handelnd als persönlich haftende Gesellschafterin für die</w:t>
            </w:r>
          </w:p>
        </w:tc>
        <w:tc>
          <w:tcPr>
            <w:tcW w:w="7989" w:type="dxa"/>
            <w:tcBorders/>
            <w:vAlign w:val="center"/>
          </w:tcPr>
          <w:p>
            <w:pPr>
              <w:pStyle w:val="TableContents"/>
              <w:widowControl/>
              <w:bidi w:val="0"/>
              <w:spacing w:before="0" w:after="283"/>
              <w:rPr/>
            </w:pPr>
            <w:r>
              <w:rPr/>
              <w:t>which in turn acts as the general partner of</w:t>
            </w:r>
          </w:p>
        </w:tc>
      </w:tr>
      <w:tr>
        <w:trPr>
          <w:cantSplit/>
        </w:trPr>
        <w:tc>
          <w:tcPr>
            <w:tcW w:w="7545" w:type="dxa"/>
            <w:tcBorders/>
            <w:vAlign w:val="center"/>
          </w:tcPr>
          <w:p>
            <w:pPr>
              <w:pStyle w:val="TableContents"/>
              <w:widowControl/>
              <w:bidi w:val="0"/>
              <w:spacing w:before="0" w:after="283"/>
              <w:rPr/>
            </w:pPr>
            <w:r>
              <w:rPr>
                <w:rStyle w:val="Strong"/>
              </w:rPr>
              <w:t>Lindenhain Wohnwerte GmbH &amp; Co. KG</w:t>
            </w:r>
          </w:p>
        </w:tc>
        <w:tc>
          <w:tcPr>
            <w:tcW w:w="7989" w:type="dxa"/>
            <w:tcBorders/>
            <w:vAlign w:val="center"/>
          </w:tcPr>
          <w:p>
            <w:pPr>
              <w:pStyle w:val="TableContents"/>
              <w:widowControl/>
              <w:bidi w:val="0"/>
              <w:spacing w:before="0" w:after="283"/>
              <w:rPr/>
            </w:pPr>
            <w:r>
              <w:rPr>
                <w:rStyle w:val="Strong"/>
              </w:rPr>
              <w:t>Lindenhain Wohnwerte GmbH &amp; Co. KG</w:t>
            </w:r>
            <w:r>
              <w:rPr/>
              <w:t xml:space="preserve"> </w:t>
            </w:r>
          </w:p>
        </w:tc>
      </w:tr>
      <w:tr>
        <w:trPr>
          <w:cantSplit/>
        </w:trPr>
        <w:tc>
          <w:tcPr>
            <w:tcW w:w="7545" w:type="dxa"/>
            <w:tcBorders/>
            <w:vAlign w:val="center"/>
          </w:tcPr>
          <w:p>
            <w:pPr>
              <w:pStyle w:val="TableContents"/>
              <w:widowControl/>
              <w:bidi w:val="0"/>
              <w:spacing w:before="0" w:after="283"/>
              <w:rPr/>
            </w:pPr>
            <w:r>
              <w:rPr/>
              <w:t>Gereonstraße 18, 50670 Köln,</w:t>
            </w:r>
          </w:p>
        </w:tc>
        <w:tc>
          <w:tcPr>
            <w:tcW w:w="7989" w:type="dxa"/>
            <w:tcBorders/>
            <w:vAlign w:val="center"/>
          </w:tcPr>
          <w:p>
            <w:pPr>
              <w:pStyle w:val="TableContents"/>
              <w:widowControl/>
              <w:bidi w:val="0"/>
              <w:spacing w:before="0" w:after="283"/>
              <w:rPr/>
            </w:pPr>
            <w:r>
              <w:rPr/>
              <w:t xml:space="preserve">Gereonstraße 18, 50670 Cologne, </w:t>
            </w:r>
          </w:p>
        </w:tc>
      </w:tr>
      <w:tr>
        <w:trPr>
          <w:cantSplit/>
        </w:trPr>
        <w:tc>
          <w:tcPr>
            <w:tcW w:w="7545" w:type="dxa"/>
            <w:tcBorders/>
            <w:vAlign w:val="center"/>
          </w:tcPr>
          <w:p>
            <w:pPr>
              <w:pStyle w:val="TableContents"/>
              <w:widowControl/>
              <w:bidi w:val="0"/>
              <w:spacing w:before="0" w:after="283"/>
              <w:rPr/>
            </w:pPr>
            <w:r>
              <w:rPr/>
              <w:t>eingetragen im Handelsregister des Amtsgerichts Köln unter HRA 42191,</w:t>
            </w:r>
          </w:p>
        </w:tc>
        <w:tc>
          <w:tcPr>
            <w:tcW w:w="7989" w:type="dxa"/>
            <w:tcBorders/>
            <w:vAlign w:val="center"/>
          </w:tcPr>
          <w:p>
            <w:pPr>
              <w:pStyle w:val="TableContents"/>
              <w:widowControl/>
              <w:bidi w:val="0"/>
              <w:spacing w:before="0" w:after="283"/>
              <w:rPr/>
            </w:pPr>
            <w:r>
              <w:rPr/>
              <w:t xml:space="preserve">registered in the Commercial Register of the District Court of Cologne under HRA 42191, </w:t>
            </w:r>
          </w:p>
        </w:tc>
      </w:tr>
      <w:tr>
        <w:trPr>
          <w:cantSplit/>
        </w:trPr>
        <w:tc>
          <w:tcPr>
            <w:tcW w:w="7545" w:type="dxa"/>
            <w:tcBorders/>
            <w:vAlign w:val="center"/>
          </w:tcPr>
          <w:p>
            <w:pPr>
              <w:pStyle w:val="TableContents"/>
              <w:widowControl/>
              <w:bidi w:val="0"/>
              <w:spacing w:before="0" w:after="283"/>
              <w:rPr/>
            </w:pPr>
            <w:r>
              <w:rPr/>
              <w:t xml:space="preserve">nachfolgend </w:t>
            </w:r>
            <w:r>
              <w:rPr>
                <w:rStyle w:val="Strong"/>
              </w:rPr>
              <w:t>Verkäuferin</w:t>
            </w:r>
            <w:r>
              <w:rPr/>
              <w:t>,</w:t>
            </w:r>
          </w:p>
        </w:tc>
        <w:tc>
          <w:tcPr>
            <w:tcW w:w="7989" w:type="dxa"/>
            <w:tcBorders/>
            <w:vAlign w:val="center"/>
          </w:tcPr>
          <w:p>
            <w:pPr>
              <w:pStyle w:val="TableContents"/>
              <w:widowControl/>
              <w:bidi w:val="0"/>
              <w:spacing w:before="0" w:after="283"/>
              <w:rPr/>
            </w:pPr>
            <w:r>
              <w:rPr/>
              <w:t xml:space="preserve">hereinafter the </w:t>
            </w:r>
            <w:r>
              <w:rPr>
                <w:rStyle w:val="Strong"/>
              </w:rPr>
              <w:t>Seller</w:t>
            </w:r>
            <w:r>
              <w:rPr/>
              <w:t>,</w:t>
            </w:r>
          </w:p>
        </w:tc>
      </w:tr>
      <w:tr>
        <w:trPr>
          <w:cantSplit/>
        </w:trPr>
        <w:tc>
          <w:tcPr>
            <w:tcW w:w="7545" w:type="dxa"/>
            <w:tcBorders/>
            <w:vAlign w:val="center"/>
          </w:tcPr>
          <w:p>
            <w:pPr>
              <w:pStyle w:val="TableContents"/>
              <w:widowControl/>
              <w:bidi w:val="0"/>
              <w:spacing w:before="0" w:after="283"/>
              <w:rPr/>
            </w:pPr>
            <w:r>
              <w:rPr/>
              <w:t>und</w:t>
            </w:r>
          </w:p>
        </w:tc>
        <w:tc>
          <w:tcPr>
            <w:tcW w:w="7989" w:type="dxa"/>
            <w:tcBorders/>
            <w:vAlign w:val="center"/>
          </w:tcPr>
          <w:p>
            <w:pPr>
              <w:pStyle w:val="TableContents"/>
              <w:widowControl/>
              <w:bidi w:val="0"/>
              <w:spacing w:before="0" w:after="283"/>
              <w:rPr/>
            </w:pPr>
            <w:r>
              <w:rPr/>
              <w:t xml:space="preserve">and </w:t>
            </w:r>
          </w:p>
        </w:tc>
      </w:tr>
      <w:tr>
        <w:trPr>
          <w:cantSplit/>
        </w:trPr>
        <w:tc>
          <w:tcPr>
            <w:tcW w:w="7545" w:type="dxa"/>
            <w:tcBorders/>
            <w:vAlign w:val="center"/>
          </w:tcPr>
          <w:p>
            <w:pPr>
              <w:pStyle w:val="TableContents"/>
              <w:widowControl/>
              <w:bidi w:val="0"/>
              <w:spacing w:before="0" w:after="283"/>
              <w:rPr/>
            </w:pPr>
            <w:r>
              <w:rPr>
                <w:rStyle w:val="Strong"/>
              </w:rPr>
              <w:t>Frau Dr. Amelie Brandt</w:t>
            </w:r>
            <w:r>
              <w:rPr/>
              <w:t>, geboren am 16.06.1984,</w:t>
            </w:r>
          </w:p>
        </w:tc>
        <w:tc>
          <w:tcPr>
            <w:tcW w:w="7989" w:type="dxa"/>
            <w:tcBorders/>
            <w:vAlign w:val="center"/>
          </w:tcPr>
          <w:p>
            <w:pPr>
              <w:pStyle w:val="TableContents"/>
              <w:widowControl/>
              <w:bidi w:val="0"/>
              <w:spacing w:before="0" w:after="283"/>
              <w:rPr/>
            </w:pPr>
            <w:r>
              <w:rPr>
                <w:rStyle w:val="Strong"/>
              </w:rPr>
              <w:t>Dr Amelie Brandt</w:t>
            </w:r>
            <w:r>
              <w:rPr/>
              <w:t>, born on 16 June 1984,</w:t>
            </w:r>
          </w:p>
        </w:tc>
      </w:tr>
      <w:tr>
        <w:trPr>
          <w:cantSplit/>
        </w:trPr>
        <w:tc>
          <w:tcPr>
            <w:tcW w:w="7545" w:type="dxa"/>
            <w:tcBorders/>
            <w:vAlign w:val="center"/>
          </w:tcPr>
          <w:p>
            <w:pPr>
              <w:pStyle w:val="TableContents"/>
              <w:widowControl/>
              <w:bidi w:val="0"/>
              <w:spacing w:before="0" w:after="283"/>
              <w:rPr/>
            </w:pPr>
            <w:r>
              <w:rPr/>
              <w:t>wohnhaft: Aachener Straße 117, 50674 Köln,</w:t>
            </w:r>
          </w:p>
        </w:tc>
        <w:tc>
          <w:tcPr>
            <w:tcW w:w="7989" w:type="dxa"/>
            <w:tcBorders/>
            <w:vAlign w:val="center"/>
          </w:tcPr>
          <w:p>
            <w:pPr>
              <w:pStyle w:val="TableContents"/>
              <w:widowControl/>
              <w:bidi w:val="0"/>
              <w:spacing w:before="0" w:after="283"/>
              <w:rPr/>
            </w:pPr>
            <w:r>
              <w:rPr/>
              <w:t xml:space="preserve">resident at: Aachener Straße 117, 50674 Köln, </w:t>
            </w:r>
          </w:p>
        </w:tc>
      </w:tr>
      <w:tr>
        <w:trPr>
          <w:cantSplit/>
        </w:trPr>
        <w:tc>
          <w:tcPr>
            <w:tcW w:w="7545" w:type="dxa"/>
            <w:tcBorders/>
            <w:vAlign w:val="center"/>
          </w:tcPr>
          <w:p>
            <w:pPr>
              <w:pStyle w:val="TableContents"/>
              <w:widowControl/>
              <w:bidi w:val="0"/>
              <w:spacing w:before="0" w:after="283"/>
              <w:rPr/>
            </w:pPr>
            <w:r>
              <w:rPr/>
              <w:t>Identität im Beurkundungstermin durch gültigen Personalausweis festzustellen,</w:t>
            </w:r>
          </w:p>
        </w:tc>
        <w:tc>
          <w:tcPr>
            <w:tcW w:w="7989" w:type="dxa"/>
            <w:tcBorders/>
            <w:vAlign w:val="center"/>
          </w:tcPr>
          <w:p>
            <w:pPr>
              <w:pStyle w:val="TableContents"/>
              <w:widowControl/>
              <w:bidi w:val="0"/>
              <w:spacing w:before="0" w:after="283"/>
              <w:rPr/>
            </w:pPr>
            <w:r>
              <w:rPr/>
              <w:t>identity to be verified by a valid identity card at the notarisation appointment,</w:t>
            </w:r>
          </w:p>
        </w:tc>
      </w:tr>
      <w:tr>
        <w:trPr>
          <w:cantSplit/>
        </w:trPr>
        <w:tc>
          <w:tcPr>
            <w:tcW w:w="7545" w:type="dxa"/>
            <w:tcBorders/>
            <w:vAlign w:val="center"/>
          </w:tcPr>
          <w:p>
            <w:pPr>
              <w:pStyle w:val="TableContents"/>
              <w:widowControl/>
              <w:bidi w:val="0"/>
              <w:spacing w:before="0" w:after="283"/>
              <w:rPr/>
            </w:pPr>
            <w:r>
              <w:rPr/>
              <w:t>handelnd im eigenen Namen,</w:t>
            </w:r>
          </w:p>
        </w:tc>
        <w:tc>
          <w:tcPr>
            <w:tcW w:w="7989" w:type="dxa"/>
            <w:tcBorders/>
            <w:vAlign w:val="center"/>
          </w:tcPr>
          <w:p>
            <w:pPr>
              <w:pStyle w:val="TableContents"/>
              <w:widowControl/>
              <w:bidi w:val="0"/>
              <w:spacing w:before="0" w:after="283"/>
              <w:rPr/>
            </w:pPr>
            <w:r>
              <w:rPr/>
              <w:t>acting in her own name,</w:t>
            </w:r>
          </w:p>
        </w:tc>
      </w:tr>
      <w:tr>
        <w:trPr>
          <w:cantSplit/>
        </w:trPr>
        <w:tc>
          <w:tcPr>
            <w:tcW w:w="7545" w:type="dxa"/>
            <w:tcBorders/>
            <w:vAlign w:val="center"/>
          </w:tcPr>
          <w:p>
            <w:pPr>
              <w:pStyle w:val="TableContents"/>
              <w:widowControl/>
              <w:bidi w:val="0"/>
              <w:spacing w:before="0" w:after="283"/>
              <w:rPr/>
            </w:pPr>
            <w:r>
              <w:rPr/>
              <w:t xml:space="preserve">nachfolgend </w:t>
            </w:r>
            <w:r>
              <w:rPr>
                <w:rStyle w:val="Strong"/>
              </w:rPr>
              <w:t>Käuferin</w:t>
            </w:r>
            <w:r>
              <w:rPr/>
              <w:t>.</w:t>
            </w:r>
          </w:p>
        </w:tc>
        <w:tc>
          <w:tcPr>
            <w:tcW w:w="7989" w:type="dxa"/>
            <w:tcBorders/>
            <w:vAlign w:val="center"/>
          </w:tcPr>
          <w:p>
            <w:pPr>
              <w:pStyle w:val="TableContents"/>
              <w:widowControl/>
              <w:bidi w:val="0"/>
              <w:spacing w:before="0" w:after="283"/>
              <w:rPr/>
            </w:pPr>
            <w:r>
              <w:rPr/>
              <w:t xml:space="preserve">hereinafter the </w:t>
            </w:r>
            <w:r>
              <w:rPr>
                <w:rStyle w:val="Strong"/>
              </w:rPr>
              <w:t>Buyer</w:t>
            </w:r>
            <w:r>
              <w:rPr/>
              <w:t>.</w:t>
            </w:r>
          </w:p>
        </w:tc>
      </w:tr>
      <w:tr>
        <w:trPr>
          <w:cantSplit/>
        </w:trPr>
        <w:tc>
          <w:tcPr>
            <w:tcW w:w="7545" w:type="dxa"/>
            <w:tcBorders/>
            <w:vAlign w:val="center"/>
          </w:tcPr>
          <w:p>
            <w:pPr>
              <w:pStyle w:val="TableContents"/>
              <w:widowControl/>
              <w:bidi w:val="0"/>
              <w:spacing w:before="0" w:after="283"/>
              <w:rPr/>
            </w:pPr>
            <w:r>
              <w:rPr/>
              <w:t>Nach Angabe der Käuferin wurde ihr der beabsichtigte Text einschließlich Baubeschreibung, Teilungserklärung, Gemeinschaftsordnung, Freistellungserklärungsmuster, Energie- und Schallschutznachweis sowie Baugrundkurzbericht am 28. August 2026 elektronisch und in Papierform zur Verfügung gestellt. Für den vorgesehenen Termin am 18. September 2026 ergibt dies mehr als zwei Wochen. Die tatsächliche Bereitstellung und Vollständigkeit sind im Hinblick auf § 17 Abs. 2a Satz 2 Nr. 2 BeurkG festzustellen. Die Belehrung über Ratenfälligkeit, Sicherheiten, Abnahme, Mängelrechte, Eigentumsumschreibung und Kosten ist im Beurkundungstermin vorgesehen.</w:t>
            </w:r>
          </w:p>
        </w:tc>
        <w:tc>
          <w:tcPr>
            <w:tcW w:w="7989" w:type="dxa"/>
            <w:tcBorders/>
            <w:vAlign w:val="center"/>
          </w:tcPr>
          <w:p>
            <w:pPr>
              <w:pStyle w:val="TableContents"/>
              <w:widowControl/>
              <w:bidi w:val="0"/>
              <w:spacing w:before="0" w:after="283"/>
              <w:rPr/>
            </w:pPr>
            <w:r>
              <w:rPr/>
              <w:t>According to the Buyer, the proposed text including the Building Specification, Declaration of Division, Community Rules, sample release undertaking, energy and sound-insulation evidence and short ground report was made available electronically and on paper on 28 August 2026. This is more than two weeks before the proposed appointment on 18 September 2026. Actual delivery and completeness must be established with regard to section 17(2a), second sentence, no. 2 BeurkG. Advice on instalment due dates, security, acceptance, defect rights, registration of title and costs is planned for the notarisation appointment.</w:t>
            </w:r>
          </w:p>
        </w:tc>
      </w:tr>
      <w:tr>
        <w:trPr>
          <w:cantSplit/>
        </w:trPr>
        <w:tc>
          <w:tcPr>
            <w:tcW w:w="7545" w:type="dxa"/>
            <w:tcBorders/>
            <w:vAlign w:val="center"/>
          </w:tcPr>
          <w:p>
            <w:pPr>
              <w:pStyle w:val="TableContents"/>
              <w:widowControl/>
              <w:bidi w:val="0"/>
              <w:spacing w:before="0" w:after="283"/>
              <w:rPr/>
            </w:pPr>
            <w:r>
              <w:rPr/>
              <w:t>Zur Beurkundung vorgesehener Vertragstext</w:t>
            </w:r>
          </w:p>
        </w:tc>
        <w:tc>
          <w:tcPr>
            <w:tcW w:w="7989" w:type="dxa"/>
            <w:tcBorders/>
            <w:vAlign w:val="center"/>
          </w:tcPr>
          <w:p>
            <w:pPr>
              <w:pStyle w:val="TableContents"/>
              <w:widowControl/>
              <w:bidi w:val="0"/>
              <w:spacing w:before="0" w:after="283"/>
              <w:rPr/>
            </w:pPr>
            <w:r>
              <w:rPr/>
              <w:t>Contract text proposed for notarisation</w:t>
            </w:r>
          </w:p>
        </w:tc>
      </w:tr>
      <w:tr>
        <w:trPr>
          <w:cantSplit/>
        </w:trPr>
        <w:tc>
          <w:tcPr>
            <w:tcW w:w="7545" w:type="dxa"/>
            <w:tcBorders/>
            <w:vAlign w:val="center"/>
          </w:tcPr>
          <w:p>
            <w:pPr>
              <w:pStyle w:val="Heading1"/>
              <w:keepNext/>
              <w:widowControl/>
              <w:bidi w:val="0"/>
              <w:spacing w:before="240" w:after="283"/>
              <w:ind w:hanging="0" w:start="0" w:end="0"/>
              <w:rPr/>
            </w:pPr>
            <w:bookmarkStart w:id="8" w:name="wohnungsbauträgervertrag-mit-auflassung"/>
            <w:bookmarkEnd w:id="8"/>
            <w:r>
              <w:rPr/>
              <w:t>Wohnungsbauträgervertrag mit Auflassung</w:t>
            </w:r>
          </w:p>
          <w:p>
            <w:pPr>
              <w:pStyle w:val="Heading2"/>
              <w:widowControl/>
              <w:bidi w:val="0"/>
              <w:spacing w:before="200" w:after="120"/>
              <w:ind w:hanging="0" w:start="0" w:end="0"/>
              <w:rPr/>
            </w:pPr>
            <w:bookmarkStart w:id="10" w:name="präambel-projekt-und-vertragsunterlagen"/>
            <w:bookmarkEnd w:id="10"/>
            <w:r>
              <w:rPr/>
              <w:t>0 Präambel, Projekt und Vertragsunterlagen</w:t>
            </w:r>
          </w:p>
        </w:tc>
        <w:tc>
          <w:tcPr>
            <w:tcW w:w="7989" w:type="dxa"/>
            <w:tcBorders/>
            <w:vAlign w:val="center"/>
          </w:tcPr>
          <w:p>
            <w:pPr>
              <w:pStyle w:val="Heading1"/>
              <w:keepNext/>
              <w:widowControl/>
              <w:bidi w:val="0"/>
              <w:spacing w:before="240" w:after="283"/>
              <w:ind w:hanging="0" w:start="0" w:end="0"/>
              <w:rPr/>
            </w:pPr>
            <w:bookmarkStart w:id="9" w:name="residential-property-development-contrac"/>
            <w:bookmarkEnd w:id="9"/>
            <w:r>
              <w:rPr/>
              <w:t xml:space="preserve">Residential Property Development Contract with Conveyance </w:t>
            </w:r>
          </w:p>
          <w:p>
            <w:pPr>
              <w:pStyle w:val="Heading2"/>
              <w:widowControl/>
              <w:bidi w:val="0"/>
              <w:spacing w:before="200" w:after="120"/>
              <w:ind w:hanging="0" w:start="0" w:end="0"/>
              <w:rPr/>
            </w:pPr>
            <w:bookmarkStart w:id="11" w:name="preamble-project-and-contract-documents"/>
            <w:bookmarkEnd w:id="11"/>
            <w:r>
              <w:rPr/>
              <w:t xml:space="preserve">0 Preamble, project and contract documents </w:t>
            </w:r>
          </w:p>
        </w:tc>
      </w:tr>
      <w:tr>
        <w:trPr>
          <w:cantSplit/>
        </w:trPr>
        <w:tc>
          <w:tcPr>
            <w:tcW w:w="7545" w:type="dxa"/>
            <w:tcBorders/>
            <w:vAlign w:val="center"/>
          </w:tcPr>
          <w:p>
            <w:pPr>
              <w:pStyle w:val="TableContents"/>
              <w:widowControl/>
              <w:bidi w:val="0"/>
              <w:spacing w:before="0" w:after="283"/>
              <w:rPr/>
            </w:pPr>
            <w:r>
              <w:rPr/>
              <w:t xml:space="preserve">0.1 Die Verkäuferin errichtet auf dem in § 1 bezeichneten Grundstück das Wohngebäude </w:t>
            </w:r>
            <w:r>
              <w:rPr>
                <w:rStyle w:val="Strong"/>
              </w:rPr>
              <w:t>Lindenhain 12</w:t>
            </w:r>
            <w:r>
              <w:rPr/>
              <w:t xml:space="preserve"> mit zwölf Eigentumswohnungen, Tiefgarage, Fahrradraum, gemeinschaftlichem Innenhof, Retentionsgründach und Photovoltaikanlage. Gegenstand dieses Vertrags ist die Wohnung </w:t>
            </w:r>
            <w:r>
              <w:rPr>
                <w:rStyle w:val="Strong"/>
              </w:rPr>
              <w:t>B-05</w:t>
            </w:r>
            <w:r>
              <w:rPr/>
              <w:t xml:space="preserve"> im zweiten Obergeschoss nebst Kellerraum </w:t>
            </w:r>
            <w:r>
              <w:rPr>
                <w:rStyle w:val="Strong"/>
              </w:rPr>
              <w:t>K-B05</w:t>
            </w:r>
            <w:r>
              <w:rPr/>
              <w:t xml:space="preserve"> und Tiefgaragenstellplatz </w:t>
            </w:r>
            <w:r>
              <w:rPr>
                <w:rStyle w:val="Strong"/>
              </w:rPr>
              <w:t>TG-08</w:t>
            </w:r>
            <w:r>
              <w:rPr/>
              <w:t>.</w:t>
            </w:r>
          </w:p>
        </w:tc>
        <w:tc>
          <w:tcPr>
            <w:tcW w:w="7989" w:type="dxa"/>
            <w:tcBorders/>
            <w:vAlign w:val="center"/>
          </w:tcPr>
          <w:p>
            <w:pPr>
              <w:pStyle w:val="TableContents"/>
              <w:widowControl/>
              <w:bidi w:val="0"/>
              <w:spacing w:before="0" w:after="283"/>
              <w:rPr/>
            </w:pPr>
            <w:r>
              <w:rPr/>
              <w:t xml:space="preserve">0.1 The Seller is constructing the residential building </w:t>
            </w:r>
            <w:r>
              <w:rPr>
                <w:rStyle w:val="Strong"/>
              </w:rPr>
              <w:t>Lindenhain 12</w:t>
            </w:r>
            <w:r>
              <w:rPr/>
              <w:t xml:space="preserve"> on the land specified in section 1, with twelve condominium apartments, an underground garage, a bicycle room, a shared courtyard, a water-retaining green roof and a photovoltaic system. The subject of this contract is apartment </w:t>
            </w:r>
            <w:r>
              <w:rPr>
                <w:rStyle w:val="Strong"/>
              </w:rPr>
              <w:t>B-05</w:t>
            </w:r>
            <w:r>
              <w:rPr/>
              <w:t xml:space="preserve"> on the second floor above ground level, together with basement storage room </w:t>
            </w:r>
            <w:r>
              <w:rPr>
                <w:rStyle w:val="Strong"/>
              </w:rPr>
              <w:t>K-B05</w:t>
            </w:r>
            <w:r>
              <w:rPr/>
              <w:t xml:space="preserve"> and underground parking space </w:t>
            </w:r>
            <w:r>
              <w:rPr>
                <w:rStyle w:val="Strong"/>
              </w:rPr>
              <w:t>TG-08</w:t>
            </w:r>
            <w:r>
              <w:rPr/>
              <w:t>.</w:t>
            </w:r>
          </w:p>
        </w:tc>
      </w:tr>
      <w:tr>
        <w:trPr>
          <w:cantSplit/>
        </w:trPr>
        <w:tc>
          <w:tcPr>
            <w:tcW w:w="7545" w:type="dxa"/>
            <w:tcBorders/>
            <w:vAlign w:val="center"/>
          </w:tcPr>
          <w:p>
            <w:pPr>
              <w:pStyle w:val="TableContents"/>
              <w:widowControl/>
              <w:bidi w:val="0"/>
              <w:spacing w:before="0" w:after="283"/>
              <w:rPr/>
            </w:pPr>
            <w:r>
              <w:rPr/>
              <w:t>0.2 Die Verkäuferin handelt gewerblich. Die Käuferin erwirbt die Wohnung zu privaten Wohnzwecken und ist Verbraucherin. Die Parteien gehen übereinstimmend davon aus, dass dieser Vertrag ein Bauträgervertrag im Sinne des § 650u BGB ist und dass Abschlagszahlungen nur nach Maßgabe des § 650v BGB in Verbindung mit § 3 MaBV verlangt werden.</w:t>
            </w:r>
          </w:p>
        </w:tc>
        <w:tc>
          <w:tcPr>
            <w:tcW w:w="7989" w:type="dxa"/>
            <w:tcBorders/>
            <w:vAlign w:val="center"/>
          </w:tcPr>
          <w:p>
            <w:pPr>
              <w:pStyle w:val="TableContents"/>
              <w:widowControl/>
              <w:bidi w:val="0"/>
              <w:spacing w:before="0" w:after="283"/>
              <w:rPr/>
            </w:pPr>
            <w:r>
              <w:rPr/>
              <w:t>0.2 The Seller acts in the course of its business. The Buyer acquires the apartment for private residential purposes and is a consumer. The parties agree that this is a property development contract within the meaning of section 650u BGB and that instalment payments may be demanded only in accordance with section 650v BGB in conjunction with section 3 MaBV.</w:t>
            </w:r>
          </w:p>
        </w:tc>
      </w:tr>
      <w:tr>
        <w:trPr>
          <w:cantSplit/>
        </w:trPr>
        <w:tc>
          <w:tcPr>
            <w:tcW w:w="7545" w:type="dxa"/>
            <w:tcBorders/>
            <w:vAlign w:val="center"/>
          </w:tcPr>
          <w:p>
            <w:pPr>
              <w:pStyle w:val="TableContents"/>
              <w:widowControl/>
              <w:bidi w:val="0"/>
              <w:spacing w:before="0" w:after="283"/>
              <w:rPr/>
            </w:pPr>
            <w:r>
              <w:rPr/>
              <w:t>0.3 Vertragsbestandteile sind diese Urkunde, die mitbeurkundete Baubeschreibung in der Anlage, die am 10. Juli 2026 beurkundete Teilungserklärung mit Gemeinschaftsordnung, UR-Nr. 611/2026 LF, die Pläne Grundriss B-05, Schnitt A-A, Ansicht Süd und Tiefgarage in der Fassung vom 20. August 2026 sowie die in § 5.2 genannten Nachweise. Bei Widersprüchen geht die individuellere, käufergünstigere und das Bausoll konkreter beschreibende Regelung vor, sofern zwingendes Recht nichts anderes verlangt.</w:t>
            </w:r>
          </w:p>
        </w:tc>
        <w:tc>
          <w:tcPr>
            <w:tcW w:w="7989" w:type="dxa"/>
            <w:tcBorders/>
            <w:vAlign w:val="center"/>
          </w:tcPr>
          <w:p>
            <w:pPr>
              <w:pStyle w:val="TableContents"/>
              <w:widowControl/>
              <w:bidi w:val="0"/>
              <w:spacing w:before="0" w:after="283"/>
              <w:rPr/>
            </w:pPr>
            <w:r>
              <w:rPr/>
              <w:t>0.3 The contract comprises this deed, the annexed Building Specification to be notarised with it, the Declaration of Division with Community Rules notarised on 10 July 2026 under deed no. 611/2026 LF, the plans for floor layout B-05, section A-A, south elevation and underground garage dated 20 August 2026, and the evidence listed in section 5.2. In the event of conflicts, the provision that is more individual, more favourable to the Buyer and more specific about the agreed construction requirements takes precedence, unless mandatory law requires otherwise.</w:t>
            </w:r>
          </w:p>
        </w:tc>
      </w:tr>
      <w:tr>
        <w:trPr>
          <w:cantSplit/>
        </w:trPr>
        <w:tc>
          <w:tcPr>
            <w:tcW w:w="7545" w:type="dxa"/>
            <w:tcBorders/>
            <w:vAlign w:val="center"/>
          </w:tcPr>
          <w:p>
            <w:pPr>
              <w:pStyle w:val="TableContents"/>
              <w:widowControl/>
              <w:bidi w:val="0"/>
              <w:spacing w:before="0" w:after="283"/>
              <w:rPr/>
            </w:pPr>
            <w:r>
              <w:rPr/>
              <w:t>0.4 Die Verkäuferin bestätigt, dass die Baugenehmigung der Stadt Köln vom 14. Juni 2026, Az. 63-2026-1842, bestandskräftig ist, soweit dies für die Durchführung des Vorhabens und den Kaufgegenstand erforderlich ist. Abweichungen von der Genehmigung, die Lage, Größe, Nutzbarkeit, Sicherheit, Energiequalität, Schallschutz oder den Wert des Kaufgegenstands nachteilig berühren können, bedürfen vor Ausführung der schriftlichen Zustimmung der Käuferin, soweit sie deren Sondereigentum betreffen, und der gesetzlich erforderlichen Zustimmung der Gemeinschaft, soweit Gemeinschaftseigentum betroffen ist.</w:t>
            </w:r>
          </w:p>
        </w:tc>
        <w:tc>
          <w:tcPr>
            <w:tcW w:w="7989" w:type="dxa"/>
            <w:tcBorders/>
            <w:vAlign w:val="center"/>
          </w:tcPr>
          <w:p>
            <w:pPr>
              <w:pStyle w:val="TableContents"/>
              <w:widowControl/>
              <w:bidi w:val="0"/>
              <w:spacing w:before="0" w:after="283"/>
              <w:rPr/>
            </w:pPr>
            <w:r>
              <w:rPr/>
              <w:t>0.4 The Seller confirms that the building permit issued by the City of Cologne on 14 June 2026, file reference 63-2026-1842, is final and no longer subject to ordinary challenge insofar as this is necessary for the project and the Purchased Property. Any deviation from the permit that may adversely affect the location, size, usability, safety, energy performance, sound insulation or value of the Purchased Property requires, before execution, the Buyer's written consent insofar as her Unit Property is affected, and the legally required consent of the Community insofar as Common Property is affected.</w:t>
            </w:r>
          </w:p>
        </w:tc>
      </w:tr>
      <w:tr>
        <w:trPr>
          <w:cantSplit/>
        </w:trPr>
        <w:tc>
          <w:tcPr>
            <w:tcW w:w="7545" w:type="dxa"/>
            <w:tcBorders/>
            <w:vAlign w:val="center"/>
          </w:tcPr>
          <w:p>
            <w:pPr>
              <w:pStyle w:val="TableContents"/>
              <w:widowControl/>
              <w:bidi w:val="0"/>
              <w:spacing w:before="0" w:after="283"/>
              <w:rPr/>
            </w:pPr>
            <w:r>
              <w:rPr/>
              <w:t>0.5 Werbeaussagen, Exposés, Visualisierungen und Beratungsgespräche begründen kein selbständiges Bausoll, soweit sie nicht in dieser Urkunde, der Baubeschreibung oder den Plänen konkret übernommen sind. Sie bleiben jedoch bei der Auslegung unklarer oder lückenhafter Beschreibungen als vertragsbegleitende Umstände zu berücksichtigen.</w:t>
            </w:r>
          </w:p>
        </w:tc>
        <w:tc>
          <w:tcPr>
            <w:tcW w:w="7989" w:type="dxa"/>
            <w:tcBorders/>
            <w:vAlign w:val="center"/>
          </w:tcPr>
          <w:p>
            <w:pPr>
              <w:pStyle w:val="TableContents"/>
              <w:widowControl/>
              <w:bidi w:val="0"/>
              <w:spacing w:before="0" w:after="283"/>
              <w:rPr/>
            </w:pPr>
            <w:r>
              <w:rPr/>
              <w:t>0.5 Advertising statements, sales brochures, visualisations and consultations do not establish independent construction obligations unless specifically incorporated into this deed, the Building Specification or the plans. However, they must still be considered as surrounding contractual circumstances when interpreting unclear or incomplete descriptions.</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545" w:type="dxa"/>
            <w:tcBorders/>
            <w:vAlign w:val="center"/>
          </w:tcPr>
          <w:p>
            <w:pPr>
              <w:pStyle w:val="Heading2"/>
              <w:keepNext/>
              <w:widowControl/>
              <w:bidi w:val="0"/>
              <w:spacing w:before="200" w:after="120"/>
              <w:ind w:hanging="0" w:start="0" w:end="0"/>
              <w:rPr/>
            </w:pPr>
            <w:bookmarkStart w:id="12" w:name="grundbuch-kaufgegenstand"/>
            <w:bookmarkEnd w:id="12"/>
            <w:r>
              <w:rPr/>
              <w:t>1 Grundbuch, Kaufgegenstand</w:t>
            </w:r>
          </w:p>
          <w:p>
            <w:pPr>
              <w:pStyle w:val="TableContents"/>
              <w:widowControl/>
              <w:bidi w:val="0"/>
              <w:spacing w:before="0" w:after="283"/>
              <w:rPr/>
            </w:pPr>
            <w:r>
              <w:rPr/>
              <w:t>1.1 Die Verkäuferin ist als Eigentümerin des Grundstücks Gemarkung Ehrenfeld, Flur 77, Flurstück 3124, Gebäude- und Freifläche Lindenhainstraße 12, 50825 Köln, eingetragen im Grundbuch von Ehrenfeld des Amtsgerichts Köln, Blatt 18422.</w:t>
            </w:r>
          </w:p>
        </w:tc>
        <w:tc>
          <w:tcPr>
            <w:tcW w:w="7989" w:type="dxa"/>
            <w:tcBorders/>
            <w:vAlign w:val="center"/>
          </w:tcPr>
          <w:p>
            <w:pPr>
              <w:pStyle w:val="Heading2"/>
              <w:keepNext/>
              <w:widowControl/>
              <w:bidi w:val="0"/>
              <w:spacing w:before="200" w:after="120"/>
              <w:ind w:hanging="0" w:start="0" w:end="0"/>
              <w:rPr/>
            </w:pPr>
            <w:bookmarkStart w:id="13" w:name="land-register-purchased-property"/>
            <w:bookmarkEnd w:id="13"/>
            <w:r>
              <w:rPr/>
              <w:t xml:space="preserve">1 Land register, Purchased Property </w:t>
            </w:r>
          </w:p>
          <w:p>
            <w:pPr>
              <w:pStyle w:val="TableContents"/>
              <w:widowControl/>
              <w:bidi w:val="0"/>
              <w:spacing w:before="0" w:after="283"/>
              <w:rPr/>
            </w:pPr>
            <w:r>
              <w:rPr/>
              <w:t>1.1 The Seller is registered as owner of the land in the Ehrenfeld cadastral district, cadastral section 77, parcel 3124, building and open land at Lindenhainstraße 12, 50825 Cologne, in the Ehrenfeld Land Register maintained by Cologne Local Court, folio 18422.</w:t>
            </w:r>
          </w:p>
        </w:tc>
      </w:tr>
      <w:tr>
        <w:trPr>
          <w:cantSplit/>
        </w:trPr>
        <w:tc>
          <w:tcPr>
            <w:tcW w:w="7545" w:type="dxa"/>
            <w:tcBorders/>
            <w:vAlign w:val="center"/>
          </w:tcPr>
          <w:p>
            <w:pPr>
              <w:pStyle w:val="TableContents"/>
              <w:widowControl/>
              <w:bidi w:val="0"/>
              <w:spacing w:before="0" w:after="283"/>
              <w:rPr/>
            </w:pPr>
            <w:r>
              <w:rPr/>
              <w:t>1.2 Das Grundstück ist in Abteilung II lastenfrei mit Ausnahme von Dienstbarkeiten für Leitungen, Wege und Energieversorgung, die in der Teilungserklärung bezeichnet sind und den gewöhnlichen Wohngebrauch nicht beeinträchtigen. In Abteilung III ist eine Globalgrundschuld zugunsten der Rheinischen Bau- und Wohnbank AG eingetragen. Die Verkäuferin verpflichtet sich, die Lastenfreistellung des Kaufgegenstands nach Maßgabe des § 10 herbeizuführen.</w:t>
            </w:r>
          </w:p>
        </w:tc>
        <w:tc>
          <w:tcPr>
            <w:tcW w:w="7989" w:type="dxa"/>
            <w:tcBorders/>
            <w:vAlign w:val="center"/>
          </w:tcPr>
          <w:p>
            <w:pPr>
              <w:pStyle w:val="TableContents"/>
              <w:widowControl/>
              <w:bidi w:val="0"/>
              <w:spacing w:before="0" w:after="283"/>
              <w:rPr/>
            </w:pPr>
            <w:r>
              <w:rPr/>
              <w:t xml:space="preserve">1.2. The property is free from encumbrances in Division II, with the exception of easements for lines, paths and energy supply, which are specified in the declaration of division and do not affect ordinary residential use. Division III registers a global land charge for Rheinische Bau- und Wohnbank AG. The Seller undertakes to bring about the release from encumbrances of the Purchased Property in accordance with § 10. </w:t>
            </w:r>
          </w:p>
        </w:tc>
      </w:tr>
      <w:tr>
        <w:trPr>
          <w:cantSplit/>
        </w:trPr>
        <w:tc>
          <w:tcPr>
            <w:tcW w:w="7545" w:type="dxa"/>
            <w:tcBorders/>
            <w:vAlign w:val="center"/>
          </w:tcPr>
          <w:p>
            <w:pPr>
              <w:pStyle w:val="TableContents"/>
              <w:widowControl/>
              <w:bidi w:val="0"/>
              <w:spacing w:before="0" w:after="283"/>
              <w:rPr/>
            </w:pPr>
            <w:r>
              <w:rPr/>
              <w:t>1.3 Verkauft wird das noch zu bildende Wohnungseigentum an der Wohnung B-05 mit einem Miteigentumsanteil von 81/1.000, verbunden mit dem Sondereigentum an den in den Plänen blau umrandeten Räumen, dem Kellerraum K-B05 und dem Sondernutzungsrecht an dem Tiefgaragenstellplatz TG-08. Mitverkauft werden die dem Kaufgegenstand nach Teilungserklärung zugeordneten Mitbenutzungsrechte an Fahrradraum, Kinderwagenraum, Müllraum, Innenhof, Paketstation und Dachterrasse der Gemeinschaft.</w:t>
            </w:r>
          </w:p>
        </w:tc>
        <w:tc>
          <w:tcPr>
            <w:tcW w:w="7989" w:type="dxa"/>
            <w:tcBorders/>
            <w:vAlign w:val="center"/>
          </w:tcPr>
          <w:p>
            <w:pPr>
              <w:pStyle w:val="TableContents"/>
              <w:widowControl/>
              <w:bidi w:val="0"/>
              <w:spacing w:before="0" w:after="283"/>
              <w:rPr/>
            </w:pPr>
            <w:r>
              <w:rPr/>
              <w:t>1.3 The sale concerns the condominium ownership yet to be established for apartment B-05, consisting of a co-ownership share of 81/1,000 combined with separate ownership of the rooms outlined in blue in the plans, basement storage room K-B05 and an exclusive right to use underground parking space TG-08. Also included are the shared rights to use the Community's bicycle room, pram room, refuse room, courtyard, parcel station and roof terrace assigned to the Purchased Property under the Declaration of Division.</w:t>
            </w:r>
          </w:p>
        </w:tc>
      </w:tr>
      <w:tr>
        <w:trPr>
          <w:cantSplit/>
        </w:trPr>
        <w:tc>
          <w:tcPr>
            <w:tcW w:w="7545" w:type="dxa"/>
            <w:tcBorders/>
            <w:vAlign w:val="center"/>
          </w:tcPr>
          <w:p>
            <w:pPr>
              <w:pStyle w:val="TableContents"/>
              <w:widowControl/>
              <w:bidi w:val="0"/>
              <w:spacing w:before="0" w:after="283"/>
              <w:rPr/>
            </w:pPr>
            <w:r>
              <w:rPr/>
              <w:t>1.4 Die Verkäuferin schuldet die Herstellung des Kaufgegenstands und des für die Nutzung erforderlichen Gemeinschaftseigentums nach dieser Urkunde, der Baubeschreibung, den Plänen, der Baugenehmigung und den anerkannten Regeln der Technik zum Zeitpunkt der Abnahme. DIN-Normen sind technische Orientierung, ersetzen aber nicht den geschuldeten Mindeststandard der anerkannten Regeln der Technik.</w:t>
            </w:r>
          </w:p>
        </w:tc>
        <w:tc>
          <w:tcPr>
            <w:tcW w:w="7989" w:type="dxa"/>
            <w:tcBorders/>
            <w:vAlign w:val="center"/>
          </w:tcPr>
          <w:p>
            <w:pPr>
              <w:pStyle w:val="TableContents"/>
              <w:widowControl/>
              <w:bidi w:val="0"/>
              <w:spacing w:before="0" w:after="283"/>
              <w:rPr/>
            </w:pPr>
            <w:r>
              <w:rPr/>
              <w:t>1.4 The Seller must construct the Purchased Property and the Common Property required for its use in accordance with this deed, the Building Specification, the plans, the building permit and the generally accepted rules of technology applicable at acceptance. DIN standards provide technical guidance but do not replace the minimum standard owed under the generally accepted rules of technology.</w:t>
            </w:r>
          </w:p>
        </w:tc>
      </w:tr>
      <w:tr>
        <w:trPr>
          <w:cantSplit/>
        </w:trPr>
        <w:tc>
          <w:tcPr>
            <w:tcW w:w="7545" w:type="dxa"/>
            <w:tcBorders/>
            <w:vAlign w:val="center"/>
          </w:tcPr>
          <w:p>
            <w:pPr>
              <w:pStyle w:val="Heading2"/>
              <w:keepNext/>
              <w:widowControl/>
              <w:bidi w:val="0"/>
              <w:spacing w:before="200" w:after="120"/>
              <w:ind w:hanging="0" w:start="0" w:end="0"/>
              <w:rPr/>
            </w:pPr>
            <w:bookmarkStart w:id="14" w:name="kaufpreis-festpreis-kosten"/>
            <w:bookmarkEnd w:id="14"/>
            <w:r>
              <w:rPr/>
              <w:t>2 Kaufpreis, Festpreis, Kosten</w:t>
            </w:r>
          </w:p>
          <w:p>
            <w:pPr>
              <w:pStyle w:val="TableContents"/>
              <w:widowControl/>
              <w:bidi w:val="0"/>
              <w:spacing w:before="0" w:after="283"/>
              <w:rPr/>
            </w:pPr>
            <w:r>
              <w:rPr/>
              <w:t>2.1 Der Kaufpreis beträgt insgesamt</w:t>
            </w:r>
          </w:p>
        </w:tc>
        <w:tc>
          <w:tcPr>
            <w:tcW w:w="7989" w:type="dxa"/>
            <w:tcBorders/>
            <w:vAlign w:val="center"/>
          </w:tcPr>
          <w:p>
            <w:pPr>
              <w:pStyle w:val="Heading2"/>
              <w:keepNext/>
              <w:widowControl/>
              <w:bidi w:val="0"/>
              <w:spacing w:before="200" w:after="120"/>
              <w:ind w:hanging="0" w:start="0" w:end="0"/>
              <w:rPr/>
            </w:pPr>
            <w:bookmarkStart w:id="15" w:name="purchase-price-fixed-price-costs"/>
            <w:bookmarkEnd w:id="15"/>
            <w:r>
              <w:rPr/>
              <w:t xml:space="preserve">2 Purchase price, fixed price, costs </w:t>
            </w:r>
          </w:p>
          <w:p>
            <w:pPr>
              <w:pStyle w:val="TableContents"/>
              <w:widowControl/>
              <w:bidi w:val="0"/>
              <w:spacing w:before="0" w:after="283"/>
              <w:rPr/>
            </w:pPr>
            <w:r>
              <w:rPr/>
              <w:t>2.1 The total Purchase Price is</w:t>
            </w:r>
          </w:p>
        </w:tc>
      </w:tr>
      <w:tr>
        <w:trPr>
          <w:cantSplit/>
        </w:trPr>
        <w:tc>
          <w:tcPr>
            <w:tcW w:w="7545" w:type="dxa"/>
            <w:tcBorders/>
            <w:vAlign w:val="center"/>
          </w:tcPr>
          <w:p>
            <w:pPr>
              <w:pStyle w:val="TableContents"/>
              <w:widowControl/>
              <w:bidi w:val="0"/>
              <w:spacing w:before="0" w:after="283"/>
              <w:rPr/>
            </w:pPr>
            <w:r>
              <w:rPr>
                <w:rStyle w:val="Strong"/>
              </w:rPr>
              <w:t>742.000,00 EUR</w:t>
            </w:r>
          </w:p>
        </w:tc>
        <w:tc>
          <w:tcPr>
            <w:tcW w:w="7989" w:type="dxa"/>
            <w:tcBorders/>
            <w:vAlign w:val="center"/>
          </w:tcPr>
          <w:p>
            <w:pPr>
              <w:pStyle w:val="TableContents"/>
              <w:widowControl/>
              <w:bidi w:val="0"/>
              <w:spacing w:before="0" w:after="283"/>
              <w:rPr/>
            </w:pPr>
            <w:r>
              <w:rPr>
                <w:rStyle w:val="Strong"/>
              </w:rPr>
              <w:t>742.000,00 EUR</w:t>
            </w:r>
            <w:r>
              <w:rPr/>
              <w:t xml:space="preserve"> </w:t>
            </w:r>
          </w:p>
        </w:tc>
      </w:tr>
      <w:tr>
        <w:trPr>
          <w:cantSplit/>
        </w:trPr>
        <w:tc>
          <w:tcPr>
            <w:tcW w:w="7545" w:type="dxa"/>
            <w:tcBorders/>
            <w:vAlign w:val="center"/>
          </w:tcPr>
          <w:p>
            <w:pPr>
              <w:pStyle w:val="TableContents"/>
              <w:widowControl/>
              <w:bidi w:val="0"/>
              <w:spacing w:before="0" w:after="283"/>
              <w:rPr/>
            </w:pPr>
            <w:r>
              <w:rPr/>
              <w:t>in Worten: siebenhundertzweiundvierzigtausend Euro.</w:t>
            </w:r>
          </w:p>
        </w:tc>
        <w:tc>
          <w:tcPr>
            <w:tcW w:w="7989" w:type="dxa"/>
            <w:tcBorders/>
            <w:vAlign w:val="center"/>
          </w:tcPr>
          <w:p>
            <w:pPr>
              <w:pStyle w:val="TableContents"/>
              <w:widowControl/>
              <w:bidi w:val="0"/>
              <w:spacing w:before="0" w:after="283"/>
              <w:rPr/>
            </w:pPr>
            <w:r>
              <w:rPr/>
              <w:t xml:space="preserve">in words: seven hundred forty-two thousand euros. </w:t>
            </w:r>
          </w:p>
        </w:tc>
      </w:tr>
      <w:tr>
        <w:trPr>
          <w:cantSplit/>
        </w:trPr>
        <w:tc>
          <w:tcPr>
            <w:tcW w:w="7545" w:type="dxa"/>
            <w:tcBorders/>
            <w:vAlign w:val="center"/>
          </w:tcPr>
          <w:p>
            <w:pPr>
              <w:pStyle w:val="TableContents"/>
              <w:widowControl/>
              <w:bidi w:val="0"/>
              <w:spacing w:before="0" w:after="283"/>
              <w:rPr/>
            </w:pPr>
            <w:r>
              <w:rPr/>
              <w:t>Er entfällt einheitlich auf Grundstücksanteil, Wohnung, Kellerraum, Tiefgaragenstellplatz, mitverkaufte Rechte, Bauleistung, Planungsleistung, Koordinierung, Erschließung, Außenanlagen, Unterlagen nach § 5.2 und die in der Baubeschreibung enthaltene Ausstattung.</w:t>
            </w:r>
          </w:p>
        </w:tc>
        <w:tc>
          <w:tcPr>
            <w:tcW w:w="7989" w:type="dxa"/>
            <w:tcBorders/>
            <w:vAlign w:val="center"/>
          </w:tcPr>
          <w:p>
            <w:pPr>
              <w:pStyle w:val="TableContents"/>
              <w:widowControl/>
              <w:bidi w:val="0"/>
              <w:spacing w:before="0" w:after="283"/>
              <w:rPr/>
            </w:pPr>
            <w:r>
              <w:rPr/>
              <w:t>It covers, as a single price, the share in the land, apartment, basement storage room, underground parking space, included rights, construction, planning, coordination, site development and utility connections, external works, the documents under section 5.2 and the fixtures and finishes specified in the Building Specification.</w:t>
            </w:r>
          </w:p>
        </w:tc>
      </w:tr>
      <w:tr>
        <w:trPr>
          <w:cantSplit/>
        </w:trPr>
        <w:tc>
          <w:tcPr>
            <w:tcW w:w="7545" w:type="dxa"/>
            <w:tcBorders/>
            <w:vAlign w:val="center"/>
          </w:tcPr>
          <w:p>
            <w:pPr>
              <w:pStyle w:val="TableContents"/>
              <w:widowControl/>
              <w:bidi w:val="0"/>
              <w:spacing w:before="0" w:after="283"/>
              <w:rPr/>
            </w:pPr>
            <w:r>
              <w:rPr/>
              <w:t>2.2 Der Kaufpreis ist ein Festpreis. Er umfasst sämtliche Leistungen, die zur schlüsselfertigen, mangelfreien und genehmigungskonformen Herstellung des Kaufgegenstands und des funktional erforderlichen Gemeinschaftseigentums notwendig sind, einschließlich Erschließung, Hausanschlüsse, Prüf- und Nachweisunterlagen, Außenanlagen, Fahrradabstellplätze, Müllstandort, Beleuchtung der Zugänge, gemeinschaftlicher Brief- und Paketstation sowie betriebsbereiter technischer Anlagen.</w:t>
            </w:r>
          </w:p>
        </w:tc>
        <w:tc>
          <w:tcPr>
            <w:tcW w:w="7989" w:type="dxa"/>
            <w:tcBorders/>
            <w:vAlign w:val="center"/>
          </w:tcPr>
          <w:p>
            <w:pPr>
              <w:pStyle w:val="TableContents"/>
              <w:widowControl/>
              <w:bidi w:val="0"/>
              <w:spacing w:before="0" w:after="283"/>
              <w:rPr/>
            </w:pPr>
            <w:r>
              <w:rPr/>
              <w:t>2.2 The Purchase Price is fixed. It includes all work necessary to deliver the Purchased Property and the functionally required Common Property on a turnkey, defect-free basis in compliance with the permit, including site development, utility connections, inspection and compliance documents, external works, bicycle parking, refuse storage, access lighting, the shared mail and parcel station and operational building systems.</w:t>
            </w:r>
          </w:p>
        </w:tc>
      </w:tr>
      <w:tr>
        <w:trPr>
          <w:cantSplit/>
        </w:trPr>
        <w:tc>
          <w:tcPr>
            <w:tcW w:w="7545" w:type="dxa"/>
            <w:tcBorders/>
            <w:vAlign w:val="center"/>
          </w:tcPr>
          <w:p>
            <w:pPr>
              <w:pStyle w:val="TableContents"/>
              <w:widowControl/>
              <w:bidi w:val="0"/>
              <w:spacing w:before="0" w:after="283"/>
              <w:rPr/>
            </w:pPr>
            <w:r>
              <w:rPr/>
              <w:t>2.3 Nicht enthalten sind Grunderwerbsteuer, Notar- und Grundbuchkosten dieses Vertrags, Kosten der Finanzierung der Käuferin sowie Sonderwünsche, die nach Beurkundung auf ausdrücklichen Wunsch der Käuferin beauftragt werden. Kosten, die durch Mängelbeseitigung, Nacherfüllung, fehlende Unterlagen, verspätete Lastenfreistellung oder unrichtige Bautenstandsmitteilungen entstehen, trägt die Verkäuferin.</w:t>
            </w:r>
          </w:p>
        </w:tc>
        <w:tc>
          <w:tcPr>
            <w:tcW w:w="7989" w:type="dxa"/>
            <w:tcBorders/>
            <w:vAlign w:val="center"/>
          </w:tcPr>
          <w:p>
            <w:pPr>
              <w:pStyle w:val="TableContents"/>
              <w:widowControl/>
              <w:bidi w:val="0"/>
              <w:spacing w:before="0" w:after="283"/>
              <w:rPr/>
            </w:pPr>
            <w:r>
              <w:rPr/>
              <w:t>2.3 The price excludes real estate transfer tax, notarial and Land Register costs of this contract, the Buyer's financing costs and buyer-requested variations commissioned at her express request after notarisation. The Seller bears costs arising from defect rectification, remedial performance, missing documents, delayed release from encumbrances or incorrect construction progress notices.</w:t>
            </w:r>
          </w:p>
        </w:tc>
      </w:tr>
      <w:tr>
        <w:trPr>
          <w:cantSplit/>
        </w:trPr>
        <w:tc>
          <w:tcPr>
            <w:tcW w:w="7545" w:type="dxa"/>
            <w:tcBorders/>
            <w:vAlign w:val="center"/>
          </w:tcPr>
          <w:p>
            <w:pPr>
              <w:pStyle w:val="TableContents"/>
              <w:widowControl/>
              <w:bidi w:val="0"/>
              <w:spacing w:before="0" w:after="283"/>
              <w:rPr/>
            </w:pPr>
            <w:r>
              <w:rPr/>
              <w:t>2.4 Eine Preisanpassung wegen allgemeiner Baukostensteigerung, Materialpreisänderung, Lieferantenwechsel, Personalknappheit, Kalkulationsfehler oder Änderung interner Projektorganisation ist ausgeschlossen. Mehrkosten können nur verlangt werden, wenn die Käuferin nach Beurkundung einen Sonderwunsch beauftragt oder einer konkret beschriebenen, rechtlich zulässigen Leistungsänderung ausdrücklich zustimmt.</w:t>
            </w:r>
          </w:p>
        </w:tc>
        <w:tc>
          <w:tcPr>
            <w:tcW w:w="7989" w:type="dxa"/>
            <w:tcBorders/>
            <w:vAlign w:val="center"/>
          </w:tcPr>
          <w:p>
            <w:pPr>
              <w:pStyle w:val="TableContents"/>
              <w:widowControl/>
              <w:bidi w:val="0"/>
              <w:spacing w:before="0" w:after="283"/>
              <w:rPr/>
            </w:pPr>
            <w:r>
              <w:rPr/>
              <w:t>2.4 Price adjustments for general construction cost increases, changes in material prices, supplier changes, staff shortages, calculation errors or changes to internal project organisation are excluded. Additional costs may be demanded only if, after notarisation, the Buyer commissions a variation or expressly agrees to a specifically described and legally permissible change to the work.</w:t>
            </w:r>
          </w:p>
        </w:tc>
      </w:tr>
      <w:tr>
        <w:trPr>
          <w:cantSplit/>
        </w:trPr>
        <w:tc>
          <w:tcPr>
            <w:tcW w:w="7545" w:type="dxa"/>
            <w:tcBorders/>
            <w:vAlign w:val="center"/>
          </w:tcPr>
          <w:p>
            <w:pPr>
              <w:pStyle w:val="Heading2"/>
              <w:keepNext/>
              <w:widowControl/>
              <w:bidi w:val="0"/>
              <w:spacing w:before="200" w:after="120"/>
              <w:ind w:hanging="0" w:start="0" w:end="0"/>
              <w:rPr/>
            </w:pPr>
            <w:bookmarkStart w:id="16" w:name="fälligkeit-ratenplan-sicherheit"/>
            <w:bookmarkEnd w:id="16"/>
            <w:r>
              <w:rPr/>
              <w:t>3 Fälligkeit, Ratenplan, Sicherheit</w:t>
            </w:r>
          </w:p>
          <w:p>
            <w:pPr>
              <w:pStyle w:val="TableContents"/>
              <w:widowControl/>
              <w:bidi w:val="0"/>
              <w:spacing w:before="0" w:after="283"/>
              <w:rPr/>
            </w:pPr>
            <w:r>
              <w:rPr/>
              <w:t>3.1 Kaufpreisraten werden erst fällig, wenn sämtliche allgemeinen Fälligkeitsvoraussetzungen des § 3 Abs. 1 MaBV vorliegen und die Notarin dies der Käuferin schriftlich bestätigt hat:</w:t>
            </w:r>
          </w:p>
        </w:tc>
        <w:tc>
          <w:tcPr>
            <w:tcW w:w="7989" w:type="dxa"/>
            <w:tcBorders/>
            <w:vAlign w:val="center"/>
          </w:tcPr>
          <w:p>
            <w:pPr>
              <w:pStyle w:val="Heading2"/>
              <w:keepNext/>
              <w:widowControl/>
              <w:bidi w:val="0"/>
              <w:spacing w:before="200" w:after="120"/>
              <w:ind w:hanging="0" w:start="0" w:end="0"/>
              <w:rPr/>
            </w:pPr>
            <w:bookmarkStart w:id="17" w:name="maturity-installment-plan-security"/>
            <w:bookmarkEnd w:id="17"/>
            <w:r>
              <w:rPr/>
              <w:t>3 Payment Conditions, Instalment Plan and Security</w:t>
            </w:r>
          </w:p>
          <w:p>
            <w:pPr>
              <w:pStyle w:val="TableContents"/>
              <w:widowControl/>
              <w:bidi w:val="0"/>
              <w:spacing w:before="0" w:after="283"/>
              <w:rPr/>
            </w:pPr>
            <w:r>
              <w:rPr/>
              <w:t>3.1 Purchase Price instalments shall not become due until all general conditions set out in section 3(1) MaBV have been satisfied and the Notary has confirmed this to the Buyer in writing:</w:t>
            </w:r>
          </w:p>
        </w:tc>
      </w:tr>
      <w:tr>
        <w:trPr>
          <w:cantSplit/>
        </w:trPr>
        <w:tc>
          <w:tcPr>
            <w:tcW w:w="7545" w:type="dxa"/>
            <w:tcBorders/>
            <w:vAlign w:val="center"/>
          </w:tcPr>
          <w:p>
            <w:pPr>
              <w:pStyle w:val="TableContents"/>
              <w:widowControl/>
              <w:numPr>
                <w:ilvl w:val="0"/>
                <w:numId w:val="2"/>
              </w:numPr>
              <w:tabs>
                <w:tab w:val="clear" w:pos="1134"/>
                <w:tab w:val="left" w:pos="709" w:leader="none"/>
              </w:tabs>
              <w:bidi w:val="0"/>
              <w:spacing w:before="0" w:after="0"/>
              <w:ind w:hanging="283" w:start="709"/>
              <w:rPr/>
            </w:pPr>
            <w:r>
              <w:rPr/>
              <w:t xml:space="preserve">wirksamer Vertrag, Vorliegen der für seinen Vollzug erforderlichen Genehmigungen und keine vertraglichen Rücktrittsrechte der Verkäuferin; </w:t>
            </w:r>
          </w:p>
          <w:p>
            <w:pPr>
              <w:pStyle w:val="TableContents"/>
              <w:widowControl/>
              <w:numPr>
                <w:ilvl w:val="0"/>
                <w:numId w:val="2"/>
              </w:numPr>
              <w:tabs>
                <w:tab w:val="clear" w:pos="1134"/>
                <w:tab w:val="left" w:pos="709" w:leader="none"/>
              </w:tabs>
              <w:bidi w:val="0"/>
              <w:spacing w:before="0" w:after="0"/>
              <w:ind w:hanging="283" w:start="709"/>
              <w:rPr/>
            </w:pPr>
            <w:r>
              <w:rPr/>
              <w:t xml:space="preserve">Eintragung einer Auflassungsvormerkung zugunsten der Käuferin an vereinbarter Rangstelle sowie Vollzug der Begründung des Wohnungseigentums; </w:t>
            </w:r>
          </w:p>
          <w:p>
            <w:pPr>
              <w:pStyle w:val="TableContents"/>
              <w:widowControl/>
              <w:numPr>
                <w:ilvl w:val="0"/>
                <w:numId w:val="2"/>
              </w:numPr>
              <w:tabs>
                <w:tab w:val="clear" w:pos="1134"/>
                <w:tab w:val="left" w:pos="709" w:leader="none"/>
              </w:tabs>
              <w:bidi w:val="0"/>
              <w:spacing w:before="0" w:after="0"/>
              <w:ind w:hanging="283" w:start="709"/>
              <w:rPr/>
            </w:pPr>
            <w:r>
              <w:rPr/>
              <w:t xml:space="preserve">gesicherte Freistellung von nicht zu übernehmenden vorrangigen oder gleichrangigen Grundpfandrechten auch bei nicht vollendetem Bauvorhaben und Aushändigung der hierfür erforderlichen Erklärungen an die Käuferin; </w:t>
            </w:r>
          </w:p>
          <w:p>
            <w:pPr>
              <w:pStyle w:val="TableContents"/>
              <w:widowControl/>
              <w:numPr>
                <w:ilvl w:val="0"/>
                <w:numId w:val="2"/>
              </w:numPr>
              <w:tabs>
                <w:tab w:val="clear" w:pos="1134"/>
                <w:tab w:val="left" w:pos="709" w:leader="none"/>
              </w:tabs>
              <w:bidi w:val="0"/>
              <w:spacing w:before="0" w:after="283"/>
              <w:ind w:hanging="283" w:start="709"/>
              <w:rPr/>
            </w:pPr>
            <w:r>
              <w:rPr/>
              <w:t xml:space="preserve">erteilte Baugenehmigung oder ein anderer Nachweis nach § 3 Abs. 1 Satz 1 Nr. 4 MaBV einschließlich der dort gegebenenfalls vorgeschriebenen Monatsfrist. </w:t>
            </w:r>
          </w:p>
        </w:tc>
        <w:tc>
          <w:tcPr>
            <w:tcW w:w="7989" w:type="dxa"/>
            <w:tcBorders/>
            <w:vAlign w:val="center"/>
          </w:tcPr>
          <w:p>
            <w:pPr>
              <w:pStyle w:val="TableContents"/>
              <w:widowControl/>
              <w:numPr>
                <w:ilvl w:val="0"/>
                <w:numId w:val="3"/>
              </w:numPr>
              <w:tabs>
                <w:tab w:val="clear" w:pos="1134"/>
                <w:tab w:val="left" w:pos="709" w:leader="none"/>
              </w:tabs>
              <w:bidi w:val="0"/>
              <w:spacing w:before="0" w:after="0"/>
              <w:ind w:hanging="283" w:start="709"/>
              <w:rPr/>
            </w:pPr>
            <w:r>
              <w:rPr/>
              <w:t xml:space="preserve">a valid contract, all approvals required for its implementation and no remaining contractual right of the Seller to rescind; </w:t>
            </w:r>
          </w:p>
          <w:p>
            <w:pPr>
              <w:pStyle w:val="TableContents"/>
              <w:widowControl/>
              <w:numPr>
                <w:ilvl w:val="0"/>
                <w:numId w:val="3"/>
              </w:numPr>
              <w:tabs>
                <w:tab w:val="clear" w:pos="1134"/>
                <w:tab w:val="left" w:pos="709" w:leader="none"/>
              </w:tabs>
              <w:bidi w:val="0"/>
              <w:spacing w:before="0" w:after="0"/>
              <w:ind w:hanging="283" w:start="709"/>
              <w:rPr/>
            </w:pPr>
            <w:r>
              <w:rPr/>
              <w:t xml:space="preserve">registration of a priority notice of conveyance in favour of the Buyer at the agreed rank and completion of the creation of the condominium ownership; </w:t>
            </w:r>
          </w:p>
          <w:p>
            <w:pPr>
              <w:pStyle w:val="TableContents"/>
              <w:widowControl/>
              <w:numPr>
                <w:ilvl w:val="0"/>
                <w:numId w:val="3"/>
              </w:numPr>
              <w:tabs>
                <w:tab w:val="clear" w:pos="1134"/>
                <w:tab w:val="left" w:pos="709" w:leader="none"/>
              </w:tabs>
              <w:bidi w:val="0"/>
              <w:spacing w:before="0" w:after="0"/>
              <w:ind w:hanging="283" w:start="709"/>
              <w:rPr/>
            </w:pPr>
            <w:r>
              <w:rPr/>
              <w:t xml:space="preserve">secured release of prior-ranking or equal-ranking land charges that the Buyer is not to assume, including if the development is not completed, and delivery to the Buyer of the declarations required for that purpose; </w:t>
            </w:r>
          </w:p>
          <w:p>
            <w:pPr>
              <w:pStyle w:val="TableContents"/>
              <w:widowControl/>
              <w:numPr>
                <w:ilvl w:val="0"/>
                <w:numId w:val="3"/>
              </w:numPr>
              <w:tabs>
                <w:tab w:val="clear" w:pos="1134"/>
                <w:tab w:val="left" w:pos="709" w:leader="none"/>
              </w:tabs>
              <w:bidi w:val="0"/>
              <w:spacing w:before="0" w:after="283"/>
              <w:ind w:hanging="283" w:start="709"/>
              <w:rPr/>
            </w:pPr>
            <w:r>
              <w:rPr/>
              <w:t xml:space="preserve">the building permit or other evidence required by section 3(1), first sentence, no. 4 MaBV, including any one-month waiting period prescribed there. </w:t>
            </w:r>
          </w:p>
        </w:tc>
      </w:tr>
      <w:tr>
        <w:trPr>
          <w:cantSplit/>
        </w:trPr>
        <w:tc>
          <w:tcPr>
            <w:tcW w:w="7545" w:type="dxa"/>
            <w:tcBorders/>
            <w:vAlign w:val="center"/>
          </w:tcPr>
          <w:p>
            <w:pPr>
              <w:pStyle w:val="TableContents"/>
              <w:widowControl/>
              <w:bidi w:val="0"/>
              <w:spacing w:before="0" w:after="283"/>
              <w:rPr/>
            </w:pPr>
            <w:r>
              <w:rPr/>
              <w:t>3.2 Die Verkäuferin stellt der Käuferin spätestens mit der ersten Rate eine Sicherheit in Höhe von 5 % des Kaufpreises nach § 650m Abs. 2 BGB. Die Käuferin darf diesen Betrag von der ersten fälligen Rate einbehalten, bis die Verkäuferin eine unbefristete, selbstschuldnerische Bürgschaft eines im Inland zugelassenen Kreditinstituts oder Kreditversicherers übergeben hat. Das Einbehaltsrecht besteht automatisch; es bedarf keiner gesonderten Ausübungserklärung.</w:t>
            </w:r>
          </w:p>
        </w:tc>
        <w:tc>
          <w:tcPr>
            <w:tcW w:w="7989" w:type="dxa"/>
            <w:tcBorders/>
            <w:vAlign w:val="center"/>
          </w:tcPr>
          <w:p>
            <w:pPr>
              <w:pStyle w:val="TableContents"/>
              <w:widowControl/>
              <w:bidi w:val="0"/>
              <w:spacing w:before="0" w:after="283"/>
              <w:rPr/>
            </w:pPr>
            <w:r>
              <w:rPr/>
              <w:t>3.2 No later than with the first instalment, the Seller must provide the Buyer with security equal to 5% of the Purchase Price under section 650m(2) BGB. The Buyer may retain this amount from the first instalment due until the Seller has delivered a guarantee with no expiry date, under which the guarantor waives the defence of prior recourse against the principal debtor (selbstschuldnerische Bürgschaft), issued by a credit institution or credit insurer authorised in Germany. This right of retention arises automatically; no separate declaration exercising it is required.</w:t>
            </w:r>
          </w:p>
        </w:tc>
      </w:tr>
      <w:tr>
        <w:trPr>
          <w:cantSplit/>
        </w:trPr>
        <w:tc>
          <w:tcPr>
            <w:tcW w:w="7545" w:type="dxa"/>
            <w:tcBorders/>
            <w:vAlign w:val="center"/>
          </w:tcPr>
          <w:p>
            <w:pPr>
              <w:pStyle w:val="TableContents"/>
              <w:widowControl/>
              <w:bidi w:val="0"/>
              <w:spacing w:before="0" w:after="283"/>
              <w:rPr/>
            </w:pPr>
            <w:r>
              <w:rPr/>
              <w:t>3.3 Der Kaufpreis ist in höchstens sieben Teilbeträgen nach tatsächlichem Baufortschritt zu zahlen:</w:t>
            </w:r>
          </w:p>
          <w:p>
            <w:pPr>
              <w:pStyle w:val="TableHeading"/>
              <w:widowControl/>
              <w:spacing w:before="0" w:after="80"/>
            </w:pPr>
            <w:r>
              <w:rPr>
                <w:b/>
              </w:rPr>
              <w:t>Rate · Fälligkeit frühestens nach tatsächlichem Baufortschritt · Betrag</w:t>
            </w:r>
          </w:p>
          <w:p>
            <w:pPr>
              <w:pStyle w:val="TableContents"/>
              <w:widowControl/>
              <w:spacing w:before="0" w:after="80"/>
            </w:pPr>
            <w:r>
              <w:t>1 · Beginn der Erdarbeiten, nach Vorliegen der Voraussetzungen aus § 3.1 · 30,0 %</w:t>
            </w:r>
          </w:p>
          <w:p>
            <w:pPr>
              <w:pStyle w:val="TableContents"/>
              <w:widowControl/>
              <w:spacing w:before="0" w:after="80"/>
            </w:pPr>
            <w:r>
              <w:t>2 · Rohbaufertigstellung einschließlich Zimmererarbeiten · 28,0 %</w:t>
            </w:r>
          </w:p>
          <w:p>
            <w:pPr>
              <w:pStyle w:val="TableContents"/>
              <w:widowControl/>
              <w:spacing w:before="0" w:after="80"/>
            </w:pPr>
            <w:r>
              <w:t>3 · Herstellung der Dachflächen und Dachrinnen, Rohinstallation Heizung/Sanitär/Elektro, Fenstereinbau einschließlich Verglasung · 18,9 %</w:t>
            </w:r>
          </w:p>
          <w:p>
            <w:pPr>
              <w:pStyle w:val="TableContents"/>
              <w:widowControl/>
              <w:spacing w:before="0" w:after="80"/>
            </w:pPr>
            <w:r>
              <w:t>4 · Innenputz, Estrich und Fassadenarbeiten · 8,4 %</w:t>
            </w:r>
          </w:p>
          <w:p>
            <w:pPr>
              <w:pStyle w:val="TableContents"/>
              <w:widowControl/>
              <w:spacing w:before="0" w:after="80"/>
            </w:pPr>
            <w:r>
              <w:t>5 · Fliesenarbeiten im Sanitärbereich · 2,8 %</w:t>
            </w:r>
          </w:p>
          <w:p>
            <w:pPr>
              <w:pStyle w:val="TableContents"/>
              <w:widowControl/>
              <w:spacing w:before="0" w:after="80"/>
            </w:pPr>
            <w:r>
              <w:t>6 · Bezugsfertigkeit und Zug um Zug gegen Besitzübergabe · 8,4 %</w:t>
            </w:r>
          </w:p>
          <w:p>
            <w:pPr>
              <w:pStyle w:val="TableContents"/>
              <w:widowControl/>
              <w:spacing w:before="0" w:after="80"/>
            </w:pPr>
            <w:r>
              <w:t>7 · vollständige Fertigstellung einschließlich Außenanlagen, Zuwegungen, Keller, Tiefgarage und Gemeinschaftseinrichtungen · 3,5 %</w:t>
            </w:r>
          </w:p>
        </w:tc>
        <w:tc>
          <w:tcPr>
            <w:tcW w:w="7989" w:type="dxa"/>
            <w:tcBorders/>
            <w:vAlign w:val="center"/>
          </w:tcPr>
          <w:p>
            <w:pPr>
              <w:pStyle w:val="TableContents"/>
              <w:widowControl/>
              <w:bidi w:val="0"/>
              <w:spacing w:before="0" w:after="0"/>
              <w:rPr/>
            </w:pPr>
            <w:r>
              <w:rPr/>
              <w:t xml:space="preserve">3.3 The Purchase Price is to be paid in a maximum of seven instalments after actual construction progress: </w:t>
            </w:r>
          </w:p>
          <w:p>
            <w:pPr>
              <w:pStyle w:val="TableContents"/>
              <w:widowControl/>
              <w:bidi w:val="0"/>
              <w:spacing w:before="0" w:after="283"/>
              <w:rPr/>
            </w:pPr>
            <w:r>
              <w:rPr/>
            </w:r>
          </w:p>
          <w:p>
            <w:pPr>
              <w:pStyle w:val="TableHeading"/>
              <w:widowControl/>
              <w:spacing w:before="0" w:after="80"/>
            </w:pPr>
            <w:r>
              <w:rPr>
                <w:b/>
              </w:rPr>
              <w:t>Rate · Due no earlier than the actual construction stage specified · Amount</w:t>
            </w:r>
          </w:p>
          <w:p>
            <w:pPr>
              <w:pStyle w:val="TableContents"/>
              <w:widowControl/>
              <w:spacing w:before="0" w:after="80"/>
            </w:pPr>
            <w:r>
              <w:t>1 · Beginning of earthworks, after the conditions of § 3.1 have been met · 30,0 %</w:t>
            </w:r>
          </w:p>
          <w:p>
            <w:pPr>
              <w:pStyle w:val="TableContents"/>
              <w:widowControl/>
              <w:spacing w:before="0" w:after="80"/>
            </w:pPr>
            <w:r>
              <w:t>2 · Completion of the structural shell, including carpentry · 28,0 %</w:t>
            </w:r>
          </w:p>
          <w:p>
            <w:pPr>
              <w:pStyle w:val="TableContents"/>
              <w:widowControl/>
              <w:spacing w:before="0" w:after="80"/>
            </w:pPr>
            <w:r>
              <w:t>3 · Completion of roof surfaces and gutters; rough-in of heating, plumbing and electrical systems; installation of windows including glazing · 18,9 %</w:t>
            </w:r>
          </w:p>
          <w:p>
            <w:pPr>
              <w:pStyle w:val="TableContents"/>
              <w:widowControl/>
              <w:spacing w:before="0" w:after="80"/>
            </w:pPr>
            <w:r>
              <w:t>4 · Interior plastering, screed and facade work · 8,4 %</w:t>
            </w:r>
          </w:p>
          <w:p>
            <w:pPr>
              <w:pStyle w:val="TableContents"/>
              <w:widowControl/>
              <w:spacing w:before="0" w:after="80"/>
            </w:pPr>
            <w:r>
              <w:t>5 · Sanitary tile work · 2,8 %</w:t>
            </w:r>
          </w:p>
          <w:p>
            <w:pPr>
              <w:pStyle w:val="TableContents"/>
              <w:widowControl/>
              <w:spacing w:before="0" w:after="80"/>
            </w:pPr>
            <w:r>
              <w:t>6 · Readiness for occupancy concurrently with transfer of possession · 8,4 %</w:t>
            </w:r>
          </w:p>
          <w:p>
            <w:pPr>
              <w:pStyle w:val="TableContents"/>
              <w:widowControl/>
              <w:spacing w:before="0" w:after="80"/>
            </w:pPr>
            <w:r>
              <w:t>7 · Full completion including external works, access routes, basement, underground garage and communal facilities · 3,5 %</w:t>
            </w:r>
          </w:p>
        </w:tc>
      </w:tr>
      <w:tr>
        <w:trPr>
          <w:cantSplit/>
        </w:trPr>
        <w:tc>
          <w:tcPr>
            <w:tcW w:w="7545" w:type="dxa"/>
            <w:tcBorders/>
            <w:vAlign w:val="center"/>
          </w:tcPr>
          <w:p>
            <w:pPr>
              <w:pStyle w:val="TableContents"/>
              <w:widowControl/>
              <w:bidi w:val="0"/>
              <w:spacing w:before="0" w:after="283"/>
              <w:rPr/>
            </w:pPr>
            <w:r>
              <w:rPr/>
              <w:t>3.4 Eine Rate wird nur fällig, wenn der bezeichnete Bautenstand tatsächlich erreicht ist und die Verkäuferin der Käuferin eine nachvollziehbare Bautenstandsmitteilung mit Lichtbildern, Datum und verantwortlicher Bauleitung übermittelt. Die Käuferin darf den Bautenstand vor Zahlung selbst, durch eine bevollmächtigte Person oder durch eine sachverständige Person prüfen lassen. Die Prüfung darf aus Sicherheitsgründen begleitet werden, darf aber nicht grundlos verhindert oder auf bloße Akteneinsicht beschränkt werden.</w:t>
            </w:r>
          </w:p>
        </w:tc>
        <w:tc>
          <w:tcPr>
            <w:tcW w:w="7989" w:type="dxa"/>
            <w:tcBorders/>
            <w:vAlign w:val="center"/>
          </w:tcPr>
          <w:p>
            <w:pPr>
              <w:pStyle w:val="TableContents"/>
              <w:widowControl/>
              <w:bidi w:val="0"/>
              <w:spacing w:before="0" w:after="283"/>
              <w:rPr/>
            </w:pPr>
            <w:r>
              <w:rPr/>
              <w:t>3.4 An instalment becomes due only when the specified stage of construction has actually been reached and the Seller has sent the Buyer a verifiable construction progress notice with photographs, a date and identification of the responsible construction management. Before payment, the Buyer may inspect the progress herself or arrange inspection by an authorised representative or an expert. The inspection may be accompanied for safety reasons but must not be prevented without justification or restricted to a review of documents alone.</w:t>
            </w:r>
          </w:p>
        </w:tc>
      </w:tr>
      <w:tr>
        <w:trPr>
          <w:cantSplit/>
        </w:trPr>
        <w:tc>
          <w:tcPr>
            <w:tcW w:w="7545" w:type="dxa"/>
            <w:tcBorders/>
            <w:vAlign w:val="center"/>
          </w:tcPr>
          <w:p>
            <w:pPr>
              <w:pStyle w:val="TableContents"/>
              <w:widowControl/>
              <w:bidi w:val="0"/>
              <w:spacing w:before="0" w:after="283"/>
              <w:rPr/>
            </w:pPr>
            <w:r>
              <w:rPr/>
              <w:t>3.5 Bei Mängeln, fehlenden Unterlagen oder unvollständiger Leistung bleiben gesetzliche Zurückbehaltungsrechte, insbesondere § 641 Abs. 3 BGB, unberührt. Die Zahlung einer Rate gilt nicht als Abnahme, Anerkenntnis des Bautenstands oder Verzicht auf Einwendungen.</w:t>
            </w:r>
          </w:p>
        </w:tc>
        <w:tc>
          <w:tcPr>
            <w:tcW w:w="7989" w:type="dxa"/>
            <w:tcBorders/>
            <w:vAlign w:val="center"/>
          </w:tcPr>
          <w:p>
            <w:pPr>
              <w:pStyle w:val="TableContents"/>
              <w:widowControl/>
              <w:bidi w:val="0"/>
              <w:spacing w:before="0" w:after="283"/>
              <w:rPr/>
            </w:pPr>
            <w:r>
              <w:rPr/>
              <w:t>3.5 Statutory rights to withhold payment, particularly under section 641(3) BGB, remain unaffected in the event of defects, missing documents or incomplete performance. Payment of an instalment does not constitute acceptance, an acknowledgement of construction progress or a waiver of objections.</w:t>
            </w:r>
          </w:p>
        </w:tc>
      </w:tr>
      <w:tr>
        <w:trPr>
          <w:cantSplit/>
        </w:trPr>
        <w:tc>
          <w:tcPr>
            <w:tcW w:w="7545" w:type="dxa"/>
            <w:tcBorders/>
            <w:vAlign w:val="center"/>
          </w:tcPr>
          <w:p>
            <w:pPr>
              <w:pStyle w:val="TableContents"/>
              <w:widowControl/>
              <w:bidi w:val="0"/>
              <w:spacing w:before="0" w:after="283"/>
              <w:rPr/>
            </w:pPr>
            <w:r>
              <w:rPr/>
              <w:t>3.6 Die Schlussrate setzt vollständige Fertigstellung voraus. Vollständige Fertigstellung umfasst auch die Außenanlagen, die dauerhafte Verkehrssicherheit der Zugänge, die Tiefgarage, Fahrradabstellflächen, Beleuchtung, Müllflächen, Entwässerung, Gebäudetechnik, Revisionsunterlagen und alle zur gewöhnlichen Nutzung erforderlichen Gemeinschaftseinrichtungen. Unwesentliche Restmängel hindern die Fälligkeit nur insoweit nicht, als der Käuferin die gesetzlichen Zurückbehaltungsrechte vollständig verbleiben.</w:t>
            </w:r>
          </w:p>
        </w:tc>
        <w:tc>
          <w:tcPr>
            <w:tcW w:w="7989" w:type="dxa"/>
            <w:tcBorders/>
            <w:vAlign w:val="center"/>
          </w:tcPr>
          <w:p>
            <w:pPr>
              <w:pStyle w:val="TableContents"/>
              <w:widowControl/>
              <w:bidi w:val="0"/>
              <w:spacing w:before="0" w:after="283"/>
              <w:rPr/>
            </w:pPr>
            <w:r>
              <w:rPr/>
              <w:t>3.6 The final instalment requires full completion. This includes the external works, permanently safe access routes, underground garage, bicycle parking, lighting, refuse areas, drainage, building systems, as-built documentation and all communal facilities required for ordinary use. Minor remaining defects do not prevent the instalment becoming due only to the extent that the Buyer's statutory rights to withhold payment remain fully preserved.</w:t>
            </w:r>
          </w:p>
        </w:tc>
      </w:tr>
      <w:tr>
        <w:trPr>
          <w:cantSplit/>
        </w:trPr>
        <w:tc>
          <w:tcPr>
            <w:tcW w:w="7545" w:type="dxa"/>
            <w:tcBorders/>
            <w:vAlign w:val="center"/>
          </w:tcPr>
          <w:p>
            <w:pPr>
              <w:pStyle w:val="TableContents"/>
              <w:widowControl/>
              <w:bidi w:val="0"/>
              <w:spacing w:before="0" w:after="283"/>
              <w:rPr/>
            </w:pPr>
            <w:r>
              <w:rPr/>
              <w:t>3.7 Sonderwünsche werden nicht außerhalb des MaBV-Ratenplans als Vorauszahlung abgerechnet. Werden sie vor Ausführung vereinbart, werden sie entweder in den Kaufpreis und die verbleibenden Raten einbezogen oder erst nach Ausführung und Abnahme des Sonderwunsches fällig.</w:t>
            </w:r>
          </w:p>
        </w:tc>
        <w:tc>
          <w:tcPr>
            <w:tcW w:w="7989" w:type="dxa"/>
            <w:tcBorders/>
            <w:vAlign w:val="center"/>
          </w:tcPr>
          <w:p>
            <w:pPr>
              <w:pStyle w:val="TableContents"/>
              <w:widowControl/>
              <w:bidi w:val="0"/>
              <w:spacing w:before="0" w:after="283"/>
              <w:rPr/>
            </w:pPr>
            <w:r>
              <w:rPr/>
              <w:t>3.7 Buyer-requested variations are not billed as advance payments outside the MaBV instalment plan. If agreed before execution, they must either be included in the Purchase Price and remaining instalments or become due only after execution and acceptance of the variation.</w:t>
            </w:r>
          </w:p>
        </w:tc>
      </w:tr>
      <w:tr>
        <w:trPr>
          <w:cantSplit/>
        </w:trPr>
        <w:tc>
          <w:tcPr>
            <w:tcW w:w="7545" w:type="dxa"/>
            <w:tcBorders/>
            <w:vAlign w:val="center"/>
          </w:tcPr>
          <w:p>
            <w:pPr>
              <w:pStyle w:val="Heading2"/>
              <w:keepNext/>
              <w:widowControl/>
              <w:bidi w:val="0"/>
              <w:spacing w:before="200" w:after="120"/>
              <w:ind w:hanging="0" w:start="0" w:end="0"/>
              <w:rPr/>
            </w:pPr>
            <w:bookmarkStart w:id="18" w:name="finanzierungsvollmacht"/>
            <w:bookmarkEnd w:id="18"/>
            <w:r>
              <w:rPr/>
              <w:t>4 Finanzierungsvollmacht</w:t>
            </w:r>
          </w:p>
          <w:p>
            <w:pPr>
              <w:pStyle w:val="TableContents"/>
              <w:widowControl/>
              <w:bidi w:val="0"/>
              <w:spacing w:before="0" w:after="283"/>
              <w:rPr/>
            </w:pPr>
            <w:r>
              <w:rPr/>
              <w:t>4.1 Die Verkäuferin bevollmächtigt die Käuferin, zur Finanzierung des Kaufpreises Grundpfandrechte am Kaufgegenstand bis zu einem Nominalbetrag von 742.000,00 EUR nebst marktüblichen Zinsen und Nebenleistungen zu bestellen. Die Vollmacht darf nur verwendet werden, wenn der Grundpfandrechtsgläubiger sich verpflichtet, Zahlungen ausschließlich nach Maßgabe dieser Urkunde, des Ratenplans und der MaBV an die Verkäuferin zu leisten.</w:t>
            </w:r>
          </w:p>
        </w:tc>
        <w:tc>
          <w:tcPr>
            <w:tcW w:w="7989" w:type="dxa"/>
            <w:tcBorders/>
            <w:vAlign w:val="center"/>
          </w:tcPr>
          <w:p>
            <w:pPr>
              <w:pStyle w:val="Heading2"/>
              <w:keepNext/>
              <w:widowControl/>
              <w:bidi w:val="0"/>
              <w:spacing w:before="200" w:after="120"/>
              <w:ind w:hanging="0" w:start="0" w:end="0"/>
              <w:rPr/>
            </w:pPr>
            <w:bookmarkStart w:id="19" w:name="power-of-attorney"/>
            <w:bookmarkEnd w:id="19"/>
            <w:r>
              <w:rPr/>
              <w:t>4 Authority to Create Financing Security</w:t>
            </w:r>
          </w:p>
          <w:p>
            <w:pPr>
              <w:pStyle w:val="TableContents"/>
              <w:widowControl/>
              <w:bidi w:val="0"/>
              <w:spacing w:before="0" w:after="283"/>
              <w:rPr/>
            </w:pPr>
            <w:r>
              <w:rPr/>
              <w:t>4.1 The Seller authorises the Buyer to create security interests in the Purchased Property up to a nominal amount of EUR 742,000.00, plus customary interest and ancillary charges, to finance the Purchase Price. This authority may be used only if the secured creditor undertakes to pay the Seller exclusively in accordance with this deed, the instalment plan and the MaBV.</w:t>
            </w:r>
          </w:p>
        </w:tc>
      </w:tr>
      <w:tr>
        <w:trPr>
          <w:cantSplit/>
        </w:trPr>
        <w:tc>
          <w:tcPr>
            <w:tcW w:w="7545" w:type="dxa"/>
            <w:tcBorders/>
            <w:vAlign w:val="center"/>
          </w:tcPr>
          <w:p>
            <w:pPr>
              <w:pStyle w:val="TableContents"/>
              <w:widowControl/>
              <w:bidi w:val="0"/>
              <w:spacing w:before="0" w:after="283"/>
              <w:rPr/>
            </w:pPr>
            <w:r>
              <w:rPr/>
              <w:t>4.2 Die Käuferin übernimmt die persönliche Haftung nur gegenüber ihrer finanzierenden Bank. Eine persönliche Haftung der Verkäuferin wird nicht begründet. Die Verkäuferin wirkt an Rangrücktritten und Löschungen mit, soweit dies zur Finanzierung und lastenfreien Eigentumsumschreibung erforderlich ist.</w:t>
            </w:r>
          </w:p>
        </w:tc>
        <w:tc>
          <w:tcPr>
            <w:tcW w:w="7989" w:type="dxa"/>
            <w:tcBorders/>
            <w:vAlign w:val="center"/>
          </w:tcPr>
          <w:p>
            <w:pPr>
              <w:pStyle w:val="TableContents"/>
              <w:widowControl/>
              <w:bidi w:val="0"/>
              <w:spacing w:before="0" w:after="283"/>
              <w:rPr/>
            </w:pPr>
            <w:r>
              <w:rPr/>
              <w:t>4.2 The Buyer assumes personal liability only towards her financing bank. No personal liability of the Seller is created. The Seller must cooperate in subordinations and cancellations to the extent necessary for financing and transfer of unencumbered title.</w:t>
            </w:r>
          </w:p>
        </w:tc>
      </w:tr>
      <w:tr>
        <w:trPr>
          <w:cantSplit/>
        </w:trPr>
        <w:tc>
          <w:tcPr>
            <w:tcW w:w="7545" w:type="dxa"/>
            <w:tcBorders/>
            <w:vAlign w:val="center"/>
          </w:tcPr>
          <w:p>
            <w:pPr>
              <w:pStyle w:val="TableContents"/>
              <w:widowControl/>
              <w:bidi w:val="0"/>
              <w:spacing w:before="0" w:after="283"/>
              <w:rPr/>
            </w:pPr>
            <w:r>
              <w:rPr/>
              <w:t>4.3 Die Kosten der Finanzierungsgrundpfandrechte trägt die Käuferin. Kosten der Lastenfreistellung der Globalgrundschuld der Verkäuferin trägt die Verkäuferin.</w:t>
            </w:r>
          </w:p>
        </w:tc>
        <w:tc>
          <w:tcPr>
            <w:tcW w:w="7989" w:type="dxa"/>
            <w:tcBorders/>
            <w:vAlign w:val="center"/>
          </w:tcPr>
          <w:p>
            <w:pPr>
              <w:pStyle w:val="TableContents"/>
              <w:widowControl/>
              <w:bidi w:val="0"/>
              <w:spacing w:before="0" w:after="283"/>
              <w:rPr/>
            </w:pPr>
            <w:r>
              <w:rPr/>
              <w:t>4.3 The Buyer bears the costs of the security interests created for her financing. The Seller bears the costs of releasing the Purchased Property from the Seller's blanket land charge.</w:t>
            </w:r>
          </w:p>
        </w:tc>
      </w:tr>
      <w:tr>
        <w:trPr>
          <w:cantSplit/>
        </w:trPr>
        <w:tc>
          <w:tcPr>
            <w:tcW w:w="7545" w:type="dxa"/>
            <w:tcBorders/>
            <w:vAlign w:val="center"/>
          </w:tcPr>
          <w:p>
            <w:pPr>
              <w:pStyle w:val="Heading2"/>
              <w:keepNext/>
              <w:widowControl/>
              <w:bidi w:val="0"/>
              <w:spacing w:before="200" w:after="120"/>
              <w:ind w:hanging="0" w:start="0" w:end="0"/>
              <w:rPr/>
            </w:pPr>
            <w:bookmarkStart w:id="20" w:name="baupflicht-bausoll-unterlagen"/>
            <w:bookmarkEnd w:id="20"/>
            <w:r>
              <w:rPr/>
              <w:t>5 Baupflicht, Bausoll, Unterlagen</w:t>
            </w:r>
          </w:p>
          <w:p>
            <w:pPr>
              <w:pStyle w:val="TableContents"/>
              <w:widowControl/>
              <w:bidi w:val="0"/>
              <w:spacing w:before="0" w:after="283"/>
              <w:rPr/>
            </w:pPr>
            <w:r>
              <w:rPr/>
              <w:t>5.1 Die Verkäuferin verpflichtet sich, den Kaufgegenstand und das Gemeinschaftseigentum nach dieser Urkunde, der Baubeschreibung, den Plänen, der Baugenehmigung und den anerkannten Regeln der Technik zum Zeitpunkt der Abnahme herzustellen. Unvollständige oder unklare Leistungsangaben werden unter Berücksichtigung sämtlicher vertragsbegleitender Umstände, insbesondere des in den übrigen Unterlagen angelegten Komfort- und Qualitätsstandards, ausgelegt; Zweifel gehen zulasten der Verkäuferin.</w:t>
            </w:r>
          </w:p>
        </w:tc>
        <w:tc>
          <w:tcPr>
            <w:tcW w:w="7989" w:type="dxa"/>
            <w:tcBorders/>
            <w:vAlign w:val="center"/>
          </w:tcPr>
          <w:p>
            <w:pPr>
              <w:pStyle w:val="Heading2"/>
              <w:keepNext/>
              <w:widowControl/>
              <w:bidi w:val="0"/>
              <w:spacing w:before="200" w:after="120"/>
              <w:ind w:hanging="0" w:start="0" w:end="0"/>
              <w:rPr/>
            </w:pPr>
            <w:bookmarkStart w:id="21" w:name="obligation-to-build-construction-intende"/>
            <w:bookmarkEnd w:id="21"/>
            <w:r>
              <w:rPr/>
              <w:t>5 Construction Obligations, Agreed Requirements and Documents</w:t>
            </w:r>
          </w:p>
          <w:p>
            <w:pPr>
              <w:pStyle w:val="TableContents"/>
              <w:widowControl/>
              <w:bidi w:val="0"/>
              <w:spacing w:before="0" w:after="283"/>
              <w:rPr/>
            </w:pPr>
            <w:r>
              <w:rPr/>
              <w:t>5.1 The Seller must construct the Purchased Property and the Common Property in accordance with this deed, the Building Specification, the plans, the building permit and the generally accepted rules of technology applicable at acceptance. Incomplete or unclear descriptions of the work must be interpreted in light of all surrounding contractual circumstances, particularly the comfort and quality standards indicated in the other documents; doubts are resolved against the Seller.</w:t>
            </w:r>
          </w:p>
        </w:tc>
      </w:tr>
      <w:tr>
        <w:trPr>
          <w:cantSplit/>
        </w:trPr>
        <w:tc>
          <w:tcPr>
            <w:tcW w:w="7545" w:type="dxa"/>
            <w:tcBorders/>
            <w:vAlign w:val="center"/>
          </w:tcPr>
          <w:p>
            <w:pPr>
              <w:pStyle w:val="TableContents"/>
              <w:widowControl/>
              <w:bidi w:val="0"/>
              <w:spacing w:before="0" w:after="283"/>
              <w:rPr/>
            </w:pPr>
            <w:r>
              <w:rPr/>
              <w:t>5.2 Die Verkäuferin übergibt der Käuferin rechtzeitig vor Beginn der jeweils betroffenen Ausführung die Planungsunterlagen, die sie zum öffentlich-rechtlichen Nachweis benötigt. Die entsprechenden Fertigstellungsnachweise erhält sie spätestens mit Fertigstellung; Entsprechendes gilt für Nachweise eines Darlehensgebers, soweit die Voraussetzungen des § 650n Abs. 3 BGB vorliegen. Die nachfolgend vertraglich geschuldeten Unterlagen werden, soweit sie nicht schon vor Ausführung benötigt werden, spätestens zur Abnahme des betroffenen Bereichs digital und auf Wunsch in Papierform übergeben:</w:t>
            </w:r>
          </w:p>
        </w:tc>
        <w:tc>
          <w:tcPr>
            <w:tcW w:w="7989" w:type="dxa"/>
            <w:tcBorders/>
            <w:vAlign w:val="center"/>
          </w:tcPr>
          <w:p>
            <w:pPr>
              <w:pStyle w:val="TableContents"/>
              <w:widowControl/>
              <w:bidi w:val="0"/>
              <w:spacing w:before="0" w:after="283"/>
              <w:rPr/>
            </w:pPr>
            <w:r>
              <w:rPr/>
              <w:t>5.2 The Seller must provide the Buyer, in good time before the relevant work begins, with the planning documents she needs to demonstrate compliance with public-law requirements. She must receive the corresponding completion certificates no later than completion. The same applies to evidence required by a lender where the conditions of section 650n(3) BGB are met. The following contractually required documents must be delivered digitally and, on request, on paper no later than acceptance of the relevant part of the work, unless needed before execution:</w:t>
            </w:r>
          </w:p>
        </w:tc>
      </w:tr>
      <w:tr>
        <w:trPr>
          <w:cantSplit/>
        </w:trPr>
        <w:tc>
          <w:tcPr>
            <w:tcW w:w="7545" w:type="dxa"/>
            <w:tcBorders/>
            <w:vAlign w:val="center"/>
          </w:tcPr>
          <w:p>
            <w:pPr>
              <w:pStyle w:val="TableContents"/>
              <w:widowControl/>
              <w:numPr>
                <w:ilvl w:val="0"/>
                <w:numId w:val="4"/>
              </w:numPr>
              <w:tabs>
                <w:tab w:val="clear" w:pos="1134"/>
                <w:tab w:val="left" w:pos="709" w:leader="none"/>
              </w:tabs>
              <w:bidi w:val="0"/>
              <w:spacing w:before="0" w:after="0"/>
              <w:ind w:hanging="283" w:start="709"/>
              <w:rPr/>
            </w:pPr>
            <w:r>
              <w:rPr/>
              <w:t xml:space="preserve">Baugenehmigung und genehmigte Pläne; </w:t>
            </w:r>
          </w:p>
          <w:p>
            <w:pPr>
              <w:pStyle w:val="TableContents"/>
              <w:widowControl/>
              <w:numPr>
                <w:ilvl w:val="0"/>
                <w:numId w:val="4"/>
              </w:numPr>
              <w:tabs>
                <w:tab w:val="clear" w:pos="1134"/>
                <w:tab w:val="left" w:pos="709" w:leader="none"/>
              </w:tabs>
              <w:bidi w:val="0"/>
              <w:spacing w:before="0" w:after="0"/>
              <w:ind w:hanging="283" w:start="709"/>
              <w:rPr/>
            </w:pPr>
            <w:r>
              <w:rPr/>
              <w:t xml:space="preserve">Energiebedarfsausweis und GEG-Nachweise; </w:t>
            </w:r>
          </w:p>
          <w:p>
            <w:pPr>
              <w:pStyle w:val="TableContents"/>
              <w:widowControl/>
              <w:numPr>
                <w:ilvl w:val="0"/>
                <w:numId w:val="4"/>
              </w:numPr>
              <w:tabs>
                <w:tab w:val="clear" w:pos="1134"/>
                <w:tab w:val="left" w:pos="709" w:leader="none"/>
              </w:tabs>
              <w:bidi w:val="0"/>
              <w:spacing w:before="0" w:after="0"/>
              <w:ind w:hanging="283" w:start="709"/>
              <w:rPr/>
            </w:pPr>
            <w:r>
              <w:rPr/>
              <w:t xml:space="preserve">Schallschutznachweis; </w:t>
            </w:r>
          </w:p>
          <w:p>
            <w:pPr>
              <w:pStyle w:val="TableContents"/>
              <w:widowControl/>
              <w:numPr>
                <w:ilvl w:val="0"/>
                <w:numId w:val="4"/>
              </w:numPr>
              <w:tabs>
                <w:tab w:val="clear" w:pos="1134"/>
                <w:tab w:val="left" w:pos="709" w:leader="none"/>
              </w:tabs>
              <w:bidi w:val="0"/>
              <w:spacing w:before="0" w:after="0"/>
              <w:ind w:hanging="283" w:start="709"/>
              <w:rPr/>
            </w:pPr>
            <w:r>
              <w:rPr/>
              <w:t xml:space="preserve">Brandschutzkonzept und brandschutzrelevante Abnahmeunterlagen; </w:t>
            </w:r>
          </w:p>
          <w:p>
            <w:pPr>
              <w:pStyle w:val="TableContents"/>
              <w:widowControl/>
              <w:numPr>
                <w:ilvl w:val="0"/>
                <w:numId w:val="4"/>
              </w:numPr>
              <w:tabs>
                <w:tab w:val="clear" w:pos="1134"/>
                <w:tab w:val="left" w:pos="709" w:leader="none"/>
              </w:tabs>
              <w:bidi w:val="0"/>
              <w:spacing w:before="0" w:after="0"/>
              <w:ind w:hanging="283" w:start="709"/>
              <w:rPr/>
            </w:pPr>
            <w:r>
              <w:rPr/>
              <w:t xml:space="preserve">geotechnischer Bericht und Abdichtungskonzept; </w:t>
            </w:r>
          </w:p>
          <w:p>
            <w:pPr>
              <w:pStyle w:val="TableContents"/>
              <w:widowControl/>
              <w:numPr>
                <w:ilvl w:val="0"/>
                <w:numId w:val="4"/>
              </w:numPr>
              <w:tabs>
                <w:tab w:val="clear" w:pos="1134"/>
                <w:tab w:val="left" w:pos="709" w:leader="none"/>
              </w:tabs>
              <w:bidi w:val="0"/>
              <w:spacing w:before="0" w:after="0"/>
              <w:ind w:hanging="283" w:start="709"/>
              <w:rPr/>
            </w:pPr>
            <w:r>
              <w:rPr/>
              <w:t xml:space="preserve">Revisionsunterlagen für Heizung, Lüftung, Elektro, Photovoltaik und Entwässerung; </w:t>
            </w:r>
          </w:p>
          <w:p>
            <w:pPr>
              <w:pStyle w:val="TableContents"/>
              <w:widowControl/>
              <w:numPr>
                <w:ilvl w:val="0"/>
                <w:numId w:val="4"/>
              </w:numPr>
              <w:tabs>
                <w:tab w:val="clear" w:pos="1134"/>
                <w:tab w:val="left" w:pos="709" w:leader="none"/>
              </w:tabs>
              <w:bidi w:val="0"/>
              <w:spacing w:before="0" w:after="0"/>
              <w:ind w:hanging="283" w:start="709"/>
              <w:rPr/>
            </w:pPr>
            <w:r>
              <w:rPr/>
              <w:t xml:space="preserve">Bedienungs- und Wartungsanleitungen; </w:t>
            </w:r>
          </w:p>
          <w:p>
            <w:pPr>
              <w:pStyle w:val="TableContents"/>
              <w:widowControl/>
              <w:numPr>
                <w:ilvl w:val="0"/>
                <w:numId w:val="4"/>
              </w:numPr>
              <w:tabs>
                <w:tab w:val="clear" w:pos="1134"/>
                <w:tab w:val="left" w:pos="709" w:leader="none"/>
              </w:tabs>
              <w:bidi w:val="0"/>
              <w:spacing w:before="0" w:after="0"/>
              <w:ind w:hanging="283" w:start="709"/>
              <w:rPr/>
            </w:pPr>
            <w:r>
              <w:rPr/>
              <w:t xml:space="preserve">Fachunternehmererklärungen, Prüfprotokolle und Gewährleistungsübersicht; </w:t>
            </w:r>
          </w:p>
          <w:p>
            <w:pPr>
              <w:pStyle w:val="TableContents"/>
              <w:widowControl/>
              <w:numPr>
                <w:ilvl w:val="0"/>
                <w:numId w:val="4"/>
              </w:numPr>
              <w:tabs>
                <w:tab w:val="clear" w:pos="1134"/>
                <w:tab w:val="left" w:pos="709" w:leader="none"/>
              </w:tabs>
              <w:bidi w:val="0"/>
              <w:spacing w:before="0" w:after="283"/>
              <w:ind w:hanging="283" w:start="709"/>
              <w:rPr/>
            </w:pPr>
            <w:r>
              <w:rPr/>
              <w:t xml:space="preserve">Bestandspläne der Einheit und der für die Nutzung wesentlichen Gemeinschaftseinrichtungen. </w:t>
            </w:r>
          </w:p>
        </w:tc>
        <w:tc>
          <w:tcPr>
            <w:tcW w:w="7989" w:type="dxa"/>
            <w:tcBorders/>
            <w:vAlign w:val="center"/>
          </w:tcPr>
          <w:p>
            <w:pPr>
              <w:pStyle w:val="TableContents"/>
              <w:widowControl/>
              <w:numPr>
                <w:ilvl w:val="0"/>
                <w:numId w:val="5"/>
              </w:numPr>
              <w:tabs>
                <w:tab w:val="clear" w:pos="1134"/>
                <w:tab w:val="left" w:pos="709" w:leader="none"/>
              </w:tabs>
              <w:bidi w:val="0"/>
              <w:spacing w:before="0" w:after="0"/>
              <w:ind w:hanging="283" w:start="709"/>
              <w:rPr/>
            </w:pPr>
            <w:r>
              <w:rPr/>
              <w:t>building permit and approved plans;</w:t>
            </w:r>
          </w:p>
          <w:p>
            <w:pPr>
              <w:pStyle w:val="TableContents"/>
              <w:widowControl/>
              <w:numPr>
                <w:ilvl w:val="0"/>
                <w:numId w:val="5"/>
              </w:numPr>
              <w:tabs>
                <w:tab w:val="clear" w:pos="1134"/>
                <w:tab w:val="left" w:pos="709" w:leader="none"/>
              </w:tabs>
              <w:bidi w:val="0"/>
              <w:spacing w:before="0" w:after="0"/>
              <w:ind w:hanging="283" w:start="709"/>
              <w:rPr/>
            </w:pPr>
            <w:r>
              <w:rPr/>
              <w:t>energy demand certificate and GEG compliance evidence;</w:t>
            </w:r>
          </w:p>
          <w:p>
            <w:pPr>
              <w:pStyle w:val="TableContents"/>
              <w:widowControl/>
              <w:numPr>
                <w:ilvl w:val="0"/>
                <w:numId w:val="5"/>
              </w:numPr>
              <w:tabs>
                <w:tab w:val="clear" w:pos="1134"/>
                <w:tab w:val="left" w:pos="709" w:leader="none"/>
              </w:tabs>
              <w:bidi w:val="0"/>
              <w:spacing w:before="0" w:after="0"/>
              <w:ind w:hanging="283" w:start="709"/>
              <w:rPr/>
            </w:pPr>
            <w:r>
              <w:rPr/>
              <w:t>sound-insulation compliance evidence;</w:t>
            </w:r>
          </w:p>
          <w:p>
            <w:pPr>
              <w:pStyle w:val="TableContents"/>
              <w:widowControl/>
              <w:numPr>
                <w:ilvl w:val="0"/>
                <w:numId w:val="5"/>
              </w:numPr>
              <w:tabs>
                <w:tab w:val="clear" w:pos="1134"/>
                <w:tab w:val="left" w:pos="709" w:leader="none"/>
              </w:tabs>
              <w:bidi w:val="0"/>
              <w:spacing w:before="0" w:after="0"/>
              <w:ind w:hanging="283" w:start="709"/>
              <w:rPr/>
            </w:pPr>
            <w:r>
              <w:rPr/>
              <w:t>fire protection design and fire-safety-related acceptance records;</w:t>
            </w:r>
          </w:p>
          <w:p>
            <w:pPr>
              <w:pStyle w:val="TableContents"/>
              <w:widowControl/>
              <w:numPr>
                <w:ilvl w:val="0"/>
                <w:numId w:val="5"/>
              </w:numPr>
              <w:tabs>
                <w:tab w:val="clear" w:pos="1134"/>
                <w:tab w:val="left" w:pos="709" w:leader="none"/>
              </w:tabs>
              <w:bidi w:val="0"/>
              <w:spacing w:before="0" w:after="0"/>
              <w:ind w:hanging="283" w:start="709"/>
              <w:rPr/>
            </w:pPr>
            <w:r>
              <w:rPr/>
              <w:t>geotechnical report and waterproofing design;</w:t>
            </w:r>
          </w:p>
          <w:p>
            <w:pPr>
              <w:pStyle w:val="TableContents"/>
              <w:widowControl/>
              <w:numPr>
                <w:ilvl w:val="0"/>
                <w:numId w:val="5"/>
              </w:numPr>
              <w:tabs>
                <w:tab w:val="clear" w:pos="1134"/>
                <w:tab w:val="left" w:pos="709" w:leader="none"/>
              </w:tabs>
              <w:bidi w:val="0"/>
              <w:spacing w:before="0" w:after="0"/>
              <w:ind w:hanging="283" w:start="709"/>
              <w:rPr/>
            </w:pPr>
            <w:r>
              <w:rPr/>
              <w:t>as-built documentation for heating, ventilation, electrical systems, photovoltaics and drainage;</w:t>
            </w:r>
          </w:p>
          <w:p>
            <w:pPr>
              <w:pStyle w:val="TableContents"/>
              <w:widowControl/>
              <w:numPr>
                <w:ilvl w:val="0"/>
                <w:numId w:val="5"/>
              </w:numPr>
              <w:tabs>
                <w:tab w:val="clear" w:pos="1134"/>
                <w:tab w:val="left" w:pos="709" w:leader="none"/>
              </w:tabs>
              <w:bidi w:val="0"/>
              <w:spacing w:before="0" w:after="0"/>
              <w:ind w:hanging="283" w:start="709"/>
              <w:rPr/>
            </w:pPr>
            <w:r>
              <w:rPr/>
              <w:t>operating and maintenance instructions;</w:t>
            </w:r>
          </w:p>
          <w:p>
            <w:pPr>
              <w:pStyle w:val="TableContents"/>
              <w:widowControl/>
              <w:numPr>
                <w:ilvl w:val="0"/>
                <w:numId w:val="5"/>
              </w:numPr>
              <w:tabs>
                <w:tab w:val="clear" w:pos="1134"/>
                <w:tab w:val="left" w:pos="709" w:leader="none"/>
              </w:tabs>
              <w:bidi w:val="0"/>
              <w:spacing w:before="0" w:after="0"/>
              <w:ind w:hanging="283" w:start="709"/>
              <w:rPr/>
            </w:pPr>
            <w:r>
              <w:rPr/>
              <w:t>specialist contractors' declarations, inspection records and a schedule of defect-liability entitlements;</w:t>
            </w:r>
          </w:p>
          <w:p>
            <w:pPr>
              <w:pStyle w:val="TableContents"/>
              <w:widowControl/>
              <w:numPr>
                <w:ilvl w:val="0"/>
                <w:numId w:val="5"/>
              </w:numPr>
              <w:tabs>
                <w:tab w:val="clear" w:pos="1134"/>
                <w:tab w:val="left" w:pos="709" w:leader="none"/>
              </w:tabs>
              <w:bidi w:val="0"/>
              <w:spacing w:before="0" w:after="283"/>
              <w:ind w:hanging="283" w:start="709"/>
              <w:rPr/>
            </w:pPr>
            <w:r>
              <w:rPr/>
              <w:t>as-built plans of the unit and communal facilities essential for its use.</w:t>
            </w:r>
          </w:p>
        </w:tc>
      </w:tr>
      <w:tr>
        <w:trPr>
          <w:cantSplit/>
        </w:trPr>
        <w:tc>
          <w:tcPr>
            <w:tcW w:w="7545" w:type="dxa"/>
            <w:tcBorders/>
            <w:vAlign w:val="center"/>
          </w:tcPr>
          <w:p>
            <w:pPr>
              <w:pStyle w:val="TableContents"/>
              <w:widowControl/>
              <w:bidi w:val="0"/>
              <w:spacing w:before="0" w:after="283"/>
              <w:rPr/>
            </w:pPr>
            <w:r>
              <w:rPr/>
              <w:t>5.3 Die Verkäuferin organisiert Planung, Fachplanung, Bauleitung, Objektüberwachung, Sicherheitskoordination und Mängelverfolgung in eigener Verantwortung. Die Käuferin erhält keine eigenen Ansprüche gegen die Fachplaner allein aufgrund dieses Vertrags, jedoch bleibt eine gesetzliche oder deliktische Haftung Dritter unberührt.</w:t>
            </w:r>
          </w:p>
        </w:tc>
        <w:tc>
          <w:tcPr>
            <w:tcW w:w="7989" w:type="dxa"/>
            <w:tcBorders/>
            <w:vAlign w:val="center"/>
          </w:tcPr>
          <w:p>
            <w:pPr>
              <w:pStyle w:val="TableContents"/>
              <w:widowControl/>
              <w:bidi w:val="0"/>
              <w:spacing w:before="0" w:after="283"/>
              <w:rPr/>
            </w:pPr>
            <w:r>
              <w:rPr/>
              <w:t>5.3 The Seller is responsible for organising design, specialist design, construction management, site supervision, safety coordination and the follow-up of defects. This contract alone does not give the Buyer direct claims against the specialist designers; any statutory or tort liability of third parties remains unaffected.</w:t>
            </w:r>
          </w:p>
        </w:tc>
      </w:tr>
      <w:tr>
        <w:trPr>
          <w:cantSplit/>
        </w:trPr>
        <w:tc>
          <w:tcPr>
            <w:tcW w:w="7545" w:type="dxa"/>
            <w:tcBorders/>
            <w:vAlign w:val="center"/>
          </w:tcPr>
          <w:p>
            <w:pPr>
              <w:pStyle w:val="TableContents"/>
              <w:widowControl/>
              <w:bidi w:val="0"/>
              <w:spacing w:before="0" w:after="283"/>
              <w:rPr/>
            </w:pPr>
            <w:r>
              <w:rPr/>
              <w:t>5.4 Die Käuferin darf während der Bauzeit eine eigene sachverständige Person hinzuziehen. Baustellenbegehungen erfolgen nach vorheriger Abstimmung, mindestens zu folgenden Zeitpunkten: nach Rohbau, nach Fenstereinbau und Rohinstallation, vor Estrich, vor Verkleidung wesentlicher Installationsschächte, bei Bezugsfertigkeit und vor Abnahme. Die Verkäuferin darf die Begehung aus Sicherheitsgründen organisieren, aber nicht ohne sachlichen Grund verweigern.</w:t>
            </w:r>
          </w:p>
        </w:tc>
        <w:tc>
          <w:tcPr>
            <w:tcW w:w="7989" w:type="dxa"/>
            <w:tcBorders/>
            <w:vAlign w:val="center"/>
          </w:tcPr>
          <w:p>
            <w:pPr>
              <w:pStyle w:val="TableContents"/>
              <w:widowControl/>
              <w:bidi w:val="0"/>
              <w:spacing w:before="0" w:after="283"/>
              <w:rPr/>
            </w:pPr>
            <w:r>
              <w:rPr/>
              <w:t>5.4 The Buyer may engage her own expert during construction. Site inspections must be coordinated in advance and take place at least at the following stages: after completion of the structural shell; after window installation and rough-in of building services; before the screed is laid; before major service shafts are enclosed; when the apartment is ready for occupancy; and before acceptance. The Seller may organise the inspection for safety reasons but may not refuse it without an objective reason.</w:t>
            </w:r>
          </w:p>
        </w:tc>
      </w:tr>
      <w:tr>
        <w:trPr>
          <w:cantSplit/>
        </w:trPr>
        <w:tc>
          <w:tcPr>
            <w:tcW w:w="7545" w:type="dxa"/>
            <w:tcBorders/>
            <w:vAlign w:val="center"/>
          </w:tcPr>
          <w:p>
            <w:pPr>
              <w:pStyle w:val="TableContents"/>
              <w:widowControl/>
              <w:bidi w:val="0"/>
              <w:spacing w:before="0" w:after="283"/>
              <w:rPr/>
            </w:pPr>
            <w:r>
              <w:rPr/>
              <w:t>5.5 Leistungsänderungen durch die Verkäuferin sind nur zulässig, wenn sie technisch oder öffentlich-rechtlich erforderlich sind, den Wert, die Gebrauchstauglichkeit, die Wohnfläche, den Schallschutz, die Energiequalität, die Barrierearmut, die Belichtung und den Zuschnitt nicht nachteilig berühren und der Käuferin rechtzeitig in Textform erläutert werden. Bei nachteiliger oder nicht nur unwesentlicher Änderung ist die vorherige Zustimmung der Käuferin erforderlich, soweit ihr Sondereigentum betroffen ist.</w:t>
            </w:r>
          </w:p>
        </w:tc>
        <w:tc>
          <w:tcPr>
            <w:tcW w:w="7989" w:type="dxa"/>
            <w:tcBorders/>
            <w:vAlign w:val="center"/>
          </w:tcPr>
          <w:p>
            <w:pPr>
              <w:pStyle w:val="TableContents"/>
              <w:widowControl/>
              <w:bidi w:val="0"/>
              <w:spacing w:before="0" w:after="283"/>
              <w:rPr/>
            </w:pPr>
            <w:r>
              <w:rPr/>
              <w:t>5.5 The Seller may change the work only if the change is technically necessary or required by public law, does not adversely affect value, fitness for use, living area, sound insulation, energy performance, reduced-barrier accessibility, natural lighting or layout, and is explained to the Buyer in text form in good time. Any adverse or more than minor change affecting her Unit Property requires her prior consent.</w:t>
            </w:r>
          </w:p>
        </w:tc>
      </w:tr>
      <w:tr>
        <w:trPr>
          <w:cantSplit/>
        </w:trPr>
        <w:tc>
          <w:tcPr>
            <w:tcW w:w="7545" w:type="dxa"/>
            <w:tcBorders/>
            <w:vAlign w:val="center"/>
          </w:tcPr>
          <w:p>
            <w:pPr>
              <w:pStyle w:val="TableContents"/>
              <w:widowControl/>
              <w:bidi w:val="0"/>
              <w:spacing w:before="0" w:after="283"/>
              <w:rPr/>
            </w:pPr>
            <w:r>
              <w:rPr/>
              <w:t>5.6 Ändern sich zwischen Vertragsschluss und Abnahme die anerkannten Regeln der Technik, informiert die Verkäuferin die Käuferin unverzüglich über Inhalt, Auswirkung, Mehrkosten und Alternativen. Eine Unterschreitung des zum Abnahmezeitpunkt geschuldeten Standards ist nur aufgrund ausdrücklicher, gesonderter und über die Folgen aufklärender Vereinbarung zulässig.</w:t>
            </w:r>
          </w:p>
        </w:tc>
        <w:tc>
          <w:tcPr>
            <w:tcW w:w="7989" w:type="dxa"/>
            <w:tcBorders/>
            <w:vAlign w:val="center"/>
          </w:tcPr>
          <w:p>
            <w:pPr>
              <w:pStyle w:val="TableContents"/>
              <w:widowControl/>
              <w:bidi w:val="0"/>
              <w:spacing w:before="0" w:after="283"/>
              <w:rPr/>
            </w:pPr>
            <w:r>
              <w:rPr/>
              <w:t>5.6 If the generally accepted rules of technology change between conclusion of the contract and acceptance, the Seller must promptly inform the Buyer of the changes, their effects, additional costs and alternatives. A standard below that owed at acceptance is permissible only under an express, separate agreement explaining the consequences.</w:t>
            </w:r>
          </w:p>
        </w:tc>
      </w:tr>
      <w:tr>
        <w:trPr>
          <w:cantSplit/>
        </w:trPr>
        <w:tc>
          <w:tcPr>
            <w:tcW w:w="7545" w:type="dxa"/>
            <w:tcBorders/>
            <w:vAlign w:val="center"/>
          </w:tcPr>
          <w:p>
            <w:pPr>
              <w:pStyle w:val="TableContents"/>
              <w:widowControl/>
              <w:bidi w:val="0"/>
              <w:spacing w:before="0" w:after="283"/>
              <w:rPr/>
            </w:pPr>
            <w:r>
              <w:rPr/>
              <w:t>5.7 Sonderwünsche werden in einer gesonderten Nachtragsvereinbarung mit Leistungsbeschreibung, Preis, Auswirkung auf Termine, Gewährleistung und Schnittstellen festgelegt. Die Verkäuferin darf einen Sonderwunsch ablehnen, wenn er Bauablauf, Genehmigung, Statik, Schall, Brand, Energie, Gewährleistung oder Rechte anderer Erwerber beeinträchtigt.</w:t>
            </w:r>
          </w:p>
        </w:tc>
        <w:tc>
          <w:tcPr>
            <w:tcW w:w="7989" w:type="dxa"/>
            <w:tcBorders/>
            <w:vAlign w:val="center"/>
          </w:tcPr>
          <w:p>
            <w:pPr>
              <w:pStyle w:val="TableContents"/>
              <w:widowControl/>
              <w:bidi w:val="0"/>
              <w:spacing w:before="0" w:after="283"/>
              <w:rPr/>
            </w:pPr>
            <w:r>
              <w:rPr/>
              <w:t>5.7 Buyer-requested variations must be set out in a separate supplemental agreement specifying the work, price, effect on deadlines, defect liability and interfaces with other work. The Seller may refuse a variation if it adversely affects the construction sequence, permit, structural stability, sound insulation, fire protection, energy performance, defect liability or other purchasers' rights.</w:t>
            </w:r>
          </w:p>
        </w:tc>
      </w:tr>
      <w:tr>
        <w:trPr>
          <w:cantSplit/>
        </w:trPr>
        <w:tc>
          <w:tcPr>
            <w:tcW w:w="7545" w:type="dxa"/>
            <w:tcBorders/>
            <w:vAlign w:val="center"/>
          </w:tcPr>
          <w:p>
            <w:pPr>
              <w:pStyle w:val="Heading2"/>
              <w:keepNext/>
              <w:widowControl/>
              <w:bidi w:val="0"/>
              <w:spacing w:before="200" w:after="120"/>
              <w:ind w:hanging="0" w:start="0" w:end="0"/>
              <w:rPr/>
            </w:pPr>
            <w:bookmarkStart w:id="22" w:name="fertigstellung-verzug-vertragsstrafe"/>
            <w:bookmarkEnd w:id="22"/>
            <w:r>
              <w:rPr/>
              <w:t>6 Fertigstellung, Verzug, Vertragsstrafe</w:t>
            </w:r>
          </w:p>
          <w:p>
            <w:pPr>
              <w:pStyle w:val="TableContents"/>
              <w:widowControl/>
              <w:bidi w:val="0"/>
              <w:spacing w:before="0" w:after="283"/>
              <w:rPr/>
            </w:pPr>
            <w:r>
              <w:rPr/>
              <w:t>6.1 Die Verkäuferin verpflichtet sich, die Wohnung B-05 spätestens am 30. April 2028 bezugsfertig herzustellen und Zug um Zug gegen Zahlung der bis dahin fälligen Raten zu übergeben. Vollständige Fertigstellung einschließlich Außenanlagen, Tiefgarage und Gemeinschaftseinrichtungen ist spätestens am 31. Juli 2028 geschuldet.</w:t>
            </w:r>
          </w:p>
        </w:tc>
        <w:tc>
          <w:tcPr>
            <w:tcW w:w="7989" w:type="dxa"/>
            <w:tcBorders/>
            <w:vAlign w:val="center"/>
          </w:tcPr>
          <w:p>
            <w:pPr>
              <w:pStyle w:val="Heading2"/>
              <w:keepNext/>
              <w:widowControl/>
              <w:bidi w:val="0"/>
              <w:spacing w:before="200" w:after="120"/>
              <w:ind w:hanging="0" w:start="0" w:end="0"/>
              <w:rPr/>
            </w:pPr>
            <w:bookmarkStart w:id="23" w:name="completion-delay-penalty"/>
            <w:bookmarkEnd w:id="23"/>
            <w:r>
              <w:rPr/>
              <w:t xml:space="preserve">6 Completion, delay, penalty </w:t>
            </w:r>
          </w:p>
          <w:p>
            <w:pPr>
              <w:pStyle w:val="TableContents"/>
              <w:widowControl/>
              <w:bidi w:val="0"/>
              <w:spacing w:before="0" w:after="283"/>
              <w:rPr/>
            </w:pPr>
            <w:r>
              <w:rPr/>
              <w:t>6.1 The Seller must make apartment B-05 ready for occupancy by 30 April 2028 at the latest and hand it over concurrently with payment of the instalments due by then. Full completion, including external works, the underground garage and communal facilities, is due by 31 July 2028 at the latest.</w:t>
            </w:r>
          </w:p>
        </w:tc>
      </w:tr>
      <w:tr>
        <w:trPr>
          <w:cantSplit/>
        </w:trPr>
        <w:tc>
          <w:tcPr>
            <w:tcW w:w="7545" w:type="dxa"/>
            <w:tcBorders/>
            <w:vAlign w:val="center"/>
          </w:tcPr>
          <w:p>
            <w:pPr>
              <w:pStyle w:val="TableContents"/>
              <w:widowControl/>
              <w:bidi w:val="0"/>
              <w:spacing w:before="0" w:after="283"/>
              <w:rPr/>
            </w:pPr>
            <w:r>
              <w:rPr/>
              <w:t>6.2 Gerät die Verkäuferin mit der Bezugsfertigkeit in Verzug, bedarf es wegen des kalendermäßig bestimmten Termins keiner Mahnung. Die Verkäuferin haftet nach den gesetzlichen Vorschriften. Sie kann sich nur entlasten, wenn sie konkrete bauablaufbezogene Umstände darlegt, die sie nicht zu vertreten hat, einschließlich betroffenem Gewerk, Zeitraum, Auswirkungen auf Folgevorgänge und Wiederanlauf.</w:t>
            </w:r>
          </w:p>
        </w:tc>
        <w:tc>
          <w:tcPr>
            <w:tcW w:w="7989" w:type="dxa"/>
            <w:tcBorders/>
            <w:vAlign w:val="center"/>
          </w:tcPr>
          <w:p>
            <w:pPr>
              <w:pStyle w:val="TableContents"/>
              <w:widowControl/>
              <w:bidi w:val="0"/>
              <w:spacing w:before="0" w:after="283"/>
              <w:rPr/>
            </w:pPr>
            <w:r>
              <w:rPr/>
              <w:t xml:space="preserve">6.2 If the Seller is in default with the readiness for occupancy, there is no need for a reminder due to the calendar date. The Seller is liable according to the legal regulations. It can only relieve itself if it demonstrates concrete construction-related circumstances for which it is not responsible, including the trade concerned, the period of time, the impact on subsequent operations and the restart. </w:t>
            </w:r>
          </w:p>
        </w:tc>
      </w:tr>
      <w:tr>
        <w:trPr>
          <w:cantSplit/>
        </w:trPr>
        <w:tc>
          <w:tcPr>
            <w:tcW w:w="7545" w:type="dxa"/>
            <w:tcBorders/>
            <w:vAlign w:val="center"/>
          </w:tcPr>
          <w:p>
            <w:pPr>
              <w:pStyle w:val="TableContents"/>
              <w:widowControl/>
              <w:bidi w:val="0"/>
              <w:spacing w:before="0" w:after="283"/>
              <w:rPr/>
            </w:pPr>
            <w:r>
              <w:rPr/>
              <w:t>6.3 Für jeden begonnenen Monat des Verzugs mit der Bezugsfertigkeit schuldet die Verkäuferin eine Vertragsstrafe von 0,25 % des Kaufpreises, höchstens insgesamt 5 % des Kaufpreises. Weitergehender Verzugsschaden bleibt ersatzfähig; die Vertragsstrafe wird auf einen gleichgerichteten Schaden angerechnet.</w:t>
            </w:r>
          </w:p>
        </w:tc>
        <w:tc>
          <w:tcPr>
            <w:tcW w:w="7989" w:type="dxa"/>
            <w:tcBorders/>
            <w:vAlign w:val="center"/>
          </w:tcPr>
          <w:p>
            <w:pPr>
              <w:pStyle w:val="TableContents"/>
              <w:widowControl/>
              <w:bidi w:val="0"/>
              <w:spacing w:before="0" w:after="283"/>
              <w:rPr/>
            </w:pPr>
            <w:r>
              <w:rPr/>
              <w:t>6.3 For each commenced month of delay in readiness for occupancy, the Seller owes a contractual penalty of 0.25% of the Purchase Price, capped at 5% of the Purchase Price in total. Further damages for delay remain recoverable; the penalty is credited against damages compensating for the same loss.</w:t>
            </w:r>
          </w:p>
        </w:tc>
      </w:tr>
      <w:tr>
        <w:trPr>
          <w:cantSplit/>
        </w:trPr>
        <w:tc>
          <w:tcPr>
            <w:tcW w:w="7545" w:type="dxa"/>
            <w:tcBorders/>
            <w:vAlign w:val="center"/>
          </w:tcPr>
          <w:p>
            <w:pPr>
              <w:pStyle w:val="TableContents"/>
              <w:widowControl/>
              <w:bidi w:val="0"/>
              <w:spacing w:before="0" w:after="283"/>
              <w:rPr/>
            </w:pPr>
            <w:r>
              <w:rPr/>
              <w:t>6.4 Ersatzfähig können insbesondere nachgewiesene Mehrmiete, Hotelkosten, Lagerkosten, zusätzliche Umzugskosten, Bereitstellungszinsen für noch nicht abgerufene Darlehensmittel und sonstige adäquat verursachte Mehrkosten sein. Zinsen auf bereits ausgezahlte Darlehensvaluta sind hiervon zu unterscheiden.</w:t>
            </w:r>
          </w:p>
        </w:tc>
        <w:tc>
          <w:tcPr>
            <w:tcW w:w="7989" w:type="dxa"/>
            <w:tcBorders/>
            <w:vAlign w:val="center"/>
          </w:tcPr>
          <w:p>
            <w:pPr>
              <w:pStyle w:val="TableContents"/>
              <w:widowControl/>
              <w:bidi w:val="0"/>
              <w:spacing w:before="0" w:after="283"/>
              <w:rPr/>
            </w:pPr>
            <w:r>
              <w:rPr/>
              <w:t>6.4 Recoverable losses may include documented additional rent, hotel costs, storage costs, additional moving costs, commitment interest on loan funds not yet drawn down and other additional costs adequately caused by the delay. Interest on loan funds already disbursed must be distinguished from these items.</w:t>
            </w:r>
          </w:p>
        </w:tc>
      </w:tr>
      <w:tr>
        <w:trPr>
          <w:cantSplit/>
        </w:trPr>
        <w:tc>
          <w:tcPr>
            <w:tcW w:w="7545" w:type="dxa"/>
            <w:tcBorders/>
            <w:vAlign w:val="center"/>
          </w:tcPr>
          <w:p>
            <w:pPr>
              <w:pStyle w:val="TableContents"/>
              <w:widowControl/>
              <w:bidi w:val="0"/>
              <w:spacing w:before="0" w:after="283"/>
              <w:rPr/>
            </w:pPr>
            <w:r>
              <w:rPr/>
              <w:t>6.5 Termine verschieben sich nicht durch pauschale Hinweise auf Lieferketten, Wetter, Krankheit oder Marktlage. Eine Terminverschiebung kommt nur in Betracht, wenn die Verkäuferin unverzüglich informiert, die konkrete Bauablaufstörung darlegt und zumutbare Beschleunigungs- und Ersatzmaßnahmen ergreift.</w:t>
            </w:r>
          </w:p>
        </w:tc>
        <w:tc>
          <w:tcPr>
            <w:tcW w:w="7989" w:type="dxa"/>
            <w:tcBorders/>
            <w:vAlign w:val="center"/>
          </w:tcPr>
          <w:p>
            <w:pPr>
              <w:pStyle w:val="TableContents"/>
              <w:widowControl/>
              <w:bidi w:val="0"/>
              <w:spacing w:before="0" w:after="283"/>
              <w:rPr/>
            </w:pPr>
            <w:r>
              <w:rPr/>
              <w:t xml:space="preserve">6.5 Dates are not postponed by blanket information on supply chains, weather, illness or market conditions. A postponement of the date is only considered if the Seller informs immediately, explains the concrete construction disruption and takes reasonable acceleration and replacement measures. </w:t>
            </w:r>
          </w:p>
        </w:tc>
      </w:tr>
      <w:tr>
        <w:trPr>
          <w:cantSplit/>
        </w:trPr>
        <w:tc>
          <w:tcPr>
            <w:tcW w:w="7545" w:type="dxa"/>
            <w:tcBorders/>
            <w:vAlign w:val="center"/>
          </w:tcPr>
          <w:p>
            <w:pPr>
              <w:pStyle w:val="Heading2"/>
              <w:keepNext/>
              <w:widowControl/>
              <w:bidi w:val="0"/>
              <w:spacing w:before="200" w:after="120"/>
              <w:ind w:hanging="0" w:start="0" w:end="0"/>
              <w:rPr/>
            </w:pPr>
            <w:bookmarkStart w:id="24" w:name="besitzübergabe-abnahme"/>
            <w:bookmarkEnd w:id="24"/>
            <w:r>
              <w:rPr/>
              <w:t>7 Besitzübergabe, Abnahme</w:t>
            </w:r>
          </w:p>
          <w:p>
            <w:pPr>
              <w:pStyle w:val="TableContents"/>
              <w:widowControl/>
              <w:bidi w:val="0"/>
              <w:spacing w:before="0" w:after="283"/>
              <w:rPr/>
            </w:pPr>
            <w:r>
              <w:rPr/>
              <w:t>7.1 Die Besitzübergabe erfolgt nach Bezugsfertigkeit, Verkehrssicherheit der Zugänge und Zahlung oder berechtigtem Angebot der bis dahin fälligen Raten. Die Verkäuferin darf die Schlüssel nicht wegen streitiger, nicht fälliger oder berechtigt zurückbehaltener Beträge verweigern.</w:t>
            </w:r>
          </w:p>
        </w:tc>
        <w:tc>
          <w:tcPr>
            <w:tcW w:w="7989" w:type="dxa"/>
            <w:tcBorders/>
            <w:vAlign w:val="center"/>
          </w:tcPr>
          <w:p>
            <w:pPr>
              <w:pStyle w:val="Heading2"/>
              <w:keepNext/>
              <w:widowControl/>
              <w:bidi w:val="0"/>
              <w:spacing w:before="200" w:after="120"/>
              <w:ind w:hanging="0" w:start="0" w:end="0"/>
              <w:rPr/>
            </w:pPr>
            <w:bookmarkStart w:id="25" w:name="transfer-of-possession-and-acceptance"/>
            <w:bookmarkEnd w:id="25"/>
            <w:r>
              <w:rPr/>
              <w:t xml:space="preserve">7 Transfer of Possession and Acceptance </w:t>
            </w:r>
          </w:p>
          <w:p>
            <w:pPr>
              <w:pStyle w:val="TableContents"/>
              <w:widowControl/>
              <w:bidi w:val="0"/>
              <w:spacing w:before="0" w:after="283"/>
              <w:rPr/>
            </w:pPr>
            <w:r>
              <w:rPr/>
              <w:t>7.1 Possession shall be transferred once the unit is ready for occupancy, safe access is available and the instalments due up to that point have been paid or duly tendered. The Seller may not withhold the keys on account of disputed amounts, amounts not yet due or amounts properly withheld.</w:t>
            </w:r>
          </w:p>
        </w:tc>
      </w:tr>
      <w:tr>
        <w:trPr>
          <w:cantSplit/>
        </w:trPr>
        <w:tc>
          <w:tcPr>
            <w:tcW w:w="7545" w:type="dxa"/>
            <w:tcBorders/>
            <w:vAlign w:val="center"/>
          </w:tcPr>
          <w:p>
            <w:pPr>
              <w:pStyle w:val="TableContents"/>
              <w:widowControl/>
              <w:bidi w:val="0"/>
              <w:spacing w:before="0" w:after="283"/>
              <w:rPr/>
            </w:pPr>
            <w:r>
              <w:rPr/>
              <w:t>7.2 Bezugsfertigkeit setzt voraus, dass die Wohnung sicher erreichbar, abschließbar, beheizbar, mit Wasser, Abwasser, Strom, Lüftung, Sanitäreinrichtungen und funktionsfähiger Zugangssicherung nutzbar ist und keine wesentlichen Gefahrenquellen bestehen. Restarbeiten am Gemeinschaftseigentum dürfen die Nutzung nicht unzumutbar beeinträchtigen.</w:t>
            </w:r>
          </w:p>
        </w:tc>
        <w:tc>
          <w:tcPr>
            <w:tcW w:w="7989" w:type="dxa"/>
            <w:tcBorders/>
            <w:vAlign w:val="center"/>
          </w:tcPr>
          <w:p>
            <w:pPr>
              <w:pStyle w:val="TableContents"/>
              <w:widowControl/>
              <w:bidi w:val="0"/>
              <w:spacing w:before="0" w:after="283"/>
              <w:rPr/>
            </w:pPr>
            <w:r>
              <w:rPr/>
              <w:t xml:space="preserve">7.2 Readiness for occupancy requires that the dwelling is safely accessible, lockable, heatable, usable with water, sewage, electricity, ventilation, sanitary facilities and functional access security and that there are no significant sources of danger. Any remaining work on the Common Property must not unreasonably impair the use. </w:t>
            </w:r>
          </w:p>
        </w:tc>
      </w:tr>
      <w:tr>
        <w:trPr>
          <w:cantSplit/>
        </w:trPr>
        <w:tc>
          <w:tcPr>
            <w:tcW w:w="7545" w:type="dxa"/>
            <w:tcBorders/>
            <w:vAlign w:val="center"/>
          </w:tcPr>
          <w:p>
            <w:pPr>
              <w:pStyle w:val="TableContents"/>
              <w:widowControl/>
              <w:bidi w:val="0"/>
              <w:spacing w:before="0" w:after="283"/>
              <w:rPr/>
            </w:pPr>
            <w:r>
              <w:rPr/>
              <w:t>7.3 Die Abnahme des Sondereigentums erfolgt durch die Käuferin persönlich oder durch eine von ihr frei gewählte bevollmächtigte Person. Die Verkäuferin lädt mindestens 14 Kalendertage vorher unter Beifügung der wesentlichen Unterlagen nach § 5.2 ein. Die Käuferin darf eine sachverständige Person hinzuziehen.</w:t>
            </w:r>
          </w:p>
        </w:tc>
        <w:tc>
          <w:tcPr>
            <w:tcW w:w="7989" w:type="dxa"/>
            <w:tcBorders/>
            <w:vAlign w:val="center"/>
          </w:tcPr>
          <w:p>
            <w:pPr>
              <w:pStyle w:val="TableContents"/>
              <w:widowControl/>
              <w:bidi w:val="0"/>
              <w:spacing w:before="0" w:after="283"/>
              <w:rPr/>
            </w:pPr>
            <w:r>
              <w:rPr/>
              <w:t>7.3 Acceptance of the Unit Property is carried out by the Buyer personally or by an authorised representative freely chosen by her. The Seller must give at least 14 calendar days' notice and attach the essential documents under section 5.2. The Buyer may be accompanied by an expert.</w:t>
            </w:r>
          </w:p>
        </w:tc>
      </w:tr>
      <w:tr>
        <w:trPr>
          <w:cantSplit/>
        </w:trPr>
        <w:tc>
          <w:tcPr>
            <w:tcW w:w="7545" w:type="dxa"/>
            <w:tcBorders/>
            <w:vAlign w:val="center"/>
          </w:tcPr>
          <w:p>
            <w:pPr>
              <w:pStyle w:val="TableContents"/>
              <w:widowControl/>
              <w:bidi w:val="0"/>
              <w:spacing w:before="0" w:after="283"/>
              <w:rPr/>
            </w:pPr>
            <w:r>
              <w:rPr/>
              <w:t>7.4 Die Abnahme des Gemeinschaftseigentums erfolgt ebenfalls durch die einzelnen Erwerber persönlich oder durch jeweils frei gewählte Vertreter. Eine Abnahme durch die Verkäuferin, eine mit ihr verbundene Person, die Erstverwalterin oder einen von der Verkäuferin einseitig benannten Sachverständigen mit bindender Wirkung für die Käuferin ist ausgeschlossen.</w:t>
            </w:r>
          </w:p>
        </w:tc>
        <w:tc>
          <w:tcPr>
            <w:tcW w:w="7989" w:type="dxa"/>
            <w:tcBorders/>
            <w:vAlign w:val="center"/>
          </w:tcPr>
          <w:p>
            <w:pPr>
              <w:pStyle w:val="TableContents"/>
              <w:widowControl/>
              <w:bidi w:val="0"/>
              <w:spacing w:before="0" w:after="283"/>
              <w:rPr/>
            </w:pPr>
            <w:r>
              <w:rPr/>
              <w:t>7.4 Acceptance of the Common Property is likewise carried out by each purchaser personally or by a representative freely chosen by that purchaser. Acceptance by the Seller, a person connected with the Seller, the initial property manager or an expert unilaterally appointed by the Seller cannot bind the Buyer.</w:t>
            </w:r>
          </w:p>
        </w:tc>
      </w:tr>
      <w:tr>
        <w:trPr>
          <w:cantSplit/>
        </w:trPr>
        <w:tc>
          <w:tcPr>
            <w:tcW w:w="7545" w:type="dxa"/>
            <w:tcBorders/>
            <w:vAlign w:val="center"/>
          </w:tcPr>
          <w:p>
            <w:pPr>
              <w:pStyle w:val="TableContents"/>
              <w:widowControl/>
              <w:bidi w:val="0"/>
              <w:spacing w:before="0" w:after="283"/>
              <w:rPr/>
            </w:pPr>
            <w:r>
              <w:rPr/>
              <w:t>7.5 Über jede Abnahme wird ein Protokoll erstellt. Mängel, Restarbeiten, fehlende Unterlagen, Fristen zur Beseitigung und Vorbehalte werden aufgenommen. Die Unterschrift unter das Protokoll bedeutet nur Abnahme, soweit die Käuferin dies ausdrücklich erklärt. Vorbehalte wegen Vertragsstrafe, Mängeln und fehlenden Unterlagen können im Protokoll erklärt werden.</w:t>
            </w:r>
          </w:p>
        </w:tc>
        <w:tc>
          <w:tcPr>
            <w:tcW w:w="7989" w:type="dxa"/>
            <w:tcBorders/>
            <w:vAlign w:val="center"/>
          </w:tcPr>
          <w:p>
            <w:pPr>
              <w:pStyle w:val="TableContents"/>
              <w:widowControl/>
              <w:bidi w:val="0"/>
              <w:spacing w:before="0" w:after="283"/>
              <w:rPr/>
            </w:pPr>
            <w:r>
              <w:rPr/>
              <w:t>7.5 A record must be made of each acceptance, listing defects, outstanding work, missing documents, rectification deadlines and reservations of rights. Signing the record constitutes acceptance only insofar as the Buyer expressly declares it. Reservations concerning contractual penalties, defects and missing documents may be recorded in it.</w:t>
            </w:r>
          </w:p>
        </w:tc>
      </w:tr>
      <w:tr>
        <w:trPr>
          <w:cantSplit/>
        </w:trPr>
        <w:tc>
          <w:tcPr>
            <w:tcW w:w="7545" w:type="dxa"/>
            <w:tcBorders/>
            <w:vAlign w:val="center"/>
          </w:tcPr>
          <w:p>
            <w:pPr>
              <w:pStyle w:val="TableContents"/>
              <w:widowControl/>
              <w:bidi w:val="0"/>
              <w:spacing w:before="0" w:after="283"/>
              <w:rPr/>
            </w:pPr>
            <w:r>
              <w:rPr/>
              <w:t>7.6 Verweigert die Käuferin die Abnahme unter Angabe mindestens eines Mangels, findet keine Abnahmefiktion statt. Bei Verbrauchern weist die Verkäuferin in einer etwaigen Aufforderung zur Abnahme in Textform klar auf die Rechtsfolgen einer nicht erklärten oder ohne Mangelangabe verweigerten Abnahme hin.</w:t>
            </w:r>
          </w:p>
        </w:tc>
        <w:tc>
          <w:tcPr>
            <w:tcW w:w="7989" w:type="dxa"/>
            <w:tcBorders/>
            <w:vAlign w:val="center"/>
          </w:tcPr>
          <w:p>
            <w:pPr>
              <w:pStyle w:val="TableContents"/>
              <w:widowControl/>
              <w:bidi w:val="0"/>
              <w:spacing w:before="0" w:after="283"/>
              <w:rPr/>
            </w:pPr>
            <w:r>
              <w:rPr/>
              <w:t>7.6 If the Buyer refuses acceptance and identifies at least one defect, no deemed acceptance takes place. For consumers, any request for acceptance issued by the Seller in text form must clearly explain the legal consequences of failing to declare acceptance or refusing acceptance without identifying a defect.</w:t>
            </w:r>
          </w:p>
        </w:tc>
      </w:tr>
      <w:tr>
        <w:trPr>
          <w:cantSplit/>
        </w:trPr>
        <w:tc>
          <w:tcPr>
            <w:tcW w:w="7545" w:type="dxa"/>
            <w:tcBorders/>
            <w:vAlign w:val="center"/>
          </w:tcPr>
          <w:p>
            <w:pPr>
              <w:pStyle w:val="Heading2"/>
              <w:keepNext/>
              <w:widowControl/>
              <w:bidi w:val="0"/>
              <w:spacing w:before="200" w:after="120"/>
              <w:ind w:hanging="0" w:start="0" w:end="0"/>
              <w:rPr/>
            </w:pPr>
            <w:bookmarkStart w:id="26" w:name="mängelrechte-verjährung-selbstvornahme"/>
            <w:bookmarkEnd w:id="26"/>
            <w:r>
              <w:rPr/>
              <w:t>8 Mängelrechte, Verjährung, Selbstvornahme</w:t>
            </w:r>
          </w:p>
          <w:p>
            <w:pPr>
              <w:pStyle w:val="TableContents"/>
              <w:widowControl/>
              <w:bidi w:val="0"/>
              <w:spacing w:before="0" w:after="283"/>
              <w:rPr/>
            </w:pPr>
            <w:r>
              <w:rPr/>
              <w:t>8.1 Für Mängel gelten die gesetzlichen Vorschriften des Werkvertragsrechts. Die Verjährungsfrist für Mängelansprüche wegen Bauwerksmängeln beträgt fünf Jahre ab wirksamer Abnahme des jeweiligen Leistungsbereichs, soweit gesetzlich keine längere Frist gilt.</w:t>
            </w:r>
          </w:p>
        </w:tc>
        <w:tc>
          <w:tcPr>
            <w:tcW w:w="7989" w:type="dxa"/>
            <w:tcBorders/>
            <w:vAlign w:val="center"/>
          </w:tcPr>
          <w:p>
            <w:pPr>
              <w:pStyle w:val="Heading2"/>
              <w:keepNext/>
              <w:widowControl/>
              <w:bidi w:val="0"/>
              <w:spacing w:before="200" w:after="120"/>
              <w:ind w:hanging="0" w:start="0" w:end="0"/>
              <w:rPr/>
            </w:pPr>
            <w:bookmarkStart w:id="27" w:name="rights-of-defects-statute-of-limitations"/>
            <w:bookmarkEnd w:id="27"/>
            <w:r>
              <w:rPr/>
              <w:t>8 Defect Rights, Limitation Periods and Rectification by the Buyer</w:t>
            </w:r>
          </w:p>
          <w:p>
            <w:pPr>
              <w:pStyle w:val="TableContents"/>
              <w:widowControl/>
              <w:bidi w:val="0"/>
              <w:spacing w:before="0" w:after="283"/>
              <w:rPr/>
            </w:pPr>
            <w:r>
              <w:rPr/>
              <w:t>8.1 Defects are governed by the statutory provisions on contracts for work. Claims for defects in the building are subject to a limitation period of five years from valid acceptance of the relevant part of the work, unless a longer statutory period applies.</w:t>
            </w:r>
          </w:p>
        </w:tc>
      </w:tr>
      <w:tr>
        <w:trPr>
          <w:cantSplit/>
        </w:trPr>
        <w:tc>
          <w:tcPr>
            <w:tcW w:w="7545" w:type="dxa"/>
            <w:tcBorders/>
            <w:vAlign w:val="center"/>
          </w:tcPr>
          <w:p>
            <w:pPr>
              <w:pStyle w:val="TableContents"/>
              <w:widowControl/>
              <w:bidi w:val="0"/>
              <w:spacing w:before="0" w:after="283"/>
              <w:rPr/>
            </w:pPr>
            <w:r>
              <w:rPr/>
              <w:t>8.2 Mängel sollen der Verkäuferin in Textform angezeigt werden. Die Anzeige ist keine Voraussetzung für das Bestehen der gesetzlichen Mängelrechte. Die Käuferin setzt der Verkäuferin grundsätzlich eine angemessene Frist zur Nacherfüllung; bei Gefahr, ernsthafter und endgültiger Verweigerung, besonderer Dringlichkeit oder Fehlschlagen der Nacherfüllung gelten die gesetzlichen Ausnahmen.</w:t>
            </w:r>
          </w:p>
        </w:tc>
        <w:tc>
          <w:tcPr>
            <w:tcW w:w="7989" w:type="dxa"/>
            <w:tcBorders/>
            <w:vAlign w:val="center"/>
          </w:tcPr>
          <w:p>
            <w:pPr>
              <w:pStyle w:val="TableContents"/>
              <w:widowControl/>
              <w:bidi w:val="0"/>
              <w:spacing w:before="0" w:after="283"/>
              <w:rPr/>
            </w:pPr>
            <w:r>
              <w:rPr/>
              <w:t>8.2 Defects should be notified to the Seller in text form. Notification is not a condition for the existence of statutory defect rights. The Buyer must generally allow the Seller a reasonable period for remedial performance; the statutory exceptions apply in cases of danger, serious and final refusal, particular urgency or failed remedial performance.</w:t>
            </w:r>
          </w:p>
        </w:tc>
      </w:tr>
      <w:tr>
        <w:trPr>
          <w:cantSplit/>
        </w:trPr>
        <w:tc>
          <w:tcPr>
            <w:tcW w:w="7545" w:type="dxa"/>
            <w:tcBorders/>
            <w:vAlign w:val="center"/>
          </w:tcPr>
          <w:p>
            <w:pPr>
              <w:pStyle w:val="TableContents"/>
              <w:widowControl/>
              <w:bidi w:val="0"/>
              <w:spacing w:before="0" w:after="283"/>
              <w:rPr/>
            </w:pPr>
            <w:r>
              <w:rPr/>
              <w:t>8.3 Die Käuferin kann nach fruchtlosem Ablauf einer angemessenen Frist die gesetzlichen Rechte geltend machen, insbesondere Nacherfüllung, Selbstvornahme mit Aufwendungsersatz, Minderung, Rücktritt, Schadensersatz und Vorschuss, soweit die jeweiligen gesetzlichen Voraussetzungen vorliegen.</w:t>
            </w:r>
          </w:p>
        </w:tc>
        <w:tc>
          <w:tcPr>
            <w:tcW w:w="7989" w:type="dxa"/>
            <w:tcBorders/>
            <w:vAlign w:val="center"/>
          </w:tcPr>
          <w:p>
            <w:pPr>
              <w:pStyle w:val="TableContents"/>
              <w:widowControl/>
              <w:bidi w:val="0"/>
              <w:spacing w:before="0" w:after="283"/>
              <w:rPr/>
            </w:pPr>
            <w:r>
              <w:rPr/>
              <w:t>8.3 After a reasonable period has expired without successful remedy, the Buyer may assert the statutory remedies, including remedial performance, rectification by herself or another contractor with reimbursement of costs, price reduction, rescission, damages and an advance on rectification costs, provided the respective statutory conditions are met.</w:t>
            </w:r>
          </w:p>
        </w:tc>
      </w:tr>
      <w:tr>
        <w:trPr>
          <w:cantSplit/>
        </w:trPr>
        <w:tc>
          <w:tcPr>
            <w:tcW w:w="7545" w:type="dxa"/>
            <w:tcBorders/>
            <w:vAlign w:val="center"/>
          </w:tcPr>
          <w:p>
            <w:pPr>
              <w:pStyle w:val="TableContents"/>
              <w:widowControl/>
              <w:bidi w:val="0"/>
              <w:spacing w:before="0" w:after="283"/>
              <w:rPr/>
            </w:pPr>
            <w:r>
              <w:rPr/>
              <w:t>8.4 Rechte wegen arglistig verschwiegener Mängel, Organisationsverschulden, Beschaffenheitsgarantie, Vorsatz, grober Fahrlässigkeit sowie Verletzung von Leben, Körper oder Gesundheit bleiben unberührt.</w:t>
            </w:r>
          </w:p>
        </w:tc>
        <w:tc>
          <w:tcPr>
            <w:tcW w:w="7989" w:type="dxa"/>
            <w:tcBorders/>
            <w:vAlign w:val="center"/>
          </w:tcPr>
          <w:p>
            <w:pPr>
              <w:pStyle w:val="TableContents"/>
              <w:widowControl/>
              <w:bidi w:val="0"/>
              <w:spacing w:before="0" w:after="283"/>
              <w:rPr/>
            </w:pPr>
            <w:r>
              <w:rPr/>
              <w:t xml:space="preserve">8.4 Rights due to fraudulently concealed defects, organizational fault, quality guarantee, intent, gross negligence as well as injury to life, body or health remain unaffected. </w:t>
            </w:r>
          </w:p>
        </w:tc>
      </w:tr>
      <w:tr>
        <w:trPr>
          <w:cantSplit/>
        </w:trPr>
        <w:tc>
          <w:tcPr>
            <w:tcW w:w="7545" w:type="dxa"/>
            <w:tcBorders/>
            <w:vAlign w:val="center"/>
          </w:tcPr>
          <w:p>
            <w:pPr>
              <w:pStyle w:val="TableContents"/>
              <w:widowControl/>
              <w:bidi w:val="0"/>
              <w:spacing w:before="0" w:after="283"/>
              <w:rPr/>
            </w:pPr>
            <w:r>
              <w:rPr/>
              <w:t>8.5 Die Gemeinschaft der Wohnungseigentümer übt nach § 9a Abs. 2 WEG die sich aus dem gemeinschaftlichen Eigentum ergebenden Rechte sowie solche Rechte der Wohnungseigentümer aus, die eine einheitliche Rechtsverfolgung erfordern. Die individuellen Abnahme- und Vorbehaltsrechte der Käuferin werden dadurch nicht ausgeschlossen.</w:t>
            </w:r>
          </w:p>
        </w:tc>
        <w:tc>
          <w:tcPr>
            <w:tcW w:w="7989" w:type="dxa"/>
            <w:tcBorders/>
            <w:vAlign w:val="center"/>
          </w:tcPr>
          <w:p>
            <w:pPr>
              <w:pStyle w:val="TableContents"/>
              <w:widowControl/>
              <w:bidi w:val="0"/>
              <w:spacing w:before="0" w:after="283"/>
              <w:rPr/>
            </w:pPr>
            <w:r>
              <w:rPr/>
              <w:t>8.5 Pursuant to section 9a(2) WEG, the Community of Unit Owners exercises the rights arising from the Common Property and those unit owners’ rights that require uniform enforcement. This does not exclude the Buyer’s individual rights concerning acceptance or reservations of rights.</w:t>
            </w:r>
          </w:p>
        </w:tc>
      </w:tr>
      <w:tr>
        <w:trPr>
          <w:cantSplit/>
        </w:trPr>
        <w:tc>
          <w:tcPr>
            <w:tcW w:w="7545" w:type="dxa"/>
            <w:tcBorders/>
            <w:vAlign w:val="center"/>
          </w:tcPr>
          <w:p>
            <w:pPr>
              <w:pStyle w:val="Heading2"/>
              <w:keepNext/>
              <w:widowControl/>
              <w:bidi w:val="0"/>
              <w:spacing w:before="200" w:after="120"/>
              <w:ind w:hanging="0" w:start="0" w:end="0"/>
              <w:rPr/>
            </w:pPr>
            <w:bookmarkStart w:id="28" w:name="teilungserklärung-gemeinschaft-verwaltun"/>
            <w:bookmarkEnd w:id="28"/>
            <w:r>
              <w:rPr/>
              <w:t>9 Teilungserklärung, Gemeinschaft, Verwaltung</w:t>
            </w:r>
          </w:p>
          <w:p>
            <w:pPr>
              <w:pStyle w:val="TableContents"/>
              <w:widowControl/>
              <w:bidi w:val="0"/>
              <w:spacing w:before="0" w:after="283"/>
              <w:rPr/>
            </w:pPr>
            <w:r>
              <w:rPr/>
              <w:t>9.1 Die Käuferin tritt mit Eigentumsumschreibung in die Gemeinschaftsordnung ein. Die Verkäuferin versichert, dass die Gemeinschaftsordnung keine von der Käuferin nicht erkennbare Kostenlast für fremde Sondernutzungsbereiche begründet und keine Instandhaltungspflichten am tragenden oder sicherheitsrelevanten Gemeinschaftseigentum auf einzelne Eigentümer verlagert.</w:t>
            </w:r>
          </w:p>
        </w:tc>
        <w:tc>
          <w:tcPr>
            <w:tcW w:w="7989" w:type="dxa"/>
            <w:tcBorders/>
            <w:vAlign w:val="center"/>
          </w:tcPr>
          <w:p>
            <w:pPr>
              <w:pStyle w:val="Heading2"/>
              <w:keepNext/>
              <w:widowControl/>
              <w:bidi w:val="0"/>
              <w:spacing w:before="200" w:after="120"/>
              <w:ind w:hanging="0" w:start="0" w:end="0"/>
              <w:rPr/>
            </w:pPr>
            <w:bookmarkStart w:id="29" w:name="declaration-of-division-community-admini"/>
            <w:bookmarkEnd w:id="29"/>
            <w:r>
              <w:rPr/>
              <w:t xml:space="preserve">9 Declaration of division, Community, administration </w:t>
            </w:r>
          </w:p>
          <w:p>
            <w:pPr>
              <w:pStyle w:val="TableContents"/>
              <w:widowControl/>
              <w:bidi w:val="0"/>
              <w:spacing w:before="0" w:after="283"/>
              <w:rPr/>
            </w:pPr>
            <w:r>
              <w:rPr/>
              <w:t xml:space="preserve">9.1 The Buyer enters the Community Rules with registration of title. The Seller assures that the community regulations do not create any cost burden for third-party special use areas that cannot be seen by the Buyer and do not shift any maintenance obligations on the load-bearing or safety-relevant Common Property to individual owners. </w:t>
            </w:r>
          </w:p>
        </w:tc>
      </w:tr>
      <w:tr>
        <w:trPr>
          <w:cantSplit/>
        </w:trPr>
        <w:tc>
          <w:tcPr>
            <w:tcW w:w="7545" w:type="dxa"/>
            <w:tcBorders/>
            <w:vAlign w:val="center"/>
          </w:tcPr>
          <w:p>
            <w:pPr>
              <w:pStyle w:val="TableContents"/>
              <w:widowControl/>
              <w:bidi w:val="0"/>
              <w:spacing w:before="0" w:after="283"/>
              <w:rPr/>
            </w:pPr>
            <w:r>
              <w:rPr/>
              <w:t>9.2 Änderungen der Teilungserklärung nach Beurkundung sind nur zulässig, soweit sie zur Durchführung des Vollzugs, zur Beseitigung von Vollzugshindernissen oder zur Anpassung an öffentlich-rechtliche Anforderungen erforderlich sind und Lage, Zuschnitt, Größe, Wert, Gebrauchstauglichkeit, Kostenlast und Stimmrechte der Käuferin nicht nachteilig berühren. Änderungen mit nachteiliger Wirkung bedürfen der Zustimmung der Käuferin.</w:t>
            </w:r>
          </w:p>
        </w:tc>
        <w:tc>
          <w:tcPr>
            <w:tcW w:w="7989" w:type="dxa"/>
            <w:tcBorders/>
            <w:vAlign w:val="center"/>
          </w:tcPr>
          <w:p>
            <w:pPr>
              <w:pStyle w:val="TableContents"/>
              <w:widowControl/>
              <w:bidi w:val="0"/>
              <w:spacing w:before="0" w:after="283"/>
              <w:rPr/>
            </w:pPr>
            <w:r>
              <w:rPr/>
              <w:t>9.2 Changes to the Declaration of Division after notarisation are permissible only insofar as necessary to complete the transaction, remove obstacles to completion or comply with public-law requirements, and only if they do not adversely affect the location, layout, size, value or usability of the Buyer's property, her cost burden or her voting rights. Changes with adverse effects require the Buyer's consent.</w:t>
            </w:r>
          </w:p>
        </w:tc>
      </w:tr>
      <w:tr>
        <w:trPr>
          <w:cantSplit/>
        </w:trPr>
        <w:tc>
          <w:tcPr>
            <w:tcW w:w="7545" w:type="dxa"/>
            <w:tcBorders/>
            <w:vAlign w:val="center"/>
          </w:tcPr>
          <w:p>
            <w:pPr>
              <w:pStyle w:val="TableContents"/>
              <w:widowControl/>
              <w:bidi w:val="0"/>
              <w:spacing w:before="0" w:after="283"/>
              <w:rPr/>
            </w:pPr>
            <w:r>
              <w:rPr/>
              <w:t>9.3 Die Erstverwaltung wird für höchstens zwei Jahre bestellt. Der Verwaltervertrag darf marktübliche Vergütung und Laufzeit nicht überschreiten und muss eine ordentliche Kündigungsmöglichkeit der Gemeinschaft nach Ablauf des ersten Verwaltungsjahres vorsehen.</w:t>
            </w:r>
          </w:p>
        </w:tc>
        <w:tc>
          <w:tcPr>
            <w:tcW w:w="7989" w:type="dxa"/>
            <w:tcBorders/>
            <w:vAlign w:val="center"/>
          </w:tcPr>
          <w:p>
            <w:pPr>
              <w:pStyle w:val="TableContents"/>
              <w:widowControl/>
              <w:bidi w:val="0"/>
              <w:spacing w:before="0" w:after="283"/>
              <w:rPr/>
            </w:pPr>
            <w:r>
              <w:rPr/>
              <w:t>9.3 The initial property manager is appointed for no more than two years. The management agreement must not exceed customary market remuneration or duration and must allow the Community to terminate it by ordinary notice after the first year of management.</w:t>
            </w:r>
          </w:p>
        </w:tc>
      </w:tr>
      <w:tr>
        <w:trPr>
          <w:cantSplit/>
        </w:trPr>
        <w:tc>
          <w:tcPr>
            <w:tcW w:w="7545" w:type="dxa"/>
            <w:tcBorders/>
            <w:vAlign w:val="center"/>
          </w:tcPr>
          <w:p>
            <w:pPr>
              <w:pStyle w:val="TableContents"/>
              <w:widowControl/>
              <w:bidi w:val="0"/>
              <w:spacing w:before="0" w:after="283"/>
              <w:rPr/>
            </w:pPr>
            <w:r>
              <w:rPr/>
              <w:t>9.4 Die Verkäuferin übergibt der Gemeinschaft die für Betrieb, Wartung und Verwaltung erforderliche geordnete Projektdokumentation spätestens mit Fertigstellung des jeweiligen gemeinschaftlichen Anlagenteils, keinesfalls später als bei dessen Besitzübergabe. Sie umfasst Wartungsverträge, Gewährleistungsübersicht, Prüfprotokolle, Revisionsunterlagen und Kontaktdaten der ausführenden Unternehmen; frühere Herausgabezeitpunkte nach § 5.2 bleiben unberührt.</w:t>
            </w:r>
          </w:p>
        </w:tc>
        <w:tc>
          <w:tcPr>
            <w:tcW w:w="7989" w:type="dxa"/>
            <w:tcBorders/>
            <w:vAlign w:val="center"/>
          </w:tcPr>
          <w:p>
            <w:pPr>
              <w:pStyle w:val="TableContents"/>
              <w:widowControl/>
              <w:bidi w:val="0"/>
              <w:spacing w:before="0" w:after="283"/>
              <w:rPr/>
            </w:pPr>
            <w:r>
              <w:rPr/>
              <w:t>9.4 The Seller shall provide the Community of Unit Owners with the organised project documentation required for operation, maintenance and management no later than completion of the relevant part of the Common Property and in no event later than transfer of possession thereof. This includes maintenance agreements, a warranty schedule, inspection records, as-built documentation and contact details of the contractors; any earlier delivery dates under section 5.2 remain unaffected.</w:t>
            </w:r>
          </w:p>
        </w:tc>
      </w:tr>
      <w:tr>
        <w:trPr>
          <w:cantSplit/>
        </w:trPr>
        <w:tc>
          <w:tcPr>
            <w:tcW w:w="7545" w:type="dxa"/>
            <w:tcBorders/>
            <w:vAlign w:val="center"/>
          </w:tcPr>
          <w:p>
            <w:pPr>
              <w:pStyle w:val="Heading2"/>
              <w:keepNext/>
              <w:widowControl/>
              <w:bidi w:val="0"/>
              <w:spacing w:before="200" w:after="120"/>
              <w:ind w:hanging="0" w:start="0" w:end="0"/>
              <w:rPr/>
            </w:pPr>
            <w:bookmarkStart w:id="30" w:name="eigentumssicherung-vormerkung-lastenfrei"/>
            <w:bookmarkEnd w:id="30"/>
            <w:r>
              <w:rPr/>
              <w:t>10 Eigentumssicherung, Vormerkung, Lastenfreistellung, Auflassung</w:t>
            </w:r>
          </w:p>
          <w:p>
            <w:pPr>
              <w:pStyle w:val="TableContents"/>
              <w:widowControl/>
              <w:bidi w:val="0"/>
              <w:spacing w:before="0" w:after="283"/>
              <w:rPr/>
            </w:pPr>
            <w:r>
              <w:rPr/>
              <w:t>10.1 Zur Sicherung des Anspruchs der Käuferin auf Eigentumsverschaffung bewilligt und beantragt die Verkäuferin die Eintragung einer Auflassungsvormerkung im Grundbuch zugunsten der Käuferin.</w:t>
            </w:r>
          </w:p>
        </w:tc>
        <w:tc>
          <w:tcPr>
            <w:tcW w:w="7989" w:type="dxa"/>
            <w:tcBorders/>
            <w:vAlign w:val="center"/>
          </w:tcPr>
          <w:p>
            <w:pPr>
              <w:pStyle w:val="Heading2"/>
              <w:keepNext/>
              <w:widowControl/>
              <w:bidi w:val="0"/>
              <w:spacing w:before="200" w:after="120"/>
              <w:ind w:hanging="0" w:start="0" w:end="0"/>
              <w:rPr/>
            </w:pPr>
            <w:bookmarkStart w:id="31" w:name="protection-of-title-priority-notice-of-c"/>
            <w:bookmarkEnd w:id="31"/>
            <w:r>
              <w:rPr/>
              <w:t xml:space="preserve">10 Protection of Title, Priority Notice of Conveyance, Release from Encumbrances and Conveyance </w:t>
            </w:r>
          </w:p>
          <w:p>
            <w:pPr>
              <w:pStyle w:val="TableContents"/>
              <w:widowControl/>
              <w:bidi w:val="0"/>
              <w:spacing w:before="0" w:after="283"/>
              <w:rPr/>
            </w:pPr>
            <w:r>
              <w:rPr/>
              <w:t>10.1 To secure the Buyer’s claim to transfer of title, the Seller consents to and applies for registration of a priority notice of conveyance in favour of the Buyer in the Land Register.</w:t>
            </w:r>
          </w:p>
        </w:tc>
      </w:tr>
      <w:tr>
        <w:trPr>
          <w:cantSplit/>
        </w:trPr>
        <w:tc>
          <w:tcPr>
            <w:tcW w:w="7545" w:type="dxa"/>
            <w:tcBorders/>
            <w:vAlign w:val="center"/>
          </w:tcPr>
          <w:p>
            <w:pPr>
              <w:pStyle w:val="TableContents"/>
              <w:widowControl/>
              <w:bidi w:val="0"/>
              <w:spacing w:before="0" w:after="283"/>
              <w:rPr/>
            </w:pPr>
            <w:r>
              <w:rPr/>
              <w:t>10.2 Die Vormerkung darf nur gelöscht werden, wenn entweder die Eigentumsumschreibung auf die Käuferin vollzogen ist oder die Käuferin in öffentlich beglaubigter Form zustimmt oder eine rechtskräftige Entscheidung die Löschung erlaubt. Eine Löschung allein aufgrund einseitiger Mitteilung der Verkäuferin ist ausgeschlossen.</w:t>
            </w:r>
          </w:p>
        </w:tc>
        <w:tc>
          <w:tcPr>
            <w:tcW w:w="7989" w:type="dxa"/>
            <w:tcBorders/>
            <w:vAlign w:val="center"/>
          </w:tcPr>
          <w:p>
            <w:pPr>
              <w:pStyle w:val="TableContents"/>
              <w:widowControl/>
              <w:bidi w:val="0"/>
              <w:spacing w:before="0" w:after="283"/>
              <w:rPr/>
            </w:pPr>
            <w:r>
              <w:rPr/>
              <w:t>10.2 The priority notice of conveyance may be cancelled only once title has been registered in the Buyer's name, or with the Buyer's consent in officially certified form, or on the basis of a final court decision permitting cancellation. Cancellation solely on the Seller's unilateral notification is excluded.</w:t>
            </w:r>
          </w:p>
        </w:tc>
      </w:tr>
      <w:tr>
        <w:trPr>
          <w:cantSplit/>
        </w:trPr>
        <w:tc>
          <w:tcPr>
            <w:tcW w:w="7545" w:type="dxa"/>
            <w:tcBorders/>
            <w:vAlign w:val="center"/>
          </w:tcPr>
          <w:p>
            <w:pPr>
              <w:pStyle w:val="TableContents"/>
              <w:widowControl/>
              <w:bidi w:val="0"/>
              <w:spacing w:before="0" w:after="283"/>
              <w:rPr/>
            </w:pPr>
            <w:r>
              <w:rPr/>
              <w:t>10.3 Die Verkäuferin verpflichtet sich, die Lastenfreistellung des Kaufgegenstands von der Globalgrundschuld zu bewirken, soweit diese nicht der Finanzierung der Käuferin dient. Die der Käuferin vor der ersten Rate auszuhändigende Freistellungserklärung muss gewährleisten, dass bei Vollendung des Bauvorhabens die nicht zu übernehmenden Grundpfandrechte unverzüglich nach Zahlung der geschuldeten Vertragssumme gelöscht werden. Für den Fall der Nichtvollendung muss sie die Löschung nach Zahlung des dem erreichten Bautenstand entsprechenden Vertragsteils oder die nach § 3 Abs. 1 Sätze 2 und 3 MaBV zulässige Rückzahlungslösung sichern.</w:t>
            </w:r>
          </w:p>
        </w:tc>
        <w:tc>
          <w:tcPr>
            <w:tcW w:w="7989" w:type="dxa"/>
            <w:tcBorders/>
            <w:vAlign w:val="center"/>
          </w:tcPr>
          <w:p>
            <w:pPr>
              <w:pStyle w:val="TableContents"/>
              <w:widowControl/>
              <w:bidi w:val="0"/>
              <w:spacing w:before="0" w:after="283"/>
              <w:rPr/>
            </w:pPr>
            <w:r>
              <w:rPr/>
              <w:t>10.3 The Seller shall procure release of the Purchased Property from the global land charge to the extent that it does not secure the Buyer’s financing. The release undertaking to be delivered to the Buyer before the first instalment must ensure that, if the development is completed, all land charges not to be assumed are deleted without delay after payment of the contract sum owed. If the development is not completed, it must secure deletion upon payment of the portion of the contract sum corresponding to the stage of construction reached or the repayment arrangement permitted by section 3(1), sentences 2 and 3 MaBV.</w:t>
            </w:r>
          </w:p>
        </w:tc>
      </w:tr>
      <w:tr>
        <w:trPr>
          <w:cantSplit/>
        </w:trPr>
        <w:tc>
          <w:tcPr>
            <w:tcW w:w="7545" w:type="dxa"/>
            <w:tcBorders/>
            <w:vAlign w:val="center"/>
          </w:tcPr>
          <w:p>
            <w:pPr>
              <w:pStyle w:val="TableContents"/>
              <w:widowControl/>
              <w:bidi w:val="0"/>
              <w:spacing w:before="0" w:after="283"/>
              <w:rPr/>
            </w:pPr>
            <w:r>
              <w:rPr/>
              <w:t>10.4 Die Parteien sind über den Eigentumsübergang einig. Sie bewilligen und beantragen die Eigentumsumschreibung auf die Käuferin. Die Notarin wird angewiesen, die Eigentumsumschreibung erst zu beantragen, wenn der Kaufpreis fällig und gezahlt oder hinsichtlich streitiger Restbeträge berechtigt hinterlegt oder gesichert ist, die steuerliche Unbedenklichkeitsbescheinigung vorliegt und die Lastenfreistellung gesichert ist.</w:t>
            </w:r>
          </w:p>
        </w:tc>
        <w:tc>
          <w:tcPr>
            <w:tcW w:w="7989" w:type="dxa"/>
            <w:tcBorders/>
            <w:vAlign w:val="center"/>
          </w:tcPr>
          <w:p>
            <w:pPr>
              <w:pStyle w:val="TableContents"/>
              <w:widowControl/>
              <w:bidi w:val="0"/>
              <w:spacing w:before="0" w:after="283"/>
              <w:rPr/>
            </w:pPr>
            <w:r>
              <w:rPr/>
              <w:t>10.4 The parties agree to the transfer of title and consent to and apply for registration of the Buyer as owner. The Notary is instructed not to apply for registration of title until the Purchase Price has become due and has been paid, or any disputed balance has properly been deposited or secured, the tax clearance certificate is available and release from encumbrances is secured.</w:t>
            </w:r>
          </w:p>
        </w:tc>
      </w:tr>
      <w:tr>
        <w:trPr>
          <w:cantSplit/>
        </w:trPr>
        <w:tc>
          <w:tcPr>
            <w:tcW w:w="7545" w:type="dxa"/>
            <w:tcBorders/>
            <w:vAlign w:val="center"/>
          </w:tcPr>
          <w:p>
            <w:pPr>
              <w:pStyle w:val="Heading2"/>
              <w:keepNext/>
              <w:widowControl/>
              <w:bidi w:val="0"/>
              <w:spacing w:before="200" w:after="120"/>
              <w:ind w:hanging="0" w:start="0" w:end="0"/>
              <w:rPr/>
            </w:pPr>
            <w:bookmarkStart w:id="32" w:name="rücktritt-rückabwicklung-insolvenzrisiko"/>
            <w:bookmarkEnd w:id="32"/>
            <w:r>
              <w:rPr/>
              <w:t>11 Rücktritt, Rückabwicklung, Insolvenzrisiko</w:t>
            </w:r>
          </w:p>
          <w:p>
            <w:pPr>
              <w:pStyle w:val="TableContents"/>
              <w:widowControl/>
              <w:bidi w:val="0"/>
              <w:spacing w:before="0" w:after="283"/>
              <w:rPr/>
            </w:pPr>
            <w:r>
              <w:rPr/>
              <w:t>11.1 Rücktrittsrechte richten sich nach dem Gesetz. Die Verkäuferin darf wegen Zahlungsverzugs erst zurücktreten, wenn eine fällige, unstreitige und nicht berechtigt zurückbehaltene Rate trotz schriftlicher Mahnung und angemessener Nachfrist nicht gezahlt wird.</w:t>
            </w:r>
          </w:p>
        </w:tc>
        <w:tc>
          <w:tcPr>
            <w:tcW w:w="7989" w:type="dxa"/>
            <w:tcBorders/>
            <w:vAlign w:val="center"/>
          </w:tcPr>
          <w:p>
            <w:pPr>
              <w:pStyle w:val="Heading2"/>
              <w:keepNext/>
              <w:widowControl/>
              <w:bidi w:val="0"/>
              <w:spacing w:before="200" w:after="120"/>
              <w:ind w:hanging="0" w:start="0" w:end="0"/>
              <w:rPr/>
            </w:pPr>
            <w:bookmarkStart w:id="33" w:name="cancellation-reversal-insolvency-risk"/>
            <w:bookmarkEnd w:id="33"/>
            <w:r>
              <w:rPr/>
              <w:t>11 Rescission, Unwinding and Insolvency Risk</w:t>
            </w:r>
          </w:p>
          <w:p>
            <w:pPr>
              <w:pStyle w:val="TableContents"/>
              <w:widowControl/>
              <w:bidi w:val="0"/>
              <w:spacing w:before="0" w:after="283"/>
              <w:rPr/>
            </w:pPr>
            <w:r>
              <w:rPr/>
              <w:t>11.1 Rights of rescission are governed by statute. The Seller may rescind for late payment only if an instalment that is due, undisputed and not lawfully withheld remains unpaid despite a written reminder and a reasonable additional period for payment.</w:t>
            </w:r>
          </w:p>
        </w:tc>
      </w:tr>
      <w:tr>
        <w:trPr>
          <w:cantSplit/>
        </w:trPr>
        <w:tc>
          <w:tcPr>
            <w:tcW w:w="7545" w:type="dxa"/>
            <w:tcBorders/>
            <w:vAlign w:val="center"/>
          </w:tcPr>
          <w:p>
            <w:pPr>
              <w:pStyle w:val="TableContents"/>
              <w:widowControl/>
              <w:bidi w:val="0"/>
              <w:spacing w:before="0" w:after="283"/>
              <w:rPr/>
            </w:pPr>
            <w:r>
              <w:rPr/>
              <w:t>11.2 Im Fall der Rückabwicklung sind empfangene Leistungen Zug um Zug zurückzugewähren. Eine Löschung der Vormerkung erfolgt erst nach Rückzahlung der von der Käuferin geleisteten Beträge oder nach gesicherter Hinterlegung, soweit nicht eine rechtskräftige Entscheidung etwas anderes bestimmt.</w:t>
            </w:r>
          </w:p>
        </w:tc>
        <w:tc>
          <w:tcPr>
            <w:tcW w:w="7989" w:type="dxa"/>
            <w:tcBorders/>
            <w:vAlign w:val="center"/>
          </w:tcPr>
          <w:p>
            <w:pPr>
              <w:pStyle w:val="TableContents"/>
              <w:widowControl/>
              <w:bidi w:val="0"/>
              <w:spacing w:before="0" w:after="283"/>
              <w:rPr/>
            </w:pPr>
            <w:r>
              <w:rPr/>
              <w:t>11.2 If the transaction is unwound, the performances received must be returned concurrently. The priority notice of conveyance may be cancelled only after repayment of the amounts paid by the Buyer or after a secured deposit, unless a final court decision provides otherwise.</w:t>
            </w:r>
          </w:p>
        </w:tc>
      </w:tr>
      <w:tr>
        <w:trPr>
          <w:cantSplit/>
        </w:trPr>
        <w:tc>
          <w:tcPr>
            <w:tcW w:w="7545" w:type="dxa"/>
            <w:tcBorders/>
            <w:vAlign w:val="center"/>
          </w:tcPr>
          <w:p>
            <w:pPr>
              <w:pStyle w:val="TableContents"/>
              <w:widowControl/>
              <w:bidi w:val="0"/>
              <w:spacing w:before="0" w:after="283"/>
              <w:rPr/>
            </w:pPr>
            <w:r>
              <w:rPr/>
              <w:t>11.3 Wird nach Vertragsschluss erkennbar, dass der Anspruch der vorleistungspflichtigen Käuferin auf die Gegenleistung durch mangelnde Leistungsfähigkeit der Verkäuferin gefährdet wird, kann die Käuferin ihre Leistung nach § 321 BGB verweigern, bis die Gegenleistung bewirkt oder hierfür Sicherheit geleistet wird. Bloße Gerüchte oder allgemeine Marktlagen genügen nicht. Gesetzliche Rechte im Insolvenzfall bleiben unberührt.</w:t>
            </w:r>
          </w:p>
        </w:tc>
        <w:tc>
          <w:tcPr>
            <w:tcW w:w="7989" w:type="dxa"/>
            <w:tcBorders/>
            <w:vAlign w:val="center"/>
          </w:tcPr>
          <w:p>
            <w:pPr>
              <w:pStyle w:val="TableContents"/>
              <w:widowControl/>
              <w:bidi w:val="0"/>
              <w:spacing w:before="0" w:after="283"/>
              <w:rPr/>
            </w:pPr>
            <w:r>
              <w:rPr/>
              <w:t>11.3 If, after conclusion of the contract, it becomes apparent that the Buyer's claim to counter-performance is endangered by the Seller's inability to perform, the Buyer, although required to perform first, may withhold her performance under section 321 BGB until counter-performance has been rendered or secured. Mere rumours or general market conditions are insufficient. Statutory rights in insolvency remain unaffected.</w:t>
            </w:r>
          </w:p>
        </w:tc>
      </w:tr>
      <w:tr>
        <w:trPr>
          <w:cantSplit/>
        </w:trPr>
        <w:tc>
          <w:tcPr>
            <w:tcW w:w="7545" w:type="dxa"/>
            <w:tcBorders/>
            <w:vAlign w:val="center"/>
          </w:tcPr>
          <w:p>
            <w:pPr>
              <w:pStyle w:val="Heading2"/>
              <w:keepNext/>
              <w:widowControl/>
              <w:bidi w:val="0"/>
              <w:spacing w:before="200" w:after="120"/>
              <w:ind w:hanging="0" w:start="0" w:end="0"/>
              <w:rPr/>
            </w:pPr>
            <w:bookmarkStart w:id="34" w:name="datenschutz-kommunikation-zustellungen"/>
            <w:bookmarkEnd w:id="34"/>
            <w:r>
              <w:rPr/>
              <w:t>12 Datenschutz, Kommunikation, Zustellungen</w:t>
            </w:r>
          </w:p>
          <w:p>
            <w:pPr>
              <w:pStyle w:val="TableContents"/>
              <w:widowControl/>
              <w:bidi w:val="0"/>
              <w:spacing w:before="0" w:after="283"/>
              <w:rPr/>
            </w:pPr>
            <w:r>
              <w:rPr/>
              <w:t>12.1 Die Parteien kommunizieren während der Bauzeit ergänzend in Textform über die in dieser Urkunde angegebenen Adressen und E-Mail-Adressen. Rechtlich formbedürftige Erklärungen bleiben der gesetzlich vorgeschriebenen Form vorbehalten.</w:t>
            </w:r>
          </w:p>
        </w:tc>
        <w:tc>
          <w:tcPr>
            <w:tcW w:w="7989" w:type="dxa"/>
            <w:tcBorders/>
            <w:vAlign w:val="center"/>
          </w:tcPr>
          <w:p>
            <w:pPr>
              <w:pStyle w:val="Heading2"/>
              <w:keepNext/>
              <w:widowControl/>
              <w:bidi w:val="0"/>
              <w:spacing w:before="200" w:after="120"/>
              <w:ind w:hanging="0" w:start="0" w:end="0"/>
              <w:rPr/>
            </w:pPr>
            <w:bookmarkStart w:id="35" w:name="data-protection-communication-service"/>
            <w:bookmarkEnd w:id="35"/>
            <w:r>
              <w:rPr/>
              <w:t xml:space="preserve">12 Data protection, communication, service </w:t>
            </w:r>
          </w:p>
          <w:p>
            <w:pPr>
              <w:pStyle w:val="TableContents"/>
              <w:widowControl/>
              <w:bidi w:val="0"/>
              <w:spacing w:before="0" w:after="283"/>
              <w:rPr/>
            </w:pPr>
            <w:r>
              <w:rPr/>
              <w:t>12.1 During construction, the parties additionally communicate in text form using the postal and email addresses given in this deed. Declarations subject to statutory formal requirements must still comply with the legally prescribed form.</w:t>
            </w:r>
          </w:p>
        </w:tc>
      </w:tr>
      <w:tr>
        <w:trPr>
          <w:cantSplit/>
        </w:trPr>
        <w:tc>
          <w:tcPr>
            <w:tcW w:w="7545" w:type="dxa"/>
            <w:tcBorders/>
            <w:vAlign w:val="center"/>
          </w:tcPr>
          <w:p>
            <w:pPr>
              <w:pStyle w:val="TableContents"/>
              <w:widowControl/>
              <w:bidi w:val="0"/>
              <w:spacing w:before="0" w:after="283"/>
              <w:rPr/>
            </w:pPr>
            <w:r>
              <w:rPr/>
              <w:t>12.2 Die Verkäuferin verarbeitet personenbezogene Daten der Käuferin nur zur Vorbereitung, Durchführung und Abwicklung dieses Vertrags, zur Erfüllung gesetzlicher Pflichten und zur ordnungsgemäßen Verwaltung der Gemeinschaft. Eine Weitergabe an Planer, Bauleitung, Verwaltung, Bank, Notariat und Behörden erfolgt nur, soweit dies hierfür erforderlich ist.</w:t>
            </w:r>
          </w:p>
        </w:tc>
        <w:tc>
          <w:tcPr>
            <w:tcW w:w="7989" w:type="dxa"/>
            <w:tcBorders/>
            <w:vAlign w:val="center"/>
          </w:tcPr>
          <w:p>
            <w:pPr>
              <w:pStyle w:val="TableContents"/>
              <w:widowControl/>
              <w:bidi w:val="0"/>
              <w:spacing w:before="0" w:after="283"/>
              <w:rPr/>
            </w:pPr>
            <w:r>
              <w:rPr/>
              <w:t xml:space="preserve">12.2 The Seller processes personal data of the Buyer only for the preparation, implementation and processing of this contract, for the fulfillment of legal obligations and for the proper administration of the community. A transfer to planners, works management, administration, bank, Notary and authorities will only take place as far as this is necessary. </w:t>
            </w:r>
          </w:p>
        </w:tc>
      </w:tr>
      <w:tr>
        <w:trPr>
          <w:cantSplit/>
        </w:trPr>
        <w:tc>
          <w:tcPr>
            <w:tcW w:w="7545" w:type="dxa"/>
            <w:tcBorders/>
            <w:vAlign w:val="center"/>
          </w:tcPr>
          <w:p>
            <w:pPr>
              <w:pStyle w:val="Heading2"/>
              <w:keepNext/>
              <w:widowControl/>
              <w:bidi w:val="0"/>
              <w:spacing w:before="200" w:after="120"/>
              <w:ind w:hanging="0" w:start="0" w:end="0"/>
              <w:rPr/>
            </w:pPr>
            <w:bookmarkStart w:id="36" w:name="schlussbestimmungen-belehrungen-kosten"/>
            <w:bookmarkEnd w:id="36"/>
            <w:r>
              <w:rPr/>
              <w:t>13 Schlussbestimmungen, Belehrungen, Kosten</w:t>
            </w:r>
          </w:p>
          <w:p>
            <w:pPr>
              <w:pStyle w:val="TableContents"/>
              <w:widowControl/>
              <w:bidi w:val="0"/>
              <w:spacing w:before="0" w:after="283"/>
              <w:rPr/>
            </w:pPr>
            <w:r>
              <w:rPr/>
              <w:t>13.1 Änderungen und Ergänzungen dieses Vertrags bedürfen der notariellen Beurkundung, soweit sie nach § 311b BGB oder aus anderem Grund formbedürftig sind. Für jeden nachträglichen Sonderwunsch ist gesondert zu prüfen, ob er mit dem Grundstücksgeschäft eine rechtliche Einheit bildet oder Umfang des Sondereigentums, Kaufpreis, Bausoll oder sonstige formbedürftige Rechte ändert; eine Textformabrede ersetzt die gesetzlich erforderliche Beurkundung nicht.</w:t>
            </w:r>
          </w:p>
        </w:tc>
        <w:tc>
          <w:tcPr>
            <w:tcW w:w="7989" w:type="dxa"/>
            <w:tcBorders/>
            <w:vAlign w:val="center"/>
          </w:tcPr>
          <w:p>
            <w:pPr>
              <w:pStyle w:val="Heading2"/>
              <w:keepNext/>
              <w:widowControl/>
              <w:bidi w:val="0"/>
              <w:spacing w:before="200" w:after="120"/>
              <w:ind w:hanging="0" w:start="0" w:end="0"/>
              <w:rPr/>
            </w:pPr>
            <w:bookmarkStart w:id="37" w:name="final-provisions-instructions-costs"/>
            <w:bookmarkEnd w:id="37"/>
            <w:r>
              <w:rPr/>
              <w:t xml:space="preserve">13 Final provisions, instructions, costs </w:t>
            </w:r>
          </w:p>
          <w:p>
            <w:pPr>
              <w:pStyle w:val="TableContents"/>
              <w:widowControl/>
              <w:bidi w:val="0"/>
              <w:spacing w:before="0" w:after="283"/>
              <w:rPr/>
            </w:pPr>
            <w:r>
              <w:rPr/>
              <w:t>13.1 Amendments and supplements require notarisation where required by section 311b BGB or another legal basis. Each subsequent buyer-requested variation must be assessed separately to determine whether it forms a legally inseparable transaction with the land purchase or changes the scope of Unit Property, the Purchase Price, agreed construction requirements or other rights subject to formal requirements. An agreement in text form does not replace legally required notarisation.</w:t>
            </w:r>
          </w:p>
        </w:tc>
      </w:tr>
      <w:tr>
        <w:trPr>
          <w:cantSplit/>
        </w:trPr>
        <w:tc>
          <w:tcPr>
            <w:tcW w:w="7545" w:type="dxa"/>
            <w:tcBorders/>
            <w:vAlign w:val="center"/>
          </w:tcPr>
          <w:p>
            <w:pPr>
              <w:pStyle w:val="TableContents"/>
              <w:widowControl/>
              <w:bidi w:val="0"/>
              <w:spacing w:before="0" w:after="283"/>
              <w:rPr/>
            </w:pPr>
            <w:r>
              <w:rPr/>
              <w:t>13.2 Sollten einzelne Bestimmungen unwirksam sein, bleibt der Vertrag im Übrigen wirksam. An die Stelle der unwirksamen Bestimmung tritt das Gesetz. Eine geltungserhaltende Reduktion zulasten der Käuferin findet nicht statt.</w:t>
            </w:r>
          </w:p>
        </w:tc>
        <w:tc>
          <w:tcPr>
            <w:tcW w:w="7989" w:type="dxa"/>
            <w:tcBorders/>
            <w:vAlign w:val="center"/>
          </w:tcPr>
          <w:p>
            <w:pPr>
              <w:pStyle w:val="TableContents"/>
              <w:widowControl/>
              <w:bidi w:val="0"/>
              <w:spacing w:before="0" w:after="283"/>
              <w:rPr/>
            </w:pPr>
            <w:r>
              <w:rPr/>
              <w:t>13.2 If an individual provision is invalid, the remainder of the contract remains effective. The invalid provision is replaced by the statutory rules. An invalid provision must not be reduced to a permissible scope so as to preserve it to the Buyer's detriment.</w:t>
            </w:r>
          </w:p>
        </w:tc>
      </w:tr>
      <w:tr>
        <w:trPr>
          <w:cantSplit/>
        </w:trPr>
        <w:tc>
          <w:tcPr>
            <w:tcW w:w="7545" w:type="dxa"/>
            <w:tcBorders/>
            <w:vAlign w:val="center"/>
          </w:tcPr>
          <w:p>
            <w:pPr>
              <w:pStyle w:val="TableContents"/>
              <w:widowControl/>
              <w:bidi w:val="0"/>
              <w:spacing w:before="0" w:after="283"/>
              <w:rPr/>
            </w:pPr>
            <w:r>
              <w:rPr/>
              <w:t>13.3 Im Beurkundungstermin soll die Notarin insbesondere über die Wirkungen der Auflassungsvormerkung, die MaBV-Fälligkeitsvoraussetzungen, den 5-%-Sicherheitseinbehalt, die Bedeutung der Abnahme, die Mängelverjährung, die Lastenfreistellung, die Grunderwerbsteuer, die Eigentumsumschreibung und die Bedeutung der zur Mitbeurkundung vorgesehenen Baubeschreibung belehren.</w:t>
            </w:r>
          </w:p>
        </w:tc>
        <w:tc>
          <w:tcPr>
            <w:tcW w:w="7989" w:type="dxa"/>
            <w:tcBorders/>
            <w:vAlign w:val="center"/>
          </w:tcPr>
          <w:p>
            <w:pPr>
              <w:pStyle w:val="TableContents"/>
              <w:widowControl/>
              <w:bidi w:val="0"/>
              <w:spacing w:before="0" w:after="283"/>
              <w:rPr/>
            </w:pPr>
            <w:r>
              <w:rPr/>
              <w:t>13.3 At the notarisation appointment, the Notary is to explain in particular the effects of the priority notice of conveyance, the MaBV payment conditions, the five-percent security retention, the significance of acceptance, the limitation period for defect claims, release from encumbrances, real estate transfer tax, registration of title and the significance of the Building Specification intended to be notarised together with the contract.</w:t>
            </w:r>
          </w:p>
        </w:tc>
      </w:tr>
      <w:tr>
        <w:trPr>
          <w:cantSplit/>
        </w:trPr>
        <w:tc>
          <w:tcPr>
            <w:tcW w:w="7545" w:type="dxa"/>
            <w:tcBorders/>
            <w:vAlign w:val="center"/>
          </w:tcPr>
          <w:p>
            <w:pPr>
              <w:pStyle w:val="TableContents"/>
              <w:widowControl/>
              <w:bidi w:val="0"/>
              <w:spacing w:before="0" w:after="283"/>
              <w:rPr/>
            </w:pPr>
            <w:r>
              <w:rPr/>
              <w:t>13.4 Die Kosten dieser Urkunde, ihres Vollzugs und der Eigentumsumschreibung trägt die Käuferin, soweit sie nicht durch eine Pflichtverletzung der Verkäuferin verursacht sind. Die Kosten der Lastenfreistellung, der Löschung nicht übernommener Belastungen und der vertragsgerechten Herstellung trägt die Verkäuferin.</w:t>
            </w:r>
          </w:p>
        </w:tc>
        <w:tc>
          <w:tcPr>
            <w:tcW w:w="7989" w:type="dxa"/>
            <w:tcBorders/>
            <w:vAlign w:val="center"/>
          </w:tcPr>
          <w:p>
            <w:pPr>
              <w:pStyle w:val="TableContents"/>
              <w:widowControl/>
              <w:bidi w:val="0"/>
              <w:spacing w:before="0" w:after="283"/>
              <w:rPr/>
            </w:pPr>
            <w:r>
              <w:rPr/>
              <w:t xml:space="preserve">13.4 The costs of this document, its execution and the registration of title shall be borne by the Buyer, insofar as they are not caused by a breach of duty by the Seller. The costs of release from encumbrances, cancellation of encumbrances not assumed and contractual construction shall be borne by the Seller. </w:t>
            </w:r>
          </w:p>
        </w:tc>
      </w:tr>
      <w:tr>
        <w:trPr>
          <w:cantSplit/>
        </w:trPr>
        <w:tc>
          <w:tcPr>
            <w:tcW w:w="7545" w:type="dxa"/>
            <w:tcBorders/>
            <w:vAlign w:val="center"/>
          </w:tcPr>
          <w:p>
            <w:pPr>
              <w:pStyle w:val="TableContents"/>
              <w:widowControl/>
              <w:bidi w:val="0"/>
              <w:spacing w:before="0" w:after="283"/>
              <w:rPr/>
            </w:pPr>
            <w:r>
              <w:rPr/>
              <w:t>13.5 Der Geschäftswert dieser Urkunde beträgt 742.000,00 EUR.</w:t>
            </w:r>
          </w:p>
        </w:tc>
        <w:tc>
          <w:tcPr>
            <w:tcW w:w="7989" w:type="dxa"/>
            <w:tcBorders/>
            <w:vAlign w:val="center"/>
          </w:tcPr>
          <w:p>
            <w:pPr>
              <w:pStyle w:val="TableContents"/>
              <w:widowControl/>
              <w:bidi w:val="0"/>
              <w:spacing w:before="0" w:after="283"/>
              <w:rPr/>
            </w:pPr>
            <w:r>
              <w:rPr/>
              <w:t>13.5 The transaction value of this deed is EUR 742,000.00.</w:t>
            </w:r>
          </w:p>
        </w:tc>
      </w:tr>
      <w:tr>
        <w:trPr>
          <w:cantSplit/>
        </w:trPr>
        <w:tc>
          <w:tcPr>
            <w:tcW w:w="7545" w:type="dxa"/>
            <w:tcBorders/>
            <w:vAlign w:val="center"/>
          </w:tcPr>
          <w:p>
            <w:pPr>
              <w:pStyle w:val="Heading2"/>
              <w:keepNext/>
              <w:widowControl/>
              <w:bidi w:val="0"/>
              <w:spacing w:before="200" w:after="120"/>
              <w:ind w:hanging="0" w:start="0" w:end="0"/>
              <w:rPr/>
            </w:pPr>
            <w:bookmarkStart w:id="38" w:name="auflassung"/>
            <w:bookmarkEnd w:id="38"/>
            <w:r>
              <w:rPr/>
              <w:t>14 Auflassung</w:t>
            </w:r>
          </w:p>
          <w:p>
            <w:pPr>
              <w:pStyle w:val="TableContents"/>
              <w:widowControl/>
              <w:bidi w:val="0"/>
              <w:spacing w:before="0" w:after="283"/>
              <w:rPr/>
            </w:pPr>
            <w:r>
              <w:rPr/>
              <w:t>Die Verkäuferin und die Käuferin sind darüber einig, dass das Eigentum an dem in § 1 bezeichneten Wohnungseigentum auf die Käuferin übergeht. Die Eintragung des Eigentumswechsels im Grundbuch wird bewilligt und beantragt. Die Notarin wird angewiesen, den Antrag nach Maßgabe des § 10.4 einzureichen.</w:t>
            </w:r>
          </w:p>
        </w:tc>
        <w:tc>
          <w:tcPr>
            <w:tcW w:w="7989" w:type="dxa"/>
            <w:tcBorders/>
            <w:vAlign w:val="center"/>
          </w:tcPr>
          <w:p>
            <w:pPr>
              <w:pStyle w:val="Heading2"/>
              <w:keepNext/>
              <w:widowControl/>
              <w:bidi w:val="0"/>
              <w:spacing w:before="200" w:after="120"/>
              <w:ind w:hanging="0" w:start="0" w:end="0"/>
              <w:rPr/>
            </w:pPr>
            <w:bookmarkStart w:id="39" w:name="termination"/>
            <w:bookmarkEnd w:id="39"/>
            <w:r>
              <w:rPr/>
              <w:t>14 Conveyance (Auflassung)</w:t>
            </w:r>
          </w:p>
          <w:p>
            <w:pPr>
              <w:pStyle w:val="TableContents"/>
              <w:widowControl/>
              <w:bidi w:val="0"/>
              <w:spacing w:before="0" w:after="283"/>
              <w:rPr/>
            </w:pPr>
            <w:r>
              <w:rPr/>
              <w:t xml:space="preserve">The Seller and the Buyer agree that the ownership of the property referred to in § 1 shall be transferred to the Buyer. The registration of the change of ownership in the Land Register is approved and requested. The Notary is instructed to submit the application in accordance with § 10.4. </w:t>
            </w:r>
          </w:p>
        </w:tc>
      </w:tr>
      <w:tr>
        <w:trPr>
          <w:cantSplit/>
        </w:trPr>
        <w:tc>
          <w:tcPr>
            <w:tcW w:w="7545" w:type="dxa"/>
            <w:tcBorders/>
            <w:vAlign w:val="center"/>
          </w:tcPr>
          <w:p>
            <w:pPr>
              <w:pStyle w:val="Heading2"/>
              <w:keepNext/>
              <w:widowControl/>
              <w:bidi w:val="0"/>
              <w:spacing w:before="200" w:after="120"/>
              <w:ind w:hanging="0" w:start="0" w:end="0"/>
              <w:rPr/>
            </w:pPr>
            <w:bookmarkStart w:id="40" w:name="vorlesen-genehmigung-ausfertigungen"/>
            <w:bookmarkEnd w:id="40"/>
            <w:r>
              <w:rPr/>
              <w:t>15 Vorlesen, Genehmigung, Ausfertigungen</w:t>
            </w:r>
          </w:p>
          <w:p>
            <w:pPr>
              <w:pStyle w:val="TableContents"/>
              <w:widowControl/>
              <w:bidi w:val="0"/>
              <w:spacing w:before="0" w:after="283"/>
              <w:rPr/>
            </w:pPr>
            <w:r>
              <w:rPr/>
              <w:t>Verlesung, Genehmigung und Unterzeichnung dieser Niederschrift einschließlich der Anlage Baubeschreibung stehen noch aus. Die nachstehenden Unterschriftsfelder bleiben im Entwurf frei.</w:t>
            </w:r>
          </w:p>
        </w:tc>
        <w:tc>
          <w:tcPr>
            <w:tcW w:w="7989" w:type="dxa"/>
            <w:tcBorders/>
            <w:vAlign w:val="center"/>
          </w:tcPr>
          <w:p>
            <w:pPr>
              <w:pStyle w:val="Heading2"/>
              <w:keepNext/>
              <w:widowControl/>
              <w:bidi w:val="0"/>
              <w:spacing w:before="200" w:after="120"/>
              <w:ind w:hanging="0" w:start="0" w:end="0"/>
              <w:rPr/>
            </w:pPr>
            <w:bookmarkStart w:id="41" w:name="reading-out-approval-copies"/>
            <w:bookmarkEnd w:id="41"/>
            <w:r>
              <w:rPr/>
              <w:t xml:space="preserve">15 Reading out, approval, copies </w:t>
            </w:r>
          </w:p>
          <w:p>
            <w:pPr>
              <w:pStyle w:val="TableContents"/>
              <w:widowControl/>
              <w:bidi w:val="0"/>
              <w:spacing w:before="0" w:after="283"/>
              <w:rPr/>
            </w:pPr>
            <w:r>
              <w:rPr/>
              <w:t>Reading aloud, approval and signing of this record, including the annexed Building Specification, have not yet taken place. The signature fields below remain blank in this draft.</w:t>
            </w:r>
          </w:p>
        </w:tc>
      </w:tr>
      <w:tr>
        <w:trPr>
          <w:cantSplit/>
        </w:trPr>
        <w:tc>
          <w:tcPr>
            <w:tcW w:w="7545" w:type="dxa"/>
            <w:tcBorders/>
            <w:vAlign w:val="center"/>
          </w:tcPr>
          <w:p>
            <w:pPr>
              <w:pStyle w:val="TableContents"/>
              <w:widowControl/>
              <w:bidi w:val="0"/>
              <w:spacing w:before="0" w:after="283"/>
              <w:rPr/>
            </w:pPr>
            <w:r>
              <w:rPr/>
              <w:t>Ort und Datum: ____________________</w:t>
            </w:r>
          </w:p>
        </w:tc>
        <w:tc>
          <w:tcPr>
            <w:tcW w:w="7989" w:type="dxa"/>
            <w:tcBorders/>
            <w:vAlign w:val="center"/>
          </w:tcPr>
          <w:p>
            <w:pPr>
              <w:pStyle w:val="TableContents"/>
              <w:widowControl/>
              <w:bidi w:val="0"/>
              <w:spacing w:before="0" w:after="283"/>
              <w:rPr/>
            </w:pPr>
            <w:r>
              <w:rPr/>
              <w:t>Place and date: ____________________</w:t>
            </w:r>
          </w:p>
        </w:tc>
      </w:tr>
      <w:tr>
        <w:trPr>
          <w:cantSplit/>
        </w:trPr>
        <w:tc>
          <w:tcPr>
            <w:tcW w:w="7545" w:type="dxa"/>
            <w:tcBorders/>
            <w:vAlign w:val="center"/>
          </w:tcPr>
          <w:p>
            <w:pPr>
              <w:pStyle w:val="TableContents"/>
              <w:widowControl/>
              <w:bidi w:val="0"/>
              <w:spacing w:before="0" w:after="283"/>
              <w:rPr/>
            </w:pPr>
            <w:r>
              <w:rPr>
                <w:rStyle w:val="Strong"/>
              </w:rPr>
              <w:t>Lindenhain Wohnwerte GmbH &amp; Co. KG</w:t>
            </w:r>
          </w:p>
        </w:tc>
        <w:tc>
          <w:tcPr>
            <w:tcW w:w="7989" w:type="dxa"/>
            <w:tcBorders/>
            <w:vAlign w:val="center"/>
          </w:tcPr>
          <w:p>
            <w:pPr>
              <w:pStyle w:val="TableContents"/>
              <w:widowControl/>
              <w:bidi w:val="0"/>
              <w:spacing w:before="0" w:after="283"/>
              <w:rPr/>
            </w:pPr>
            <w:r>
              <w:rPr>
                <w:rStyle w:val="Strong"/>
              </w:rPr>
              <w:t>Lindenhain Wohnwerte GmbH &amp; Co. KG</w:t>
            </w:r>
            <w:r>
              <w:rPr/>
              <w:t xml:space="preserve"> </w:t>
            </w:r>
          </w:p>
        </w:tc>
      </w:tr>
      <w:tr>
        <w:trPr>
          <w:cantSplit/>
        </w:trPr>
        <w:tc>
          <w:tcPr>
            <w:tcW w:w="7545" w:type="dxa"/>
            <w:tcBorders/>
            <w:vAlign w:val="center"/>
          </w:tcPr>
          <w:p>
            <w:pPr>
              <w:pStyle w:val="TableContents"/>
              <w:widowControl/>
              <w:bidi w:val="0"/>
              <w:spacing w:before="0" w:after="283"/>
              <w:rPr/>
            </w:pPr>
            <w:r>
              <w:rPr/>
              <w:t>vertreten durch Herrn Jonas Reuter</w:t>
            </w:r>
          </w:p>
        </w:tc>
        <w:tc>
          <w:tcPr>
            <w:tcW w:w="7989" w:type="dxa"/>
            <w:tcBorders/>
            <w:vAlign w:val="center"/>
          </w:tcPr>
          <w:p>
            <w:pPr>
              <w:pStyle w:val="TableContents"/>
              <w:widowControl/>
              <w:bidi w:val="0"/>
              <w:spacing w:before="0" w:after="283"/>
              <w:rPr/>
            </w:pPr>
            <w:r>
              <w:rPr/>
              <w:t xml:space="preserve">represented by Mr Jonas Reuter </w:t>
            </w:r>
          </w:p>
        </w:tc>
      </w:tr>
      <w:tr>
        <w:trPr>
          <w:cantSplit/>
        </w:trPr>
        <w:tc>
          <w:tcPr>
            <w:tcW w:w="7545" w:type="dxa"/>
            <w:tcBorders/>
            <w:vAlign w:val="center"/>
          </w:tcPr>
          <w:p>
            <w:pPr>
              <w:pStyle w:val="TableContents"/>
              <w:widowControl/>
              <w:bidi w:val="0"/>
              <w:spacing w:before="0" w:after="283"/>
              <w:rPr/>
            </w:pPr>
            <w:r>
              <w:rPr>
                <w:rStyle w:val="Strong"/>
              </w:rPr>
              <w:t>Dr. Amelie Brandt</w:t>
            </w:r>
          </w:p>
        </w:tc>
        <w:tc>
          <w:tcPr>
            <w:tcW w:w="7989" w:type="dxa"/>
            <w:tcBorders/>
            <w:vAlign w:val="center"/>
          </w:tcPr>
          <w:p>
            <w:pPr>
              <w:pStyle w:val="TableContents"/>
              <w:widowControl/>
              <w:bidi w:val="0"/>
              <w:spacing w:before="0" w:after="283"/>
              <w:rPr/>
            </w:pPr>
            <w:r>
              <w:rPr>
                <w:rStyle w:val="Strong"/>
              </w:rPr>
              <w:t>Dr. Amelie Brandt</w:t>
            </w:r>
            <w:r>
              <w:rPr/>
              <w:t xml:space="preserve"> </w:t>
            </w:r>
          </w:p>
        </w:tc>
      </w:tr>
      <w:tr>
        <w:trPr>
          <w:cantSplit/>
        </w:trPr>
        <w:tc>
          <w:tcPr>
            <w:tcW w:w="7545" w:type="dxa"/>
            <w:tcBorders/>
            <w:vAlign w:val="center"/>
          </w:tcPr>
          <w:p>
            <w:pPr>
              <w:pStyle w:val="TableContents"/>
              <w:widowControl/>
              <w:bidi w:val="0"/>
              <w:spacing w:before="0" w:after="283"/>
              <w:rPr/>
            </w:pPr>
            <w:r>
              <w:rPr>
                <w:rStyle w:val="Strong"/>
              </w:rPr>
              <w:t>Dr. Miriam Falkenried, Notarin</w:t>
            </w:r>
          </w:p>
        </w:tc>
        <w:tc>
          <w:tcPr>
            <w:tcW w:w="7989" w:type="dxa"/>
            <w:tcBorders/>
            <w:vAlign w:val="center"/>
          </w:tcPr>
          <w:p>
            <w:pPr>
              <w:pStyle w:val="TableContents"/>
              <w:widowControl/>
              <w:bidi w:val="0"/>
              <w:spacing w:before="0" w:after="283"/>
              <w:rPr/>
            </w:pPr>
            <w:r>
              <w:rPr>
                <w:rStyle w:val="Strong"/>
              </w:rPr>
              <w:t>Dr Miriam Falkenried, Notary</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545" w:type="dxa"/>
            <w:tcBorders/>
            <w:vAlign w:val="center"/>
          </w:tcPr>
          <w:p>
            <w:pPr>
              <w:pStyle w:val="Heading1"/>
              <w:keepNext/>
              <w:widowControl/>
              <w:bidi w:val="0"/>
              <w:spacing w:before="240" w:after="283"/>
              <w:ind w:hanging="0" w:start="0" w:end="0"/>
              <w:rPr/>
            </w:pPr>
            <w:bookmarkStart w:id="42" w:name="anlage-baubeschreibung"/>
            <w:bookmarkEnd w:id="42"/>
            <w:r>
              <w:rPr/>
              <w:t>Anlage: Baubeschreibung</w:t>
            </w:r>
          </w:p>
          <w:p>
            <w:pPr>
              <w:pStyle w:val="TableContents"/>
              <w:widowControl/>
              <w:bidi w:val="0"/>
              <w:spacing w:before="0" w:after="283"/>
              <w:rPr/>
            </w:pPr>
            <w:r>
              <w:rPr>
                <w:rStyle w:val="Strong"/>
              </w:rPr>
              <w:t>ENTWURF</w:t>
            </w:r>
          </w:p>
        </w:tc>
        <w:tc>
          <w:tcPr>
            <w:tcW w:w="7989" w:type="dxa"/>
            <w:tcBorders/>
            <w:vAlign w:val="center"/>
          </w:tcPr>
          <w:p>
            <w:pPr>
              <w:pStyle w:val="Heading1"/>
              <w:keepNext/>
              <w:widowControl/>
              <w:bidi w:val="0"/>
              <w:spacing w:before="240" w:after="283"/>
              <w:ind w:hanging="0" w:start="0" w:end="0"/>
              <w:rPr/>
            </w:pPr>
            <w:bookmarkStart w:id="43" w:name="annex-building-specification"/>
            <w:bookmarkEnd w:id="43"/>
            <w:r>
              <w:rPr/>
              <w:t xml:space="preserve">Annex: Building Specification </w:t>
            </w:r>
          </w:p>
          <w:p>
            <w:pPr>
              <w:pStyle w:val="TableContents"/>
              <w:widowControl/>
              <w:bidi w:val="0"/>
              <w:spacing w:before="0" w:after="283"/>
              <w:rPr/>
            </w:pPr>
            <w:r>
              <w:rPr>
                <w:rStyle w:val="Strong"/>
              </w:rPr>
              <w:t>DRAFT</w:t>
            </w:r>
          </w:p>
        </w:tc>
      </w:tr>
      <w:tr>
        <w:trPr>
          <w:cantSplit/>
        </w:trPr>
        <w:tc>
          <w:tcPr>
            <w:tcW w:w="7545" w:type="dxa"/>
            <w:tcBorders/>
            <w:vAlign w:val="center"/>
          </w:tcPr>
          <w:p>
            <w:pPr>
              <w:pStyle w:val="Heading2"/>
              <w:keepNext/>
              <w:widowControl/>
              <w:bidi w:val="0"/>
              <w:spacing w:before="200" w:after="120"/>
              <w:ind w:hanging="0" w:start="0" w:end="0"/>
              <w:rPr/>
            </w:pPr>
            <w:bookmarkStart w:id="44" w:name="bauvorhaben-und-planstand"/>
            <w:bookmarkEnd w:id="44"/>
            <w:r>
              <w:rPr/>
              <w:t>Bauvorhaben und Planstand</w:t>
            </w:r>
          </w:p>
          <w:p>
            <w:pPr>
              <w:pStyle w:val="TableContents"/>
              <w:widowControl/>
              <w:bidi w:val="0"/>
              <w:spacing w:before="0" w:after="283"/>
              <w:rPr/>
            </w:pPr>
            <w:r>
              <w:rPr/>
              <w:t xml:space="preserve">Projekt: Wohngebäude </w:t>
            </w:r>
            <w:r>
              <w:rPr>
                <w:rStyle w:val="Strong"/>
              </w:rPr>
              <w:t>Lindenhain 12</w:t>
            </w:r>
            <w:r>
              <w:rPr/>
              <w:t>, Lindenhainstraße 12, 50825 Köln-Ehrenfeld</w:t>
            </w:r>
          </w:p>
        </w:tc>
        <w:tc>
          <w:tcPr>
            <w:tcW w:w="7989" w:type="dxa"/>
            <w:tcBorders/>
            <w:vAlign w:val="center"/>
          </w:tcPr>
          <w:p>
            <w:pPr>
              <w:pStyle w:val="Heading2"/>
              <w:keepNext/>
              <w:widowControl/>
              <w:bidi w:val="0"/>
              <w:spacing w:before="200" w:after="120"/>
              <w:ind w:hanging="0" w:start="0" w:end="0"/>
              <w:rPr/>
            </w:pPr>
            <w:bookmarkStart w:id="45" w:name="works-and-works"/>
            <w:bookmarkEnd w:id="45"/>
            <w:r>
              <w:rPr/>
              <w:t>Project and Plan Revision</w:t>
            </w:r>
          </w:p>
          <w:p>
            <w:pPr>
              <w:pStyle w:val="TableContents"/>
              <w:widowControl/>
              <w:bidi w:val="0"/>
              <w:spacing w:before="0" w:after="283"/>
              <w:rPr/>
            </w:pPr>
            <w:r>
              <w:rPr/>
              <w:t xml:space="preserve">Project: residential building Lindenhain 12, Lindenhainstraße 12, 50825 Cologne-Ehrenfeld </w:t>
            </w:r>
          </w:p>
        </w:tc>
      </w:tr>
      <w:tr>
        <w:trPr>
          <w:cantSplit/>
        </w:trPr>
        <w:tc>
          <w:tcPr>
            <w:tcW w:w="7545" w:type="dxa"/>
            <w:tcBorders/>
            <w:vAlign w:val="center"/>
          </w:tcPr>
          <w:p>
            <w:pPr>
              <w:pStyle w:val="TableContents"/>
              <w:widowControl/>
              <w:bidi w:val="0"/>
              <w:spacing w:before="0" w:after="283"/>
              <w:rPr/>
            </w:pPr>
            <w:r>
              <w:rPr/>
              <w:t>Bauträgerin: Lindenhain Wohnwerte GmbH &amp; Co. KG, Gereonstraße 18, 50670 Köln</w:t>
            </w:r>
          </w:p>
        </w:tc>
        <w:tc>
          <w:tcPr>
            <w:tcW w:w="7989" w:type="dxa"/>
            <w:tcBorders/>
            <w:vAlign w:val="center"/>
          </w:tcPr>
          <w:p>
            <w:pPr>
              <w:pStyle w:val="TableContents"/>
              <w:widowControl/>
              <w:bidi w:val="0"/>
              <w:spacing w:before="0" w:after="283"/>
              <w:rPr/>
            </w:pPr>
            <w:r>
              <w:rPr/>
              <w:t xml:space="preserve">Property developer: Lindenhain Wohnwerte GmbH &amp; Co. KG, Gereonstraße 18, 50670 Cologne </w:t>
            </w:r>
          </w:p>
        </w:tc>
      </w:tr>
      <w:tr>
        <w:trPr>
          <w:cantSplit/>
        </w:trPr>
        <w:tc>
          <w:tcPr>
            <w:tcW w:w="7545" w:type="dxa"/>
            <w:tcBorders/>
            <w:vAlign w:val="center"/>
          </w:tcPr>
          <w:p>
            <w:pPr>
              <w:pStyle w:val="TableContents"/>
              <w:widowControl/>
              <w:bidi w:val="0"/>
              <w:spacing w:before="0" w:after="283"/>
              <w:rPr/>
            </w:pPr>
            <w:r>
              <w:rPr/>
              <w:t>Einheit: Wohnung B-05, zweites Obergeschoss, Kellerraum K-B05, Tiefgaragenstellplatz TG-08</w:t>
            </w:r>
          </w:p>
        </w:tc>
        <w:tc>
          <w:tcPr>
            <w:tcW w:w="7989" w:type="dxa"/>
            <w:tcBorders/>
            <w:vAlign w:val="center"/>
          </w:tcPr>
          <w:p>
            <w:pPr>
              <w:pStyle w:val="TableContents"/>
              <w:widowControl/>
              <w:bidi w:val="0"/>
              <w:spacing w:before="0" w:after="283"/>
              <w:rPr/>
            </w:pPr>
            <w:r>
              <w:rPr/>
              <w:t xml:space="preserve">Unit: Apartment B-05, second floor, basement K-B05, underground parking space TG-08 </w:t>
            </w:r>
          </w:p>
        </w:tc>
      </w:tr>
      <w:tr>
        <w:trPr>
          <w:cantSplit/>
        </w:trPr>
        <w:tc>
          <w:tcPr>
            <w:tcW w:w="7545" w:type="dxa"/>
            <w:tcBorders/>
            <w:vAlign w:val="center"/>
          </w:tcPr>
          <w:p>
            <w:pPr>
              <w:pStyle w:val="TableContents"/>
              <w:widowControl/>
              <w:bidi w:val="0"/>
              <w:spacing w:before="0" w:after="283"/>
              <w:rPr/>
            </w:pPr>
            <w:r>
              <w:rPr/>
              <w:t>Planstand: 20. August 2026, Baubeschreibung Fassung 1.0</w:t>
            </w:r>
          </w:p>
        </w:tc>
        <w:tc>
          <w:tcPr>
            <w:tcW w:w="7989" w:type="dxa"/>
            <w:tcBorders/>
            <w:vAlign w:val="center"/>
          </w:tcPr>
          <w:p>
            <w:pPr>
              <w:pStyle w:val="TableContents"/>
              <w:widowControl/>
              <w:bidi w:val="0"/>
              <w:spacing w:before="0" w:after="283"/>
              <w:rPr/>
            </w:pPr>
            <w:r>
              <w:rPr/>
              <w:t>Plan revision: 20 August 2026; Building Specification version 1.0</w:t>
            </w:r>
          </w:p>
        </w:tc>
      </w:tr>
      <w:tr>
        <w:trPr>
          <w:cantSplit/>
        </w:trPr>
        <w:tc>
          <w:tcPr>
            <w:tcW w:w="7545" w:type="dxa"/>
            <w:tcBorders/>
            <w:vAlign w:val="center"/>
          </w:tcPr>
          <w:p>
            <w:pPr>
              <w:pStyle w:val="TableContents"/>
              <w:widowControl/>
              <w:bidi w:val="0"/>
              <w:spacing w:before="0" w:after="283"/>
              <w:rPr/>
            </w:pPr>
            <w:r>
              <w:rPr/>
              <w:t>Diese Baubeschreibung ist zur Mitbeurkundung mit dem Bauträgervertrag vorgesehen und bestimmt das Bausoll für die Einheit B-05 sowie das für ihre Nutzung erforderliche Gemeinschaftseigentum.</w:t>
            </w:r>
          </w:p>
        </w:tc>
        <w:tc>
          <w:tcPr>
            <w:tcW w:w="7989" w:type="dxa"/>
            <w:tcBorders/>
            <w:vAlign w:val="center"/>
          </w:tcPr>
          <w:p>
            <w:pPr>
              <w:pStyle w:val="TableContents"/>
              <w:widowControl/>
              <w:bidi w:val="0"/>
              <w:spacing w:before="0" w:after="283"/>
              <w:rPr/>
            </w:pPr>
            <w:r>
              <w:rPr/>
              <w:t>This Building Specification is intended to be notarised together with the property development contract and defines the contractual construction requirements for unit B-05 and the Common Property required for its use.</w:t>
            </w:r>
          </w:p>
        </w:tc>
      </w:tr>
      <w:tr>
        <w:trPr>
          <w:cantSplit/>
        </w:trPr>
        <w:tc>
          <w:tcPr>
            <w:tcW w:w="7545" w:type="dxa"/>
            <w:tcBorders/>
            <w:vAlign w:val="center"/>
          </w:tcPr>
          <w:p>
            <w:pPr>
              <w:pStyle w:val="Heading2"/>
              <w:keepNext/>
              <w:widowControl/>
              <w:bidi w:val="0"/>
              <w:spacing w:before="200" w:after="120"/>
              <w:ind w:hanging="0" w:start="0" w:end="0"/>
              <w:rPr/>
            </w:pPr>
            <w:bookmarkStart w:id="46" w:name="grundstück-erschließung-außenanlagen"/>
            <w:bookmarkEnd w:id="46"/>
            <w:r>
              <w:rPr/>
              <w:t>1 Grundstück, Erschließung, Außenanlagen</w:t>
            </w:r>
          </w:p>
          <w:p>
            <w:pPr>
              <w:pStyle w:val="TableContents"/>
              <w:widowControl/>
              <w:bidi w:val="0"/>
              <w:spacing w:before="0" w:after="283"/>
              <w:rPr/>
            </w:pPr>
            <w:r>
              <w:rPr/>
              <w:t>1.1 Das Gebäude wird auf dem Grundstück Lindenhainstraße 12 in Köln-Ehrenfeld errichtet. Die Erschließung erfolgt über die Lindenhainstraße. Hauszugang, Tiefgaragenzufahrt, Feuerwehrflächen, Müllstandort, Fahrradzugang und barrierearmer Innenhofzugang werden dauerhaft hergestellt und beleuchtet.</w:t>
            </w:r>
          </w:p>
        </w:tc>
        <w:tc>
          <w:tcPr>
            <w:tcW w:w="7989" w:type="dxa"/>
            <w:tcBorders/>
            <w:vAlign w:val="center"/>
          </w:tcPr>
          <w:p>
            <w:pPr>
              <w:pStyle w:val="Heading2"/>
              <w:keepNext/>
              <w:widowControl/>
              <w:bidi w:val="0"/>
              <w:spacing w:before="200" w:after="120"/>
              <w:ind w:hanging="0" w:start="0" w:end="0"/>
              <w:rPr/>
            </w:pPr>
            <w:bookmarkStart w:id="47" w:name="land-development-outdoor-installations"/>
            <w:bookmarkEnd w:id="47"/>
            <w:r>
              <w:rPr/>
              <w:t xml:space="preserve">1 Land, development, outdoor installations </w:t>
            </w:r>
          </w:p>
          <w:p>
            <w:pPr>
              <w:pStyle w:val="TableContents"/>
              <w:widowControl/>
              <w:bidi w:val="0"/>
              <w:spacing w:before="0" w:after="283"/>
              <w:rPr/>
            </w:pPr>
            <w:r>
              <w:rPr/>
              <w:t>1.1 The building will be constructed on the land at Lindenhainstraße 12 in Cologne-Ehrenfeld. Site access and utility connections are provided via Lindenhainstraße. Permanent, illuminated facilities will be provided for the building entrance, underground garage access, fire service areas, refuse storage, bicycle access and reduced-barrier access to the courtyard.</w:t>
            </w:r>
          </w:p>
        </w:tc>
      </w:tr>
      <w:tr>
        <w:trPr>
          <w:cantSplit/>
        </w:trPr>
        <w:tc>
          <w:tcPr>
            <w:tcW w:w="7545" w:type="dxa"/>
            <w:tcBorders/>
            <w:vAlign w:val="center"/>
          </w:tcPr>
          <w:p>
            <w:pPr>
              <w:pStyle w:val="TableContents"/>
              <w:widowControl/>
              <w:bidi w:val="0"/>
              <w:spacing w:before="0" w:after="283"/>
              <w:rPr/>
            </w:pPr>
            <w:r>
              <w:rPr/>
              <w:t>1.2 Die Außenanlagen umfassen gepflasterte Zugänge, begrünte Innenhofflächen, Sitzbank, Spielpunkt für Kleinkinder, Fahrradabstellflächen, Müll- und Wertstoffstandort mit Sichtschutz, Brief- und Paketstation, Außenbeleuchtung mit Bewegungsmeldern sowie Entwässerungseinrichtungen.</w:t>
            </w:r>
          </w:p>
        </w:tc>
        <w:tc>
          <w:tcPr>
            <w:tcW w:w="7989" w:type="dxa"/>
            <w:tcBorders/>
            <w:vAlign w:val="center"/>
          </w:tcPr>
          <w:p>
            <w:pPr>
              <w:pStyle w:val="TableContents"/>
              <w:widowControl/>
              <w:bidi w:val="0"/>
              <w:spacing w:before="0" w:after="283"/>
              <w:rPr/>
            </w:pPr>
            <w:r>
              <w:rPr/>
              <w:t>1.2 The external works comprise paved access routes, landscaped courtyard areas, a bench, a play area for small children, bicycle parking, screened refuse and recycling storage, a mail and parcel station, outdoor lighting with motion detectors and drainage facilities.</w:t>
            </w:r>
          </w:p>
        </w:tc>
      </w:tr>
      <w:tr>
        <w:trPr>
          <w:cantSplit/>
        </w:trPr>
        <w:tc>
          <w:tcPr>
            <w:tcW w:w="7545" w:type="dxa"/>
            <w:tcBorders/>
            <w:vAlign w:val="center"/>
          </w:tcPr>
          <w:p>
            <w:pPr>
              <w:pStyle w:val="TableContents"/>
              <w:widowControl/>
              <w:bidi w:val="0"/>
              <w:spacing w:before="0" w:after="283"/>
              <w:rPr/>
            </w:pPr>
            <w:r>
              <w:rPr/>
              <w:t>1.3 Das Dach erhält ein Retentionsgründach mit Photovoltaikanlage zur Versorgung gemeinschaftlicher Verbraucher und nach Maßgabe des Messkonzepts anteilig der Wohnungen. Einzelheiten der Abrechnung werden in der Gemeinschaftsordnung und im späteren Betreiberkonzept beschrieben.</w:t>
            </w:r>
          </w:p>
        </w:tc>
        <w:tc>
          <w:tcPr>
            <w:tcW w:w="7989" w:type="dxa"/>
            <w:tcBorders/>
            <w:vAlign w:val="center"/>
          </w:tcPr>
          <w:p>
            <w:pPr>
              <w:pStyle w:val="TableContents"/>
              <w:widowControl/>
              <w:bidi w:val="0"/>
              <w:spacing w:before="0" w:after="283"/>
              <w:rPr/>
            </w:pPr>
            <w:r>
              <w:rPr/>
              <w:t>1.3 The roof will be a water-retaining green roof with a photovoltaic system supplying communal electrical loads and, proportionately, the apartments in accordance with the metering concept. Billing details are set out in the Community Rules and the operating concept to be prepared later.</w:t>
            </w:r>
          </w:p>
        </w:tc>
      </w:tr>
      <w:tr>
        <w:trPr>
          <w:cantSplit/>
        </w:trPr>
        <w:tc>
          <w:tcPr>
            <w:tcW w:w="7545" w:type="dxa"/>
            <w:tcBorders/>
            <w:vAlign w:val="center"/>
          </w:tcPr>
          <w:p>
            <w:pPr>
              <w:pStyle w:val="Heading2"/>
              <w:keepNext/>
              <w:widowControl/>
              <w:bidi w:val="0"/>
              <w:spacing w:before="200" w:after="120"/>
              <w:ind w:hanging="0" w:start="0" w:end="0"/>
              <w:rPr/>
            </w:pPr>
            <w:bookmarkStart w:id="48" w:name="baugrund-gründung-abdichtung"/>
            <w:bookmarkEnd w:id="48"/>
            <w:r>
              <w:rPr/>
              <w:t>2 Baugrund, Gründung, Abdichtung</w:t>
            </w:r>
          </w:p>
          <w:p>
            <w:pPr>
              <w:pStyle w:val="TableContents"/>
              <w:widowControl/>
              <w:bidi w:val="0"/>
              <w:spacing w:before="0" w:after="283"/>
              <w:rPr/>
            </w:pPr>
            <w:r>
              <w:rPr/>
              <w:t>2.1 Grundlage ist der geotechnische Bericht RheinGeo 26-118 vom 12. Mai 2026. Die Verkäuferin schuldet eine Gründung und Abdichtung, die den dort beschriebenen Boden- und Wasserverhältnissen sowie den anerkannten Regeln der Technik zum Zeitpunkt der Abnahme entspricht.</w:t>
            </w:r>
          </w:p>
        </w:tc>
        <w:tc>
          <w:tcPr>
            <w:tcW w:w="7989" w:type="dxa"/>
            <w:tcBorders/>
            <w:vAlign w:val="center"/>
          </w:tcPr>
          <w:p>
            <w:pPr>
              <w:pStyle w:val="Heading2"/>
              <w:keepNext/>
              <w:widowControl/>
              <w:bidi w:val="0"/>
              <w:spacing w:before="200" w:after="120"/>
              <w:ind w:hanging="0" w:start="0" w:end="0"/>
              <w:rPr/>
            </w:pPr>
            <w:bookmarkStart w:id="49" w:name="building-ground-foundation-sealing"/>
            <w:bookmarkEnd w:id="49"/>
            <w:r>
              <w:rPr/>
              <w:t>2 Ground Conditions, Foundations and Waterproofing</w:t>
            </w:r>
          </w:p>
          <w:p>
            <w:pPr>
              <w:pStyle w:val="TableContents"/>
              <w:widowControl/>
              <w:bidi w:val="0"/>
              <w:spacing w:before="0" w:after="283"/>
              <w:rPr/>
            </w:pPr>
            <w:r>
              <w:rPr/>
              <w:t>2.1 The basis is geotechnical report RheinGeo 26-118 dated 12 May 2026. The Seller must provide foundations and waterproofing appropriate to the soil and water conditions described there and compliant with the generally accepted rules of technology applicable at acceptance.</w:t>
            </w:r>
          </w:p>
        </w:tc>
      </w:tr>
      <w:tr>
        <w:trPr>
          <w:cantSplit/>
        </w:trPr>
        <w:tc>
          <w:tcPr>
            <w:tcW w:w="7545" w:type="dxa"/>
            <w:tcBorders/>
            <w:vAlign w:val="center"/>
          </w:tcPr>
          <w:p>
            <w:pPr>
              <w:pStyle w:val="TableContents"/>
              <w:widowControl/>
              <w:bidi w:val="0"/>
              <w:spacing w:before="0" w:after="283"/>
              <w:rPr/>
            </w:pPr>
            <w:r>
              <w:rPr/>
              <w:t>2.2 Keller, Tiefgarage und erdberührte Bauteile werden gegen die maßgebliche Wassereinwirkung abgedichtet. Durchdringungen, Lichtschächte, Rampenanschlüsse, Fugen und Hauseinführungen werden in das Abdichtungskonzept einbezogen.</w:t>
            </w:r>
          </w:p>
        </w:tc>
        <w:tc>
          <w:tcPr>
            <w:tcW w:w="7989" w:type="dxa"/>
            <w:tcBorders/>
            <w:vAlign w:val="center"/>
          </w:tcPr>
          <w:p>
            <w:pPr>
              <w:pStyle w:val="TableContents"/>
              <w:widowControl/>
              <w:bidi w:val="0"/>
              <w:spacing w:before="0" w:after="283"/>
              <w:rPr/>
            </w:pPr>
            <w:r>
              <w:rPr/>
              <w:t>2.2 The basement, underground garage and components in contact with the ground will be waterproofed against the relevant water exposure. The waterproofing design will include penetrations, light wells, ramp connections, joints and utility entry points.</w:t>
            </w:r>
          </w:p>
        </w:tc>
      </w:tr>
      <w:tr>
        <w:trPr>
          <w:cantSplit/>
        </w:trPr>
        <w:tc>
          <w:tcPr>
            <w:tcW w:w="7545" w:type="dxa"/>
            <w:tcBorders/>
            <w:vAlign w:val="center"/>
          </w:tcPr>
          <w:p>
            <w:pPr>
              <w:pStyle w:val="TableContents"/>
              <w:widowControl/>
              <w:bidi w:val="0"/>
              <w:spacing w:before="0" w:after="283"/>
              <w:rPr/>
            </w:pPr>
            <w:r>
              <w:rPr/>
              <w:t>2.3 Die Verkäuferin dokumentiert Abdichtungsarbeiten durch Ausführungsunterlagen, Fotodokumentation wesentlicher Arbeitsschritte und Fachunternehmererklärung.</w:t>
            </w:r>
          </w:p>
        </w:tc>
        <w:tc>
          <w:tcPr>
            <w:tcW w:w="7989" w:type="dxa"/>
            <w:tcBorders/>
            <w:vAlign w:val="center"/>
          </w:tcPr>
          <w:p>
            <w:pPr>
              <w:pStyle w:val="TableContents"/>
              <w:widowControl/>
              <w:bidi w:val="0"/>
              <w:spacing w:before="0" w:after="283"/>
              <w:rPr/>
            </w:pPr>
            <w:r>
              <w:rPr/>
              <w:t>2.3 The Seller must document waterproofing work through construction records, photographs of the essential stages and a specialist contractor's declaration.</w:t>
            </w:r>
          </w:p>
        </w:tc>
      </w:tr>
      <w:tr>
        <w:trPr>
          <w:cantSplit/>
        </w:trPr>
        <w:tc>
          <w:tcPr>
            <w:tcW w:w="7545" w:type="dxa"/>
            <w:tcBorders/>
            <w:vAlign w:val="center"/>
          </w:tcPr>
          <w:p>
            <w:pPr>
              <w:pStyle w:val="Heading2"/>
              <w:keepNext/>
              <w:widowControl/>
              <w:bidi w:val="0"/>
              <w:spacing w:before="200" w:after="120"/>
              <w:ind w:hanging="0" w:start="0" w:end="0"/>
              <w:rPr/>
            </w:pPr>
            <w:bookmarkStart w:id="50" w:name="konstruktion-gebäudehülle"/>
            <w:bookmarkEnd w:id="50"/>
            <w:r>
              <w:rPr/>
              <w:t>3 Konstruktion, Gebäudehülle</w:t>
            </w:r>
          </w:p>
          <w:p>
            <w:pPr>
              <w:pStyle w:val="TableContents"/>
              <w:widowControl/>
              <w:bidi w:val="0"/>
              <w:spacing w:before="0" w:after="283"/>
              <w:rPr/>
            </w:pPr>
            <w:r>
              <w:rPr/>
              <w:t>3.1 Tragwerk: Stahlbeton- und Mauerwerkskonstruktion nach Statik, Geschossdecken aus Stahlbeton, nichttragende Innenwände je nach Lage aus Mauerwerk oder Trockenbau mit geeigneter Schall- und Brandschutzqualität.</w:t>
            </w:r>
          </w:p>
        </w:tc>
        <w:tc>
          <w:tcPr>
            <w:tcW w:w="7989" w:type="dxa"/>
            <w:tcBorders/>
            <w:vAlign w:val="center"/>
          </w:tcPr>
          <w:p>
            <w:pPr>
              <w:pStyle w:val="Heading2"/>
              <w:keepNext/>
              <w:widowControl/>
              <w:bidi w:val="0"/>
              <w:spacing w:before="200" w:after="120"/>
              <w:ind w:hanging="0" w:start="0" w:end="0"/>
              <w:rPr/>
            </w:pPr>
            <w:bookmarkStart w:id="51" w:name="construction-building-envelope"/>
            <w:bookmarkEnd w:id="51"/>
            <w:r>
              <w:rPr/>
              <w:t xml:space="preserve">3 Construction, building envelope </w:t>
            </w:r>
          </w:p>
          <w:p>
            <w:pPr>
              <w:pStyle w:val="TableContents"/>
              <w:widowControl/>
              <w:bidi w:val="0"/>
              <w:spacing w:before="0" w:after="283"/>
              <w:rPr/>
            </w:pPr>
            <w:r>
              <w:rPr/>
              <w:t>3.1 Structure: reinforced concrete and masonry in accordance with the structural design; reinforced-concrete floor slabs; non-load-bearing internal walls of masonry or drywall, depending on location, with appropriate sound insulation and fire resistance.</w:t>
            </w:r>
          </w:p>
        </w:tc>
      </w:tr>
      <w:tr>
        <w:trPr>
          <w:cantSplit/>
        </w:trPr>
        <w:tc>
          <w:tcPr>
            <w:tcW w:w="7545" w:type="dxa"/>
            <w:tcBorders/>
            <w:vAlign w:val="center"/>
          </w:tcPr>
          <w:p>
            <w:pPr>
              <w:pStyle w:val="TableContents"/>
              <w:widowControl/>
              <w:bidi w:val="0"/>
              <w:spacing w:before="0" w:after="283"/>
              <w:rPr/>
            </w:pPr>
            <w:r>
              <w:rPr/>
              <w:t>3.2 Fassade: Wärmedämmverbundsystem oder mineralisch gedämmte Putzfassade nach Energie- und Brandschutzkonzept, farblich hell abgestimmt mit akzentuierten Laibungen. Änderungen der Farbgestaltung dürfen den wertigen Gesamteindruck nicht wesentlich mindern.</w:t>
            </w:r>
          </w:p>
        </w:tc>
        <w:tc>
          <w:tcPr>
            <w:tcW w:w="7989" w:type="dxa"/>
            <w:tcBorders/>
            <w:vAlign w:val="center"/>
          </w:tcPr>
          <w:p>
            <w:pPr>
              <w:pStyle w:val="TableContents"/>
              <w:widowControl/>
              <w:bidi w:val="0"/>
              <w:spacing w:before="0" w:after="283"/>
              <w:rPr/>
            </w:pPr>
            <w:r>
              <w:rPr/>
              <w:t>3.2 Facade: an external thermal insulation composite system or mineral-insulated rendered facade in accordance with the energy and fire protection designs, in coordinated light colours with accentuated reveals. Changes to the colour scheme must not substantially diminish the high-quality overall appearance.</w:t>
            </w:r>
          </w:p>
        </w:tc>
      </w:tr>
      <w:tr>
        <w:trPr>
          <w:cantSplit/>
        </w:trPr>
        <w:tc>
          <w:tcPr>
            <w:tcW w:w="7545" w:type="dxa"/>
            <w:tcBorders/>
            <w:vAlign w:val="center"/>
          </w:tcPr>
          <w:p>
            <w:pPr>
              <w:pStyle w:val="TableContents"/>
              <w:widowControl/>
              <w:bidi w:val="0"/>
              <w:spacing w:before="0" w:after="283"/>
              <w:rPr/>
            </w:pPr>
            <w:r>
              <w:rPr/>
              <w:t>3.3 Fenster und Fenstertüren: Kunststoff-Aluminium- oder Holz-Aluminium-Elemente mit Dreifachverglasung, Dreh-Kipp-Funktion nach Planung, außenliegender Sonnenschutz an den süd- und westorientierten Aufenthaltsräumen, soweit nach Planung vorgesehen.</w:t>
            </w:r>
          </w:p>
        </w:tc>
        <w:tc>
          <w:tcPr>
            <w:tcW w:w="7989" w:type="dxa"/>
            <w:tcBorders/>
            <w:vAlign w:val="center"/>
          </w:tcPr>
          <w:p>
            <w:pPr>
              <w:pStyle w:val="TableContents"/>
              <w:widowControl/>
              <w:bidi w:val="0"/>
              <w:spacing w:before="0" w:after="283"/>
              <w:rPr/>
            </w:pPr>
            <w:r>
              <w:rPr/>
              <w:t>3.3 Windows and glazed doors: PVC-aluminium or timber-aluminium units with triple glazing and tilt-and-turn operation as shown in the plans; external solar shading for south- and west-facing habitable rooms where provided for in the plans.</w:t>
            </w:r>
          </w:p>
        </w:tc>
      </w:tr>
      <w:tr>
        <w:trPr>
          <w:cantSplit/>
        </w:trPr>
        <w:tc>
          <w:tcPr>
            <w:tcW w:w="7545" w:type="dxa"/>
            <w:tcBorders/>
            <w:vAlign w:val="center"/>
          </w:tcPr>
          <w:p>
            <w:pPr>
              <w:pStyle w:val="TableContents"/>
              <w:widowControl/>
              <w:bidi w:val="0"/>
              <w:spacing w:before="0" w:after="283"/>
              <w:rPr/>
            </w:pPr>
            <w:r>
              <w:rPr/>
              <w:t>3.4 Wohnungseingangstür: dichtschließende Tür mit erhöhtem Schallschutz, Mehrfachverriegelung, Spion, Sicherheitsbeschlag und einheitlicher Oberfläche nach Bemusterungslinie Lindenhain Komfort.</w:t>
            </w:r>
          </w:p>
        </w:tc>
        <w:tc>
          <w:tcPr>
            <w:tcW w:w="7989" w:type="dxa"/>
            <w:tcBorders/>
            <w:vAlign w:val="center"/>
          </w:tcPr>
          <w:p>
            <w:pPr>
              <w:pStyle w:val="TableContents"/>
              <w:widowControl/>
              <w:bidi w:val="0"/>
              <w:spacing w:before="0" w:after="283"/>
              <w:rPr/>
            </w:pPr>
            <w:r>
              <w:rPr/>
              <w:t>3.4 Apartment entrance door: a close-fitting door with enhanced sound insulation, multipoint locking, a peephole, security fittings and a uniform finish from the Lindenhain Komfort selection range.</w:t>
            </w:r>
          </w:p>
        </w:tc>
      </w:tr>
      <w:tr>
        <w:trPr>
          <w:cantSplit/>
        </w:trPr>
        <w:tc>
          <w:tcPr>
            <w:tcW w:w="7545" w:type="dxa"/>
            <w:tcBorders/>
            <w:vAlign w:val="center"/>
          </w:tcPr>
          <w:p>
            <w:pPr>
              <w:pStyle w:val="Heading2"/>
              <w:keepNext/>
              <w:widowControl/>
              <w:bidi w:val="0"/>
              <w:spacing w:before="200" w:after="120"/>
              <w:ind w:hanging="0" w:start="0" w:end="0"/>
              <w:rPr/>
            </w:pPr>
            <w:bookmarkStart w:id="52" w:name="energie-heizung-lüftung-sanitär"/>
            <w:bookmarkEnd w:id="52"/>
            <w:r>
              <w:rPr/>
              <w:t>4 Energie, Heizung, Lüftung, Sanitär</w:t>
            </w:r>
          </w:p>
          <w:p>
            <w:pPr>
              <w:pStyle w:val="TableContents"/>
              <w:widowControl/>
              <w:bidi w:val="0"/>
              <w:spacing w:before="0" w:after="283"/>
              <w:rPr/>
            </w:pPr>
            <w:r>
              <w:rPr/>
              <w:t>4.1 Das Gebäude wird nach dem im Zeitpunkt des Bauantrags geltenden Gebäudeenergiegesetz und zusätzlich mit folgenden vertraglichen Höchstwerten hergestellt: Jahres-Primärenergiebedarf höchstens 40 % und spezifischer Transmissionswärmeverlust höchstens 55 % der Werte des jeweiligen GEG-Referenzgebäudes. Diese Beschaffenheit wird unabhängig von der Verfügbarkeit eines Förderprogramms geschuldet; eine konkrete Förderung oder Förderzusage ist nicht garantiert. Die Verkäuferin übergibt Energiebedarfsausweis, GEG-Nachweise und vertraglich vorausgesetzte Finanzierungsnachweise zu den in § 5.2 bestimmten Zeitpunkten.</w:t>
            </w:r>
          </w:p>
        </w:tc>
        <w:tc>
          <w:tcPr>
            <w:tcW w:w="7989" w:type="dxa"/>
            <w:tcBorders/>
            <w:vAlign w:val="center"/>
          </w:tcPr>
          <w:p>
            <w:pPr>
              <w:pStyle w:val="Heading2"/>
              <w:keepNext/>
              <w:widowControl/>
              <w:bidi w:val="0"/>
              <w:spacing w:before="200" w:after="120"/>
              <w:ind w:hanging="0" w:start="0" w:end="0"/>
              <w:rPr/>
            </w:pPr>
            <w:bookmarkStart w:id="53" w:name="energy-heating-ventilation-sanitation"/>
            <w:bookmarkEnd w:id="53"/>
            <w:r>
              <w:rPr/>
              <w:t>4 Energy, Heating, Ventilation and Plumbing</w:t>
            </w:r>
          </w:p>
          <w:p>
            <w:pPr>
              <w:pStyle w:val="TableContents"/>
              <w:widowControl/>
              <w:bidi w:val="0"/>
              <w:spacing w:before="0" w:after="283"/>
              <w:rPr/>
            </w:pPr>
            <w:r>
              <w:rPr/>
              <w:t>4.1 The building will comply with the Building Energy Act applicable when the building application was submitted and additionally meet the following contractual maximum values: annual primary energy demand no more than 40%, and specific transmission heat loss no more than 55%, of the values of the relevant GEG reference building. These performance requirements apply regardless of the availability of any funding programme; no particular funding or funding commitment is guaranteed. The Seller must deliver the energy demand certificate, GEG compliance evidence and contractually required financing evidence at the times specified in section 5.2.</w:t>
            </w:r>
          </w:p>
        </w:tc>
      </w:tr>
      <w:tr>
        <w:trPr>
          <w:cantSplit/>
        </w:trPr>
        <w:tc>
          <w:tcPr>
            <w:tcW w:w="7545" w:type="dxa"/>
            <w:tcBorders/>
            <w:vAlign w:val="center"/>
          </w:tcPr>
          <w:p>
            <w:pPr>
              <w:pStyle w:val="TableContents"/>
              <w:widowControl/>
              <w:bidi w:val="0"/>
              <w:spacing w:before="0" w:after="283"/>
              <w:rPr/>
            </w:pPr>
            <w:r>
              <w:rPr/>
              <w:t>4.2 Wärmeversorgung erfolgt über eine zentrale Wärmepumpe mit ergänzender Spitzenlastabdeckung nach Energiekonzept. Die Wohnung erhält Fußbodenheizung mit Einzelraumregelung in Aufenthaltsräumen, Bad und Küche.</w:t>
            </w:r>
          </w:p>
        </w:tc>
        <w:tc>
          <w:tcPr>
            <w:tcW w:w="7989" w:type="dxa"/>
            <w:tcBorders/>
            <w:vAlign w:val="center"/>
          </w:tcPr>
          <w:p>
            <w:pPr>
              <w:pStyle w:val="TableContents"/>
              <w:widowControl/>
              <w:bidi w:val="0"/>
              <w:spacing w:before="0" w:after="283"/>
              <w:rPr/>
            </w:pPr>
            <w:r>
              <w:rPr/>
              <w:t>4.2 Heating will be provided by a central heat pump with supplementary peak-load capacity in accordance with the energy design. The apartment will have underfloor heating with individual room control in habitable rooms, the bathroom and the kitchen.</w:t>
            </w:r>
          </w:p>
        </w:tc>
      </w:tr>
      <w:tr>
        <w:trPr>
          <w:cantSplit/>
        </w:trPr>
        <w:tc>
          <w:tcPr>
            <w:tcW w:w="7545" w:type="dxa"/>
            <w:tcBorders/>
            <w:vAlign w:val="center"/>
          </w:tcPr>
          <w:p>
            <w:pPr>
              <w:pStyle w:val="TableContents"/>
              <w:widowControl/>
              <w:bidi w:val="0"/>
              <w:spacing w:before="0" w:after="283"/>
              <w:rPr/>
            </w:pPr>
            <w:r>
              <w:rPr/>
              <w:t>4.3 Lüftung erfolgt über ein nutzerunabhängiges Lüftungskonzept mit Fensterfalzlüftern oder dezentralen Lüftungselementen nach Fachplanung. Feuchteschutzlüftung muss ohne dauerndes manuelles Fensterlüften gesichert sein.</w:t>
            </w:r>
          </w:p>
        </w:tc>
        <w:tc>
          <w:tcPr>
            <w:tcW w:w="7989" w:type="dxa"/>
            <w:tcBorders/>
            <w:vAlign w:val="center"/>
          </w:tcPr>
          <w:p>
            <w:pPr>
              <w:pStyle w:val="TableContents"/>
              <w:widowControl/>
              <w:bidi w:val="0"/>
              <w:spacing w:before="0" w:after="283"/>
              <w:rPr/>
            </w:pPr>
            <w:r>
              <w:rPr/>
              <w:t>4.3 Ventilation will follow a design that operates independently of user action, using window-rebate vents or decentralised ventilation units as specified by the specialist designer. Ventilation for moisture protection must be ensured without constant manual opening of windows.</w:t>
            </w:r>
          </w:p>
        </w:tc>
      </w:tr>
      <w:tr>
        <w:trPr>
          <w:cantSplit/>
        </w:trPr>
        <w:tc>
          <w:tcPr>
            <w:tcW w:w="7545" w:type="dxa"/>
            <w:tcBorders/>
            <w:vAlign w:val="center"/>
          </w:tcPr>
          <w:p>
            <w:pPr>
              <w:pStyle w:val="TableContents"/>
              <w:widowControl/>
              <w:bidi w:val="0"/>
              <w:spacing w:before="0" w:after="283"/>
              <w:rPr/>
            </w:pPr>
            <w:r>
              <w:rPr/>
              <w:t>4.4 Bad und Gäste-WC erhalten weiße Sanitärobjekte der Bemusterungslinie Lindenhain Komfort, bodengleiche Dusche im Bad, Waschtisch, wandhängendes WC, verchromte Armaturen eines Markenherstellers und Handtuchheizkörper elektrisch oder warmwassergeführt nach Planung.</w:t>
            </w:r>
          </w:p>
        </w:tc>
        <w:tc>
          <w:tcPr>
            <w:tcW w:w="7989" w:type="dxa"/>
            <w:tcBorders/>
            <w:vAlign w:val="center"/>
          </w:tcPr>
          <w:p>
            <w:pPr>
              <w:pStyle w:val="TableContents"/>
              <w:widowControl/>
              <w:bidi w:val="0"/>
              <w:spacing w:before="0" w:after="283"/>
              <w:rPr/>
            </w:pPr>
            <w:r>
              <w:rPr/>
              <w:t>4.4 The bathroom and guest WC will have white sanitaryware from the Lindenhain Komfort selection range. The bathroom will have a level-access shower. Washbasins, wall-hung WCs, chrome-plated taps from a branded manufacturer and electric or hot-water towel radiators will be provided as planned.</w:t>
            </w:r>
          </w:p>
        </w:tc>
      </w:tr>
      <w:tr>
        <w:trPr>
          <w:cantSplit/>
        </w:trPr>
        <w:tc>
          <w:tcPr>
            <w:tcW w:w="7545" w:type="dxa"/>
            <w:tcBorders/>
            <w:vAlign w:val="center"/>
          </w:tcPr>
          <w:p>
            <w:pPr>
              <w:pStyle w:val="Heading2"/>
              <w:keepNext/>
              <w:widowControl/>
              <w:bidi w:val="0"/>
              <w:spacing w:before="200" w:after="120"/>
              <w:ind w:hanging="0" w:start="0" w:end="0"/>
              <w:rPr/>
            </w:pPr>
            <w:bookmarkStart w:id="54" w:name="elektro-medien-sicherheit"/>
            <w:bookmarkEnd w:id="54"/>
            <w:r>
              <w:rPr/>
              <w:t>5 Elektro, Medien, Sicherheit</w:t>
            </w:r>
          </w:p>
          <w:p>
            <w:pPr>
              <w:pStyle w:val="TableContents"/>
              <w:widowControl/>
              <w:bidi w:val="0"/>
              <w:spacing w:before="0" w:after="283"/>
              <w:rPr/>
            </w:pPr>
            <w:r>
              <w:rPr/>
              <w:t>5.1 Die Elektroinstallation entspricht DIN 18015 Mindestausstattung zuzüglich der in den Plänen dargestellten Steckdosen, Lichtauslässe und Datenanschlüsse. Wohn- und Schlafräume erhalten Netzwerkanschlüsse oder Leerrohre zu einem zentralen Medienverteiler.</w:t>
            </w:r>
          </w:p>
        </w:tc>
        <w:tc>
          <w:tcPr>
            <w:tcW w:w="7989" w:type="dxa"/>
            <w:tcBorders/>
            <w:vAlign w:val="center"/>
          </w:tcPr>
          <w:p>
            <w:pPr>
              <w:pStyle w:val="Heading2"/>
              <w:keepNext/>
              <w:widowControl/>
              <w:bidi w:val="0"/>
              <w:spacing w:before="200" w:after="120"/>
              <w:ind w:hanging="0" w:start="0" w:end="0"/>
              <w:rPr/>
            </w:pPr>
            <w:bookmarkStart w:id="55" w:name="electrical-media-safety"/>
            <w:bookmarkEnd w:id="55"/>
            <w:r>
              <w:rPr/>
              <w:t xml:space="preserve">5 Electrical, media, safety </w:t>
            </w:r>
          </w:p>
          <w:p>
            <w:pPr>
              <w:pStyle w:val="TableContents"/>
              <w:widowControl/>
              <w:bidi w:val="0"/>
              <w:spacing w:before="0" w:after="283"/>
              <w:rPr/>
            </w:pPr>
            <w:r>
              <w:rPr/>
              <w:t>5.1 The electrical installation will meet the minimum provision under DIN 18015, plus the sockets, lighting outlets and data connections shown in the plans. Living rooms and bedrooms will have network connections or empty conduits leading to a central media distribution point.</w:t>
            </w:r>
          </w:p>
        </w:tc>
      </w:tr>
      <w:tr>
        <w:trPr>
          <w:cantSplit/>
        </w:trPr>
        <w:tc>
          <w:tcPr>
            <w:tcW w:w="7545" w:type="dxa"/>
            <w:tcBorders/>
            <w:vAlign w:val="center"/>
          </w:tcPr>
          <w:p>
            <w:pPr>
              <w:pStyle w:val="TableContents"/>
              <w:widowControl/>
              <w:bidi w:val="0"/>
              <w:spacing w:before="0" w:after="283"/>
              <w:rPr/>
            </w:pPr>
            <w:r>
              <w:rPr/>
              <w:t>5.2 Jede Wohnung erhält eine Video- oder Audio-Gegensprechanlage, Rauchwarnmelder nach Landesrecht, vorbereitete Glasfaser- oder Breitbandanbindung und eigene Zähler nach Messkonzept.</w:t>
            </w:r>
          </w:p>
        </w:tc>
        <w:tc>
          <w:tcPr>
            <w:tcW w:w="7989" w:type="dxa"/>
            <w:tcBorders/>
            <w:vAlign w:val="center"/>
          </w:tcPr>
          <w:p>
            <w:pPr>
              <w:pStyle w:val="TableContents"/>
              <w:widowControl/>
              <w:bidi w:val="0"/>
              <w:spacing w:before="0" w:after="283"/>
              <w:rPr/>
            </w:pPr>
            <w:r>
              <w:rPr/>
              <w:t xml:space="preserve">5.2 Each apartment receives a video or audio intercom system, smoke alarms according to state law, prepared fiber optic or broadband connection and its own meters according to measurement concept. </w:t>
            </w:r>
          </w:p>
        </w:tc>
      </w:tr>
      <w:tr>
        <w:trPr>
          <w:cantSplit/>
        </w:trPr>
        <w:tc>
          <w:tcPr>
            <w:tcW w:w="7545" w:type="dxa"/>
            <w:tcBorders/>
            <w:vAlign w:val="center"/>
          </w:tcPr>
          <w:p>
            <w:pPr>
              <w:pStyle w:val="TableContents"/>
              <w:widowControl/>
              <w:bidi w:val="0"/>
              <w:spacing w:before="0" w:after="283"/>
              <w:rPr/>
            </w:pPr>
            <w:r>
              <w:rPr/>
              <w:t>5.3 Gemeinschaftsbereiche erhalten energiesparende Beleuchtung, Bewegungsmelder in Fluren, Keller und Tiefgarage sowie eine ausreichend beleuchtete Hausnummer und Klingelanlage.</w:t>
            </w:r>
          </w:p>
        </w:tc>
        <w:tc>
          <w:tcPr>
            <w:tcW w:w="7989" w:type="dxa"/>
            <w:tcBorders/>
            <w:vAlign w:val="center"/>
          </w:tcPr>
          <w:p>
            <w:pPr>
              <w:pStyle w:val="TableContents"/>
              <w:widowControl/>
              <w:bidi w:val="0"/>
              <w:spacing w:before="0" w:after="283"/>
              <w:rPr/>
            </w:pPr>
            <w:r>
              <w:rPr/>
              <w:t xml:space="preserve">5.3 Common areas receive energy-saving lighting, motion detectors in hallways, basements and underground garage as well as a sufficiently lit house number and bell system. </w:t>
            </w:r>
          </w:p>
        </w:tc>
      </w:tr>
      <w:tr>
        <w:trPr>
          <w:cantSplit/>
        </w:trPr>
        <w:tc>
          <w:tcPr>
            <w:tcW w:w="7545" w:type="dxa"/>
            <w:tcBorders/>
            <w:vAlign w:val="center"/>
          </w:tcPr>
          <w:p>
            <w:pPr>
              <w:pStyle w:val="Heading2"/>
              <w:keepNext/>
              <w:widowControl/>
              <w:bidi w:val="0"/>
              <w:spacing w:before="200" w:after="120"/>
              <w:ind w:hanging="0" w:start="0" w:end="0"/>
              <w:rPr/>
            </w:pPr>
            <w:bookmarkStart w:id="56" w:name="innenausbau-oberflächen-türen"/>
            <w:bookmarkEnd w:id="56"/>
            <w:r>
              <w:rPr/>
              <w:t>6 Innenausbau, Oberflächen, Türen</w:t>
            </w:r>
          </w:p>
          <w:p>
            <w:pPr>
              <w:pStyle w:val="TableContents"/>
              <w:widowControl/>
              <w:bidi w:val="0"/>
              <w:spacing w:before="0" w:after="283"/>
              <w:rPr/>
            </w:pPr>
            <w:r>
              <w:rPr/>
              <w:t>6.1 Wohn- und Schlafräume erhalten Parkett oder hochwertigen Designboden nach Bemusterungslinie. Küche, Bad, Gäste-WC und Abstellraum erhalten Fliesen oder geeigneten Bodenbelag nach Bemusterung.</w:t>
            </w:r>
          </w:p>
        </w:tc>
        <w:tc>
          <w:tcPr>
            <w:tcW w:w="7989" w:type="dxa"/>
            <w:tcBorders/>
            <w:vAlign w:val="center"/>
          </w:tcPr>
          <w:p>
            <w:pPr>
              <w:pStyle w:val="Heading2"/>
              <w:keepNext/>
              <w:widowControl/>
              <w:bidi w:val="0"/>
              <w:spacing w:before="200" w:after="120"/>
              <w:ind w:hanging="0" w:start="0" w:end="0"/>
              <w:rPr/>
            </w:pPr>
            <w:bookmarkStart w:id="57" w:name="interior-surfaces-doors"/>
            <w:bookmarkEnd w:id="57"/>
            <w:r>
              <w:rPr/>
              <w:t xml:space="preserve">6 Interior, surfaces, doors </w:t>
            </w:r>
          </w:p>
          <w:p>
            <w:pPr>
              <w:pStyle w:val="TableContents"/>
              <w:widowControl/>
              <w:bidi w:val="0"/>
              <w:spacing w:before="0" w:after="283"/>
              <w:rPr/>
            </w:pPr>
            <w:r>
              <w:rPr/>
              <w:t>6.1 Living rooms and bedrooms will receive parquet or high-quality designer flooring from the selection range. The kitchen, bathroom, guest WC and storage room will receive tiles or suitable floor coverings as selected.</w:t>
            </w:r>
          </w:p>
        </w:tc>
      </w:tr>
      <w:tr>
        <w:trPr>
          <w:cantSplit/>
        </w:trPr>
        <w:tc>
          <w:tcPr>
            <w:tcW w:w="7545" w:type="dxa"/>
            <w:tcBorders/>
            <w:vAlign w:val="center"/>
          </w:tcPr>
          <w:p>
            <w:pPr>
              <w:pStyle w:val="TableContents"/>
              <w:widowControl/>
              <w:bidi w:val="0"/>
              <w:spacing w:before="0" w:after="283"/>
              <w:rPr/>
            </w:pPr>
            <w:r>
              <w:rPr/>
              <w:t>6.2 Wände und Decken der Wohnung werden malerfertig gespachtelt und weiß gestrichen. Bäder werden im Spritzwasserbereich gefliest; übrige Wandflächen werden geeignet beschichtet.</w:t>
            </w:r>
          </w:p>
        </w:tc>
        <w:tc>
          <w:tcPr>
            <w:tcW w:w="7989" w:type="dxa"/>
            <w:tcBorders/>
            <w:vAlign w:val="center"/>
          </w:tcPr>
          <w:p>
            <w:pPr>
              <w:pStyle w:val="TableContents"/>
              <w:widowControl/>
              <w:bidi w:val="0"/>
              <w:spacing w:before="0" w:after="283"/>
              <w:rPr/>
            </w:pPr>
            <w:r>
              <w:rPr/>
              <w:t>6.2 Apartment walls and ceilings will be filled to a paint-ready finish and painted white. Bathrooms will be tiled in areas exposed to splashing water; the other wall surfaces will receive suitable coatings.</w:t>
            </w:r>
          </w:p>
        </w:tc>
      </w:tr>
      <w:tr>
        <w:trPr>
          <w:cantSplit/>
        </w:trPr>
        <w:tc>
          <w:tcPr>
            <w:tcW w:w="7545" w:type="dxa"/>
            <w:tcBorders/>
            <w:vAlign w:val="center"/>
          </w:tcPr>
          <w:p>
            <w:pPr>
              <w:pStyle w:val="TableContents"/>
              <w:widowControl/>
              <w:bidi w:val="0"/>
              <w:spacing w:before="0" w:after="283"/>
              <w:rPr/>
            </w:pPr>
            <w:r>
              <w:rPr/>
              <w:t>6.3 Innentüren: Röhrenspantüren oder gleichwertige Türen mit CPL- oder Lackoberfläche, Drückergarnituren in Edelstahloptik. Türhöhen und Anschläge nach Plan.</w:t>
            </w:r>
          </w:p>
        </w:tc>
        <w:tc>
          <w:tcPr>
            <w:tcW w:w="7989" w:type="dxa"/>
            <w:tcBorders/>
            <w:vAlign w:val="center"/>
          </w:tcPr>
          <w:p>
            <w:pPr>
              <w:pStyle w:val="TableContents"/>
              <w:widowControl/>
              <w:bidi w:val="0"/>
              <w:spacing w:before="0" w:after="283"/>
              <w:rPr/>
            </w:pPr>
            <w:r>
              <w:rPr/>
              <w:t>6.3 Internal doors: tubular-core chipboard doors or equivalent, with CPL laminate or painted surfaces and handle sets in a stainless-steel finish. Door heights and opening directions will be as shown in the plans.</w:t>
            </w:r>
          </w:p>
        </w:tc>
      </w:tr>
      <w:tr>
        <w:trPr>
          <w:cantSplit/>
        </w:trPr>
        <w:tc>
          <w:tcPr>
            <w:tcW w:w="7545" w:type="dxa"/>
            <w:tcBorders/>
            <w:vAlign w:val="center"/>
          </w:tcPr>
          <w:p>
            <w:pPr>
              <w:pStyle w:val="TableContents"/>
              <w:widowControl/>
              <w:bidi w:val="0"/>
              <w:spacing w:before="0" w:after="283"/>
              <w:rPr/>
            </w:pPr>
            <w:r>
              <w:rPr/>
              <w:t>6.4 Balkon oder Loggia der Einheit B-05 wird mit frostsicherem Belag, Entwässerung, Außensteckdose und Außenleuchte hergestellt.</w:t>
            </w:r>
          </w:p>
        </w:tc>
        <w:tc>
          <w:tcPr>
            <w:tcW w:w="7989" w:type="dxa"/>
            <w:tcBorders/>
            <w:vAlign w:val="center"/>
          </w:tcPr>
          <w:p>
            <w:pPr>
              <w:pStyle w:val="TableContents"/>
              <w:widowControl/>
              <w:bidi w:val="0"/>
              <w:spacing w:before="0" w:after="283"/>
              <w:rPr/>
            </w:pPr>
            <w:r>
              <w:rPr/>
              <w:t xml:space="preserve">6.4 Balcony or loggia of unit B-05 is made with frost-proof covering, drainage, external socket and exterior light. </w:t>
            </w:r>
          </w:p>
        </w:tc>
      </w:tr>
      <w:tr>
        <w:trPr>
          <w:cantSplit/>
        </w:trPr>
        <w:tc>
          <w:tcPr>
            <w:tcW w:w="7545" w:type="dxa"/>
            <w:tcBorders/>
            <w:vAlign w:val="center"/>
          </w:tcPr>
          <w:p>
            <w:pPr>
              <w:pStyle w:val="Heading2"/>
              <w:keepNext/>
              <w:widowControl/>
              <w:bidi w:val="0"/>
              <w:spacing w:before="200" w:after="120"/>
              <w:ind w:hanging="0" w:start="0" w:end="0"/>
              <w:rPr/>
            </w:pPr>
            <w:bookmarkStart w:id="58" w:name="schallschutz-brandschutz-barrierearmut"/>
            <w:bookmarkEnd w:id="58"/>
            <w:r>
              <w:rPr/>
              <w:t>7 Schallschutz, Brandschutz, Barrierearmut</w:t>
            </w:r>
          </w:p>
          <w:p>
            <w:pPr>
              <w:pStyle w:val="TableContents"/>
              <w:widowControl/>
              <w:bidi w:val="0"/>
              <w:spacing w:before="0" w:after="283"/>
              <w:rPr/>
            </w:pPr>
            <w:r>
              <w:rPr/>
              <w:t>7.1 Geschuldet ist der in den Vertragsunterlagen bezeichnete erhöhte Schallschutz für Wohnungstrennwände und Decken, mindestens jedoch der nach anerkannten Regeln der Technik geschuldete Standard. Die Verkäuferin übergibt den Schallschutznachweis.</w:t>
            </w:r>
          </w:p>
        </w:tc>
        <w:tc>
          <w:tcPr>
            <w:tcW w:w="7989" w:type="dxa"/>
            <w:tcBorders/>
            <w:vAlign w:val="center"/>
          </w:tcPr>
          <w:p>
            <w:pPr>
              <w:pStyle w:val="Heading2"/>
              <w:keepNext/>
              <w:widowControl/>
              <w:bidi w:val="0"/>
              <w:spacing w:before="200" w:after="120"/>
              <w:ind w:hanging="0" w:start="0" w:end="0"/>
              <w:rPr/>
            </w:pPr>
            <w:bookmarkStart w:id="59" w:name="soundproofing-fire-protection-barrier-lo"/>
            <w:bookmarkEnd w:id="59"/>
            <w:r>
              <w:rPr/>
              <w:t>7 Sound Insulation, Fire Protection and Reduced-Barrier Accessibility</w:t>
            </w:r>
          </w:p>
          <w:p>
            <w:pPr>
              <w:pStyle w:val="TableContents"/>
              <w:widowControl/>
              <w:bidi w:val="0"/>
              <w:spacing w:before="0" w:after="283"/>
              <w:rPr/>
            </w:pPr>
            <w:r>
              <w:rPr/>
              <w:t>7.1 The enhanced sound insulation specified in the contract documents is required for separating walls and floors between apartments, and in any event at least the standard required by the generally accepted rules of technology. The Seller must provide the sound-insulation compliance evidence.</w:t>
            </w:r>
          </w:p>
        </w:tc>
      </w:tr>
      <w:tr>
        <w:trPr>
          <w:cantSplit/>
        </w:trPr>
        <w:tc>
          <w:tcPr>
            <w:tcW w:w="7545" w:type="dxa"/>
            <w:tcBorders/>
            <w:vAlign w:val="center"/>
          </w:tcPr>
          <w:p>
            <w:pPr>
              <w:pStyle w:val="TableContents"/>
              <w:widowControl/>
              <w:bidi w:val="0"/>
              <w:spacing w:before="0" w:after="283"/>
              <w:rPr/>
            </w:pPr>
            <w:r>
              <w:rPr/>
              <w:t>7.2 Brandschutz wird nach genehmigtem Brandschutzkonzept ausgeführt. Brandschutztüren, Rettungswege, Tiefgarage, Leitungsabschottungen und Rauchwarnmelder werden dokumentiert.</w:t>
            </w:r>
          </w:p>
        </w:tc>
        <w:tc>
          <w:tcPr>
            <w:tcW w:w="7989" w:type="dxa"/>
            <w:tcBorders/>
            <w:vAlign w:val="center"/>
          </w:tcPr>
          <w:p>
            <w:pPr>
              <w:pStyle w:val="TableContents"/>
              <w:widowControl/>
              <w:bidi w:val="0"/>
              <w:spacing w:before="0" w:after="283"/>
              <w:rPr/>
            </w:pPr>
            <w:r>
              <w:rPr/>
              <w:t>7.2 Fire protection will be implemented in accordance with the approved fire protection design. Fire doors, escape routes, the underground garage, firestopping at service penetrations and smoke alarms must be documented.</w:t>
            </w:r>
          </w:p>
        </w:tc>
      </w:tr>
      <w:tr>
        <w:trPr>
          <w:cantSplit/>
        </w:trPr>
        <w:tc>
          <w:tcPr>
            <w:tcW w:w="7545" w:type="dxa"/>
            <w:tcBorders/>
            <w:vAlign w:val="center"/>
          </w:tcPr>
          <w:p>
            <w:pPr>
              <w:pStyle w:val="TableContents"/>
              <w:widowControl/>
              <w:bidi w:val="0"/>
              <w:spacing w:before="0" w:after="283"/>
              <w:rPr/>
            </w:pPr>
            <w:r>
              <w:rPr/>
              <w:t>7.3 Der Hauszugang, der Aufzug, die Flure und die Wohnung B-05 werden barrierearm nutzbar ausgeführt. Eine vollständige Barrierefreiheit nach DIN 18040 ist nur geschuldet, soweit sie ausdrücklich in den Plänen bezeichnet ist.</w:t>
            </w:r>
          </w:p>
        </w:tc>
        <w:tc>
          <w:tcPr>
            <w:tcW w:w="7989" w:type="dxa"/>
            <w:tcBorders/>
            <w:vAlign w:val="center"/>
          </w:tcPr>
          <w:p>
            <w:pPr>
              <w:pStyle w:val="TableContents"/>
              <w:widowControl/>
              <w:bidi w:val="0"/>
              <w:spacing w:before="0" w:after="283"/>
              <w:rPr/>
            </w:pPr>
            <w:r>
              <w:rPr/>
              <w:t>7.3 The building entrance, lift, corridors and apartment B-05 will be designed for use with reduced barriers. Full accessibility under DIN 18040 is required only insofar as expressly specified in the plans.</w:t>
            </w:r>
          </w:p>
        </w:tc>
      </w:tr>
      <w:tr>
        <w:trPr>
          <w:cantSplit/>
        </w:trPr>
        <w:tc>
          <w:tcPr>
            <w:tcW w:w="7545" w:type="dxa"/>
            <w:tcBorders/>
            <w:vAlign w:val="center"/>
          </w:tcPr>
          <w:p>
            <w:pPr>
              <w:pStyle w:val="Heading2"/>
              <w:keepNext/>
              <w:widowControl/>
              <w:bidi w:val="0"/>
              <w:spacing w:before="200" w:after="120"/>
              <w:ind w:hanging="0" w:start="0" w:end="0"/>
              <w:rPr/>
            </w:pPr>
            <w:bookmarkStart w:id="60" w:name="aufzug-keller-tiefgarage-gemeinschaftsrä"/>
            <w:bookmarkEnd w:id="60"/>
            <w:r>
              <w:rPr/>
              <w:t>8 Aufzug, Keller, Tiefgarage, Gemeinschaftsräume</w:t>
            </w:r>
          </w:p>
          <w:p>
            <w:pPr>
              <w:pStyle w:val="TableContents"/>
              <w:widowControl/>
              <w:bidi w:val="0"/>
              <w:spacing w:before="0" w:after="283"/>
              <w:rPr/>
            </w:pPr>
            <w:r>
              <w:rPr/>
              <w:t>8.1 Das Gebäude erhält einen Personenaufzug von der Tiefgarage bis in alle Wohngeschosse. Der Aufzug ist spätestens bei Besitzübergabe der Einheit B-05 betriebsbereit, soweit keine kurzzeitige technische Störung vorliegt.</w:t>
            </w:r>
          </w:p>
        </w:tc>
        <w:tc>
          <w:tcPr>
            <w:tcW w:w="7989" w:type="dxa"/>
            <w:tcBorders/>
            <w:vAlign w:val="center"/>
          </w:tcPr>
          <w:p>
            <w:pPr>
              <w:pStyle w:val="Heading2"/>
              <w:keepNext/>
              <w:widowControl/>
              <w:bidi w:val="0"/>
              <w:spacing w:before="200" w:after="120"/>
              <w:ind w:hanging="0" w:start="0" w:end="0"/>
              <w:rPr/>
            </w:pPr>
            <w:bookmarkStart w:id="61" w:name="elevator-basement-underground-car-park-c"/>
            <w:bookmarkEnd w:id="61"/>
            <w:r>
              <w:rPr/>
              <w:t xml:space="preserve">8 Elevator, basement, underground car park, common areas </w:t>
            </w:r>
          </w:p>
          <w:p>
            <w:pPr>
              <w:pStyle w:val="TableContents"/>
              <w:widowControl/>
              <w:bidi w:val="0"/>
              <w:spacing w:before="0" w:after="283"/>
              <w:rPr/>
            </w:pPr>
            <w:r>
              <w:rPr/>
              <w:t xml:space="preserve">8.1 The building receives a passenger elevator from the underground garage to all residential floors. The elevator is ready for operation at the latest upon transfer of possession of unit B-05, unless there is a short-term technical malfunction. </w:t>
            </w:r>
          </w:p>
        </w:tc>
      </w:tr>
      <w:tr>
        <w:trPr>
          <w:cantSplit/>
        </w:trPr>
        <w:tc>
          <w:tcPr>
            <w:tcW w:w="7545" w:type="dxa"/>
            <w:tcBorders/>
            <w:vAlign w:val="center"/>
          </w:tcPr>
          <w:p>
            <w:pPr>
              <w:pStyle w:val="TableContents"/>
              <w:widowControl/>
              <w:bidi w:val="0"/>
              <w:spacing w:before="0" w:after="283"/>
              <w:rPr/>
            </w:pPr>
            <w:r>
              <w:rPr/>
              <w:t>8.2 Kellerraum K-B05 erhält abschließbare Tür, Beleuchtung in den Verkehrsflächen und trockene, für Lagerzwecke übliche Beschaffenheit. Tiefgaragenstellplatz TG-08 wird markiert, beleuchtet und mit der nach Planung vorgesehenen Ladeinfrastrukturvorbereitung ausgestattet.</w:t>
            </w:r>
          </w:p>
        </w:tc>
        <w:tc>
          <w:tcPr>
            <w:tcW w:w="7989" w:type="dxa"/>
            <w:tcBorders/>
            <w:vAlign w:val="center"/>
          </w:tcPr>
          <w:p>
            <w:pPr>
              <w:pStyle w:val="TableContents"/>
              <w:widowControl/>
              <w:bidi w:val="0"/>
              <w:spacing w:before="0" w:after="283"/>
              <w:rPr/>
            </w:pPr>
            <w:r>
              <w:rPr/>
              <w:t>8.2 Basement storage room K-B05 will have a lockable door, lighting in the circulation areas and a dry condition suitable for ordinary storage. Underground parking space TG-08 will be marked, illuminated and provided with preparatory charging infrastructure as specified in the plans.</w:t>
            </w:r>
          </w:p>
        </w:tc>
      </w:tr>
      <w:tr>
        <w:trPr>
          <w:cantSplit/>
        </w:trPr>
        <w:tc>
          <w:tcPr>
            <w:tcW w:w="7545" w:type="dxa"/>
            <w:tcBorders/>
            <w:vAlign w:val="center"/>
          </w:tcPr>
          <w:p>
            <w:pPr>
              <w:pStyle w:val="TableContents"/>
              <w:widowControl/>
              <w:bidi w:val="0"/>
              <w:spacing w:before="0" w:after="283"/>
              <w:rPr/>
            </w:pPr>
            <w:r>
              <w:rPr/>
              <w:t>8.3 Fahrradraum, Kinderwagenraum, Müllraum und Paketstation werden spätestens bei Bezugsfertigkeit nutzbar hergestellt.</w:t>
            </w:r>
          </w:p>
        </w:tc>
        <w:tc>
          <w:tcPr>
            <w:tcW w:w="7989" w:type="dxa"/>
            <w:tcBorders/>
            <w:vAlign w:val="center"/>
          </w:tcPr>
          <w:p>
            <w:pPr>
              <w:pStyle w:val="TableContents"/>
              <w:widowControl/>
              <w:bidi w:val="0"/>
              <w:spacing w:before="0" w:after="283"/>
              <w:rPr/>
            </w:pPr>
            <w:r>
              <w:rPr/>
              <w:t>8.3 The bicycle room, pram room, refuse room and parcel station must be usable no later than when the apartment is ready for occupancy.</w:t>
            </w:r>
          </w:p>
        </w:tc>
      </w:tr>
      <w:tr>
        <w:trPr>
          <w:cantSplit/>
        </w:trPr>
        <w:tc>
          <w:tcPr>
            <w:tcW w:w="7545" w:type="dxa"/>
            <w:tcBorders/>
            <w:vAlign w:val="center"/>
          </w:tcPr>
          <w:p>
            <w:pPr>
              <w:pStyle w:val="Heading2"/>
              <w:keepNext/>
              <w:widowControl/>
              <w:bidi w:val="0"/>
              <w:spacing w:before="200" w:after="120"/>
              <w:ind w:hanging="0" w:start="0" w:end="0"/>
              <w:rPr/>
            </w:pPr>
            <w:bookmarkStart w:id="62" w:name="bemusterung-auswahlrechte"/>
            <w:bookmarkEnd w:id="62"/>
            <w:r>
              <w:rPr/>
              <w:t>9 Bemusterung, Auswahlrechte</w:t>
            </w:r>
          </w:p>
          <w:p>
            <w:pPr>
              <w:pStyle w:val="TableContents"/>
              <w:widowControl/>
              <w:bidi w:val="0"/>
              <w:spacing w:before="0" w:after="283"/>
              <w:rPr/>
            </w:pPr>
            <w:r>
              <w:rPr/>
              <w:t>9.1 Die Käuferin kann innerhalb der Bemusterungslinie Lindenhain Komfort ohne Mehrpreis aus mindestens drei Bodenvarianten, drei Fliesenserien, zwei Innentür-Oberflächen und zwei Armaturenlinien wählen. Die Verkäuferin lädt rechtzeitig zur Bemusterung ein und dokumentiert die Auswahl.</w:t>
            </w:r>
          </w:p>
        </w:tc>
        <w:tc>
          <w:tcPr>
            <w:tcW w:w="7989" w:type="dxa"/>
            <w:tcBorders/>
            <w:vAlign w:val="center"/>
          </w:tcPr>
          <w:p>
            <w:pPr>
              <w:pStyle w:val="Heading2"/>
              <w:keepNext/>
              <w:widowControl/>
              <w:bidi w:val="0"/>
              <w:spacing w:before="200" w:after="120"/>
              <w:ind w:hanging="0" w:start="0" w:end="0"/>
              <w:rPr/>
            </w:pPr>
            <w:bookmarkStart w:id="63" w:name="selection-of-finishes-and-selection-righ"/>
            <w:bookmarkEnd w:id="63"/>
            <w:r>
              <w:rPr/>
              <w:t xml:space="preserve">9 Selection of Finishes and Selection Rights </w:t>
            </w:r>
          </w:p>
          <w:p>
            <w:pPr>
              <w:pStyle w:val="TableContents"/>
              <w:widowControl/>
              <w:bidi w:val="0"/>
              <w:spacing w:before="0" w:after="283"/>
              <w:rPr/>
            </w:pPr>
            <w:r>
              <w:rPr/>
              <w:t>9.1 Within the Lindenhain Komfort selection range, the Buyer may choose at no extra cost from at least three flooring options, three tile ranges, two internal-door finishes and two tap ranges. The Seller must invite the Buyer to make selections in good time and record her choices.</w:t>
            </w:r>
          </w:p>
        </w:tc>
      </w:tr>
      <w:tr>
        <w:trPr>
          <w:cantSplit/>
        </w:trPr>
        <w:tc>
          <w:tcPr>
            <w:tcW w:w="7545" w:type="dxa"/>
            <w:tcBorders/>
            <w:vAlign w:val="center"/>
          </w:tcPr>
          <w:p>
            <w:pPr>
              <w:pStyle w:val="TableContents"/>
              <w:widowControl/>
              <w:bidi w:val="0"/>
              <w:spacing w:before="0" w:after="283"/>
              <w:rPr/>
            </w:pPr>
            <w:r>
              <w:rPr/>
              <w:t>9.2 Erfolgt trotz Einladung und angemessener Nachfrist keine Auswahl, bestimmt die Verkäuferin eine neutrale, marktübliche Ausführung aus der Bemusterungslinie. Die Auswahl darf den Wert und die Gebrauchstauglichkeit nicht mindern.</w:t>
            </w:r>
          </w:p>
        </w:tc>
        <w:tc>
          <w:tcPr>
            <w:tcW w:w="7989" w:type="dxa"/>
            <w:tcBorders/>
            <w:vAlign w:val="center"/>
          </w:tcPr>
          <w:p>
            <w:pPr>
              <w:pStyle w:val="TableContents"/>
              <w:widowControl/>
              <w:bidi w:val="0"/>
              <w:spacing w:before="0" w:after="283"/>
              <w:rPr/>
            </w:pPr>
            <w:r>
              <w:rPr/>
              <w:t>9.2 If no choice is made despite an invitation and a reasonable additional period, the Seller will select a neutral finish customary in the market from the selection range. This selection must not reduce value or fitness for use.</w:t>
            </w:r>
          </w:p>
        </w:tc>
      </w:tr>
      <w:tr>
        <w:trPr>
          <w:cantSplit/>
        </w:trPr>
        <w:tc>
          <w:tcPr>
            <w:tcW w:w="7545" w:type="dxa"/>
            <w:tcBorders/>
            <w:vAlign w:val="center"/>
          </w:tcPr>
          <w:p>
            <w:pPr>
              <w:pStyle w:val="TableContents"/>
              <w:widowControl/>
              <w:bidi w:val="0"/>
              <w:spacing w:before="0" w:after="283"/>
              <w:rPr/>
            </w:pPr>
            <w:r>
              <w:rPr/>
              <w:t>9.3 Sonderwünsche außerhalb der Bemusterungslinie werden nur nach schriftlicher Beschreibung, Preisangabe, Terminfolge und technischer Prüfung ausgeführt.</w:t>
            </w:r>
          </w:p>
        </w:tc>
        <w:tc>
          <w:tcPr>
            <w:tcW w:w="7989" w:type="dxa"/>
            <w:tcBorders/>
            <w:vAlign w:val="center"/>
          </w:tcPr>
          <w:p>
            <w:pPr>
              <w:pStyle w:val="TableContents"/>
              <w:widowControl/>
              <w:bidi w:val="0"/>
              <w:spacing w:before="0" w:after="283"/>
              <w:rPr/>
            </w:pPr>
            <w:r>
              <w:rPr/>
              <w:t>9.3 Buyer-requested variations outside the selection range will be carried out only after the scope has been described in writing, the price and effects on deadlines stated, and a technical review completed.</w:t>
            </w:r>
          </w:p>
        </w:tc>
      </w:tr>
      <w:tr>
        <w:trPr>
          <w:cantSplit/>
        </w:trPr>
        <w:tc>
          <w:tcPr>
            <w:tcW w:w="7545" w:type="dxa"/>
            <w:tcBorders/>
            <w:vAlign w:val="center"/>
          </w:tcPr>
          <w:p>
            <w:pPr>
              <w:pStyle w:val="Heading2"/>
              <w:keepNext/>
              <w:widowControl/>
              <w:bidi w:val="0"/>
              <w:spacing w:before="200" w:after="120"/>
              <w:ind w:hanging="0" w:start="0" w:end="0"/>
              <w:rPr/>
            </w:pPr>
            <w:bookmarkStart w:id="64" w:name="unterlagen-wartung-übergabe"/>
            <w:bookmarkEnd w:id="64"/>
            <w:r>
              <w:rPr/>
              <w:t>10 Unterlagen, Wartung, Übergabe</w:t>
            </w:r>
          </w:p>
          <w:p>
            <w:pPr>
              <w:pStyle w:val="TableContents"/>
              <w:widowControl/>
              <w:bidi w:val="0"/>
              <w:spacing w:before="0" w:after="283"/>
              <w:rPr/>
            </w:pPr>
            <w:r>
              <w:rPr/>
              <w:t>10.1 Zur Übergabe erhält die Käuferin Bedienungsanleitungen für Heizung, Lüftung, Elektro, Sonnenschutz, Gegensprechanlage, Rauchwarnmelder und sonstige wohnungsbezogene Anlagen.</w:t>
            </w:r>
          </w:p>
        </w:tc>
        <w:tc>
          <w:tcPr>
            <w:tcW w:w="7989" w:type="dxa"/>
            <w:tcBorders/>
            <w:vAlign w:val="center"/>
          </w:tcPr>
          <w:p>
            <w:pPr>
              <w:pStyle w:val="Heading2"/>
              <w:keepNext/>
              <w:widowControl/>
              <w:bidi w:val="0"/>
              <w:spacing w:before="200" w:after="120"/>
              <w:ind w:hanging="0" w:start="0" w:end="0"/>
              <w:rPr/>
            </w:pPr>
            <w:bookmarkStart w:id="65" w:name="documents-maintenance-transfer"/>
            <w:bookmarkEnd w:id="65"/>
            <w:r>
              <w:rPr/>
              <w:t xml:space="preserve">10 Documents, maintenance, transfer </w:t>
            </w:r>
          </w:p>
          <w:p>
            <w:pPr>
              <w:pStyle w:val="TableContents"/>
              <w:widowControl/>
              <w:bidi w:val="0"/>
              <w:spacing w:before="0" w:after="283"/>
              <w:rPr/>
            </w:pPr>
            <w:r>
              <w:rPr/>
              <w:t xml:space="preserve">10.1 For handover, the Buyer receives operating instructions for heating, ventilation, electric, sun protection, intercom, smoke alarms and other residential facilities. </w:t>
            </w:r>
          </w:p>
        </w:tc>
      </w:tr>
      <w:tr>
        <w:trPr>
          <w:cantSplit/>
        </w:trPr>
        <w:tc>
          <w:tcPr>
            <w:tcW w:w="7545" w:type="dxa"/>
            <w:tcBorders/>
            <w:vAlign w:val="center"/>
          </w:tcPr>
          <w:p>
            <w:pPr>
              <w:pStyle w:val="TableContents"/>
              <w:widowControl/>
              <w:bidi w:val="0"/>
              <w:spacing w:before="0" w:after="283"/>
              <w:rPr/>
            </w:pPr>
            <w:r>
              <w:rPr/>
              <w:t>10.2 Die Gemeinschaft erhält Revisionsunterlagen, Wartungshinweise, Prüfprotokolle, Fachunternehmererklärungen und Gewährleistungsübersicht für gemeinschaftliche Anlagen.</w:t>
            </w:r>
          </w:p>
        </w:tc>
        <w:tc>
          <w:tcPr>
            <w:tcW w:w="7989" w:type="dxa"/>
            <w:tcBorders/>
            <w:vAlign w:val="center"/>
          </w:tcPr>
          <w:p>
            <w:pPr>
              <w:pStyle w:val="TableContents"/>
              <w:widowControl/>
              <w:bidi w:val="0"/>
              <w:spacing w:before="0" w:after="283"/>
              <w:rPr/>
            </w:pPr>
            <w:r>
              <w:rPr/>
              <w:t>10.2 The Community receives as-built documentation, maintenance instructions, inspection records, specialist contractors' declarations and a schedule of defect-liability entitlements for communal installations.</w:t>
            </w:r>
          </w:p>
        </w:tc>
      </w:tr>
      <w:tr>
        <w:trPr>
          <w:cantSplit/>
        </w:trPr>
        <w:tc>
          <w:tcPr>
            <w:tcW w:w="7545" w:type="dxa"/>
            <w:tcBorders/>
            <w:vAlign w:val="center"/>
          </w:tcPr>
          <w:p>
            <w:pPr>
              <w:pStyle w:val="TableContents"/>
              <w:widowControl/>
              <w:bidi w:val="0"/>
              <w:spacing w:before="0" w:after="283"/>
              <w:rPr/>
            </w:pPr>
            <w:r>
              <w:rPr/>
              <w:t>10.3 Wartungsbedürftige Anlagen werden so beschrieben, dass die Gemeinschaft nach Übergabe eigenständig Wartungsverträge prüfen, übernehmen oder neu vergeben kann.</w:t>
            </w:r>
          </w:p>
        </w:tc>
        <w:tc>
          <w:tcPr>
            <w:tcW w:w="7989" w:type="dxa"/>
            <w:tcBorders/>
            <w:vAlign w:val="center"/>
          </w:tcPr>
          <w:p>
            <w:pPr>
              <w:pStyle w:val="TableContents"/>
              <w:widowControl/>
              <w:bidi w:val="0"/>
              <w:spacing w:before="0" w:after="283"/>
              <w:rPr/>
            </w:pPr>
            <w:r>
              <w:rPr/>
              <w:t xml:space="preserve">10.3 Installations requiring maintenance are described in such a way that the Community can independently examine, accept or re-assign maintenance contracts after handover. </w:t>
            </w:r>
          </w:p>
        </w:tc>
      </w:tr>
      <w:tr>
        <w:trPr>
          <w:cantSplit/>
        </w:trPr>
        <w:tc>
          <w:tcPr>
            <w:tcW w:w="7545" w:type="dxa"/>
            <w:tcBorders/>
            <w:vAlign w:val="center"/>
          </w:tcPr>
          <w:p>
            <w:pPr>
              <w:pStyle w:val="Heading2"/>
              <w:keepNext/>
              <w:widowControl/>
              <w:bidi w:val="0"/>
              <w:spacing w:before="200" w:after="120"/>
              <w:ind w:hanging="0" w:start="0" w:end="0"/>
              <w:rPr/>
            </w:pPr>
            <w:bookmarkStart w:id="66" w:name="fertigstellung-der-baubeschreibung"/>
            <w:bookmarkEnd w:id="66"/>
            <w:r>
              <w:rPr/>
              <w:t>11 Fertigstellung der Baubeschreibung</w:t>
            </w:r>
          </w:p>
          <w:p>
            <w:pPr>
              <w:pStyle w:val="TableContents"/>
              <w:widowControl/>
              <w:bidi w:val="0"/>
              <w:spacing w:before="0" w:after="283"/>
              <w:rPr/>
            </w:pPr>
            <w:r>
              <w:rPr/>
              <w:t>Diese Baubeschreibung ist Bestandteil des Bauträgervertrags. Bei Lücken oder Unklarheiten gilt die für die Käuferin günstigere Auslegung, soweit sich aus Vertrag, Plänen, anerkannten Regeln der Technik oder zwingendem Recht nichts Eindeutiges ergibt.</w:t>
            </w:r>
          </w:p>
        </w:tc>
        <w:tc>
          <w:tcPr>
            <w:tcW w:w="7989" w:type="dxa"/>
            <w:tcBorders/>
            <w:vAlign w:val="center"/>
          </w:tcPr>
          <w:p>
            <w:pPr>
              <w:pStyle w:val="Heading2"/>
              <w:keepNext/>
              <w:widowControl/>
              <w:bidi w:val="0"/>
              <w:spacing w:before="200" w:after="120"/>
              <w:ind w:hanging="0" w:start="0" w:end="0"/>
              <w:rPr/>
            </w:pPr>
            <w:bookmarkStart w:id="67" w:name="completion-of-the-building-specification"/>
            <w:bookmarkEnd w:id="67"/>
            <w:r>
              <w:rPr/>
              <w:t xml:space="preserve">11 Completion of the Building Specification </w:t>
            </w:r>
          </w:p>
          <w:p>
            <w:pPr>
              <w:pStyle w:val="TableContents"/>
              <w:widowControl/>
              <w:bidi w:val="0"/>
              <w:spacing w:before="0" w:after="283"/>
              <w:rPr/>
            </w:pPr>
            <w:r>
              <w:rPr/>
              <w:t>This Building Specification forms part of the property development contract. Gaps or ambiguities are interpreted in the Buyer's favour unless the contract, plans, generally accepted rules of technology or mandatory law provide a clear answer.</w:t>
            </w:r>
          </w:p>
        </w:tc>
      </w:tr>
      <w:tr>
        <w:trPr>
          <w:cantSplit/>
        </w:trPr>
        <w:tc>
          <w:tcPr>
            <w:tcW w:w="7545" w:type="dxa"/>
            <w:tcBorders/>
            <w:vAlign w:val="center"/>
          </w:tcPr>
          <w:p>
            <w:pPr>
              <w:pStyle w:val="TableContents"/>
              <w:widowControl/>
              <w:bidi w:val="0"/>
              <w:spacing w:before="0" w:after="283"/>
              <w:rPr/>
            </w:pPr>
            <w:r>
              <w:rPr/>
              <w:t>Köln, im September 2026</w:t>
            </w:r>
          </w:p>
        </w:tc>
        <w:tc>
          <w:tcPr>
            <w:tcW w:w="7989" w:type="dxa"/>
            <w:tcBorders/>
            <w:vAlign w:val="center"/>
          </w:tcPr>
          <w:p>
            <w:pPr>
              <w:pStyle w:val="TableContents"/>
              <w:widowControl/>
              <w:bidi w:val="0"/>
              <w:spacing w:before="0" w:after="283"/>
              <w:rPr/>
            </w:pPr>
            <w:r>
              <w:rPr/>
              <w:t xml:space="preserve">Cologne, September 2026 </w:t>
            </w:r>
          </w:p>
        </w:tc>
      </w:tr>
      <w:tr>
        <w:trPr>
          <w:cantSplit/>
        </w:trPr>
        <w:tc>
          <w:tcPr>
            <w:tcW w:w="7545" w:type="dxa"/>
            <w:tcBorders/>
            <w:vAlign w:val="center"/>
          </w:tcPr>
          <w:p>
            <w:pPr>
              <w:pStyle w:val="TableContents"/>
              <w:widowControl/>
              <w:bidi w:val="0"/>
              <w:spacing w:before="0" w:after="283"/>
              <w:rPr/>
            </w:pPr>
            <w:r>
              <w:rPr/>
              <w:t>Lindenhain Wohnwerte GmbH &amp; Co. KG</w:t>
            </w:r>
          </w:p>
        </w:tc>
        <w:tc>
          <w:tcPr>
            <w:tcW w:w="7989" w:type="dxa"/>
            <w:tcBorders/>
            <w:vAlign w:val="center"/>
          </w:tcPr>
          <w:p>
            <w:pPr>
              <w:pStyle w:val="TableContents"/>
              <w:widowControl/>
              <w:bidi w:val="0"/>
              <w:spacing w:before="0" w:after="283"/>
              <w:rPr/>
            </w:pPr>
            <w:r>
              <w:rPr/>
              <w:t xml:space="preserve">Lindenhain Wohnwerte GmbH &amp; Co. KG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545" w:type="dxa"/>
            <w:tcBorders/>
            <w:vAlign w:val="center"/>
          </w:tcPr>
          <w:p>
            <w:pPr>
              <w:pStyle w:val="Heading1"/>
              <w:keepNext/>
              <w:widowControl/>
              <w:bidi w:val="0"/>
              <w:spacing w:before="240" w:after="283"/>
              <w:ind w:hanging="0" w:start="0" w:end="0"/>
              <w:rPr/>
            </w:pPr>
            <w:bookmarkStart w:id="68" w:name="sprachvorrang"/>
            <w:bookmarkEnd w:id="68"/>
            <w:r>
              <w:rPr/>
              <w:t>Sprachvorrang</w:t>
            </w:r>
          </w:p>
          <w:p>
            <w:pPr>
              <w:pStyle w:val="TableContents"/>
              <w:widowControl/>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989" w:type="dxa"/>
            <w:tcBorders/>
            <w:vAlign w:val="center"/>
          </w:tcPr>
          <w:p>
            <w:pPr>
              <w:pStyle w:val="Heading1"/>
              <w:keepNext/>
              <w:widowControl/>
              <w:bidi w:val="0"/>
              <w:spacing w:before="240" w:after="283"/>
              <w:ind w:hanging="0" w:start="0" w:end="0"/>
              <w:rPr/>
            </w:pPr>
            <w:bookmarkStart w:id="69" w:name="language-precedence"/>
            <w:bookmarkEnd w:id="69"/>
            <w:r>
              <w:rPr/>
              <w:t xml:space="preserve">Language Precedence </w:t>
            </w:r>
          </w:p>
          <w:p>
            <w:pPr>
              <w:pStyle w:val="TableContents"/>
              <w:widowControl/>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headerReference xmlns:ns0="http://schemas.openxmlformats.org/officeDocument/2006/relationships" w:type="default" ns0:id="rId6"/>
      <w:type w:val="nextPage"/>
      <w:pgSz w:orient="landscape" w:w="16838" w:h="11906"/>
      <w:pgMar w:left="794" w:right="794" w:gutter="0" w:header="340" w:top="1020" w:footer="340" w:bottom="850"/>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69"/>
    </w:pPr>
    <w:rPr>
      <w:rFonts w:ascii="Times New Roman" w:hAnsi="Times New Roman" w:eastAsia="DejaVu Serif;Georgia;serif" w:cs="DejaVu Serif;Georgia;serif"/>
      <w:color w:val="000000"/>
      <w:sz w:val="20"/>
      <w:szCs w:val="17"/>
      <w:lang w:val="en-US" w:eastAsia="zh-CN" w:bidi="hi-IN"/>
    </w:rPr>
  </w:style>
  <w:style w:type="paragraph" w:styleId="Heading1">
    <w:name w:val="heading 1"/>
    <w:basedOn w:val="Heading"/>
    <w:next w:val="BodyText"/>
    <w:qFormat/>
    <w:pPr>
      <w:keepNext w:val="true"/>
    </w:pPr>
    <w:rPr>
      <w:b/>
      <w:bCs/>
      <w:color w:val="000000"/>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Linux Libertine G" w:cs="Noto Sans"/>
      <w:b/>
      <w:bCs/>
      <w:color w:val="000000"/>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Linux Libertine G" w:cs="Noto Sans"/>
      <w:b/>
      <w:bCs/>
      <w:color w:val="000000"/>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spacing w:before="0" w:after="283"/>
    </w:pPr>
    <w:rPr>
      <w:color w:val="000000"/>
      <w:sz w:val="12"/>
    </w:rPr>
  </w:style>
  <w:style w:type="paragraph" w:styleId="BodyText">
    <w:name w:val="Body Text"/>
    <w:basedOn w:val="Normal"/>
    <w:pPr>
      <w:spacing w:before="0" w:after="283"/>
    </w:pPr>
    <w:rPr>
      <w:color w:val="000000"/>
    </w:rPr>
  </w:style>
  <w:style w:type="paragraph" w:styleId="EnvelopeReturn">
    <w:name w:val="envelope return"/>
    <w:basedOn w:val="Normal"/>
    <w:pPr/>
    <w:rPr>
      <w:i/>
      <w:color w:val="000000"/>
    </w:rPr>
  </w:style>
  <w:style w:type="paragraph" w:styleId="TableContents">
    <w:name w:val="Table Contents"/>
    <w:basedOn w:val="BodyText"/>
    <w:qFormat/>
    <w:pPr/>
    <w:rPr>
      <w:color w:val="000000"/>
    </w:rPr>
  </w:style>
  <w:style w:type="paragraph" w:styleId="Heading">
    <w:name w:val="Heading"/>
    <w:basedOn w:val="Normal"/>
    <w:next w:val="BodyText"/>
    <w:qFormat/>
    <w:pPr>
      <w:keepNext w:val="true"/>
      <w:spacing w:before="240" w:after="283"/>
    </w:pPr>
    <w:rPr>
      <w:rFonts w:ascii="Liberation Sans" w:hAnsi="Liberation Sans"/>
      <w:color w:val="000000"/>
      <w:sz w:val="28"/>
      <w:szCs w:val="28"/>
    </w:rPr>
  </w:style>
  <w:style w:type="paragraph" w:styleId="Index">
    <w:name w:val="Index"/>
    <w:basedOn w:val="Normal"/>
    <w:qFormat/>
    <w:pPr>
      <w:suppressLineNumbers/>
    </w:pPr>
    <w:rPr>
      <w:rFonts w:cs="Noto Sans"/>
      <w:color w:val="000000"/>
    </w:rPr>
  </w:style>
  <w:style w:type="paragraph" w:styleId="Caption">
    <w:name w:val="caption"/>
    <w:basedOn w:val="Normal"/>
    <w:qFormat/>
    <w:pPr>
      <w:suppressLineNumbers/>
      <w:spacing w:before="120" w:after="120"/>
    </w:pPr>
    <w:rPr>
      <w:rFonts w:cs="Noto Sans"/>
      <w:i/>
      <w:iCs/>
      <w:color w:val="000000"/>
      <w:sz w:val="24"/>
      <w:szCs w:val="24"/>
    </w:rPr>
  </w:style>
  <w:style w:type="paragraph" w:styleId="List">
    <w:name w:val="List"/>
    <w:basedOn w:val="BodyText"/>
    <w:pPr/>
    <w:rPr>
      <w:rFonts w:cs="Noto Sans"/>
      <w:color w:val="000000"/>
    </w:rPr>
  </w:style>
  <w:style w:type="paragraph" w:styleId="BlockQuotation">
    <w:name w:val="Block Quotation"/>
    <w:basedOn w:val="Normal"/>
    <w:qFormat/>
    <w:pPr>
      <w:spacing w:before="0" w:after="283"/>
      <w:ind w:hanging="0" w:start="567" w:end="567"/>
    </w:pPr>
    <w:rPr>
      <w:color w:val="000000"/>
    </w:rPr>
  </w:style>
  <w:style w:type="paragraph" w:styleId="BodyTextdoc-note">
    <w:name w:val="Body Text.doc-note"/>
    <w:basedOn w:val="BodyText"/>
    <w:qFormat/>
    <w:pPr/>
    <w:rPr>
      <w:color w:val="000000"/>
      <w:sz w:val="17"/>
      <w:szCs w:val="17"/>
    </w:rPr>
  </w:style>
  <w:style w:type="paragraph" w:styleId="Heading1doc-title">
    <w:name w:val="Heading 1.doc-title"/>
    <w:basedOn w:val="Heading1"/>
    <w:qFormat/>
    <w:pPr/>
    <w:rPr>
      <w:color w:val="000000"/>
      <w:spacing w:val="0"/>
      <w:sz w:val="32"/>
      <w:szCs w:val="32"/>
    </w:rPr>
  </w:style>
  <w:style w:type="paragraph" w:styleId="TableHeading">
    <w:name w:val="Table Heading"/>
    <w:basedOn w:val="TableContents"/>
    <w:qFormat/>
    <w:pPr>
      <w:suppressLineNumbers/>
      <w:jc w:val="center"/>
    </w:pPr>
    <w:rPr>
      <w:b/>
      <w:bCs/>
      <w:color w:val="000000"/>
    </w:rPr>
  </w:style>
  <w:style w:type="paragraph" w:customStyle="1" w:styleId="Title">
    <w:name w:val="Title"/>
    <w:rPr>
      <w:rFonts w:ascii="Times New Roman" w:hAnsi="Times New Roman"/>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10094</Words>
  <Characters>65886</Characters>
  <CharactersWithSpaces>75620</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btv-source-sha256:44ab492d4b5e330df532709f50954544d2192b6244f46405f263aaf0cc03919f</dc:description>
  <cp:keywords>btv-source-sha256:44ab492d4b5e330df532709f50954544d2192b6244f46405f263aaf0cc03919f</cp:keywords>
  <dc:language>en-US</dc:language>
  <cp:lastModifiedBy/>
  <cp:revision>0</cp:revision>
  <dc:subject/>
  <dc:title>Bauträgervertrag Entwurf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tv-source-sha256">
    <vt:lpwstr>44ab492d4b5e330df532709f50954544d2192b6244f46405f263aaf0cc03919f</vt:lpwstr>
  </property>
</Properties>
</file>