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p14 w15">
  <w:body>
    <w:p>
      <w:pPr>
        <w:pStyle w:val="BodyTextdoc-note"/>
        <w:bidi w:val="0"/>
        <w:rPr/>
      </w:pPr>
      <w:r>
        <w:rPr>
          <w:rStyle w:val="Strong"/>
        </w:rPr>
        <w:t>ENTWURF / DRAFT</w:t>
      </w:r>
    </w:p>
    <w:p>
      <w:pPr>
        <w:pStyle w:val="Title"/>
        <w:bidi w:val="0"/>
        <w:rPr/>
      </w:pPr>
      <w:r>
        <w:rPr/>
        <w:t>Wohnungsbauträgervertrag mit Auflassung — Deutsch/English</w:t>
      </w:r>
    </w:p>
    <w:p>
      <w:pPr>
        <w:pStyle w:val="BodyTextdoc-note"/>
        <w:bidi w:val="0"/>
        <w:rPr/>
      </w:pPr>
      <w:r>
        <w:rPr/>
        <w:t>Deutsch-englische Lesefassung. Bei Abweichungen ist die deutsche Sprachfassung maßgeblich.</w:t>
      </w:r>
    </w:p>
    <w:tbl>
      <w:tblPr>
        <w:tblW w:w="15534" w:type="dxa"/>
        <w:jc w:val="start"/>
        <w:tblInd w:w="0" w:type="dxa"/>
        <w:tblLayout w:type="fixed"/>
        <w:tblCellMar>
          <w:top w:w="28" w:type="dxa"/>
          <w:start w:w="28" w:type="dxa"/>
          <w:bottom w:w="28" w:type="dxa"/>
          <w:end w:w="2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290"/>
        <w:gridCol w:w="7244"/>
      </w:tblGrid>
      <w:tr>
        <w:trPr>
          <w:tblHeader w:val="true"/>
          <w:cantSplit/>
        </w:trPr>
        <w:tc>
          <w:tcPr>
            <w:tcW w:w="8290" w:type="dxa"/>
            <w:tcBorders/>
            <w:vAlign w:val="center"/>
          </w:tcPr>
          <w:p>
            <w:pPr>
              <w:pStyle w:val="TableHeading"/>
              <w:widowControl/>
              <w:suppressLineNumbers/>
              <w:bidi w:val="0"/>
              <w:spacing w:before="0" w:after="283"/>
              <w:jc w:val="center"/>
              <w:rPr/>
            </w:pPr>
            <w:r>
              <w:rPr/>
              <w:t>Deutsche Fassung</w:t>
            </w:r>
          </w:p>
        </w:tc>
        <w:tc>
          <w:tcPr>
            <w:tcW w:w="7244" w:type="dxa"/>
            <w:tcBorders/>
            <w:vAlign w:val="center"/>
          </w:tcPr>
          <w:p>
            <w:pPr>
              <w:pStyle w:val="TableHeading"/>
              <w:widowControl/>
              <w:suppressLineNumbers/>
              <w:bidi w:val="0"/>
              <w:spacing w:before="0" w:after="283"/>
              <w:jc w:val="center"/>
              <w:rPr/>
            </w:pPr>
            <w:r>
              <w:rPr/>
              <w:t>English convenience translation</w:t>
            </w:r>
          </w:p>
        </w:tc>
      </w:tr>
      <w:tr>
        <w:trPr>
          <w:cantSplit/>
        </w:trPr>
        <w:tc>
          <w:tcPr>
            <w:tcW w:w="8290" w:type="dxa"/>
            <w:tcBorders/>
            <w:vAlign w:val="center"/>
          </w:tcPr>
          <w:p>
            <w:pPr>
              <w:pStyle w:val="Heading1"/>
              <w:keepNext/>
              <w:widowControl/>
              <w:bidi w:val="0"/>
              <w:spacing w:before="240" w:after="283"/>
              <w:ind w:hanging="0" w:start="0" w:end="0"/>
              <w:rPr/>
            </w:pPr>
            <w:bookmarkStart w:id="0" w:name="entwurf"/>
            <w:bookmarkEnd w:id="0"/>
            <w:r>
              <w:rPr/>
              <w:t>ENTWURF</w:t>
            </w:r>
          </w:p>
          <w:p>
            <w:pPr>
              <w:pStyle w:val="Heading2"/>
              <w:widowControl/>
              <w:bidi w:val="0"/>
              <w:spacing w:before="200" w:after="120"/>
              <w:ind w:hanging="0" w:start="0" w:end="0"/>
              <w:rPr/>
            </w:pPr>
            <w:bookmarkStart w:id="2" w:name="sprachfassung-verlesung-und-verständnish"/>
            <w:bookmarkEnd w:id="2"/>
            <w:r>
              <w:rPr/>
              <w:t>Sprachfassung, Verlesung und Verständnishilfe</w:t>
            </w:r>
          </w:p>
        </w:tc>
        <w:tc>
          <w:tcPr>
            <w:tcW w:w="7244" w:type="dxa"/>
            <w:tcBorders/>
            <w:vAlign w:val="center"/>
          </w:tcPr>
          <w:p>
            <w:pPr>
              <w:pStyle w:val="Heading1"/>
              <w:keepNext/>
              <w:widowControl/>
              <w:bidi w:val="0"/>
              <w:spacing w:before="240" w:after="283"/>
              <w:ind w:hanging="0" w:start="0" w:end="0"/>
              <w:rPr/>
            </w:pPr>
            <w:bookmarkStart w:id="1" w:name="draft"/>
            <w:bookmarkEnd w:id="1"/>
            <w:r>
              <w:rPr/>
              <w:t>DRAFT</w:t>
            </w:r>
          </w:p>
          <w:p>
            <w:pPr>
              <w:pStyle w:val="Heading2"/>
              <w:widowControl/>
              <w:bidi w:val="0"/>
              <w:spacing w:before="200" w:after="120"/>
              <w:ind w:hanging="0" w:start="0" w:end="0"/>
              <w:rPr/>
            </w:pPr>
            <w:bookmarkStart w:id="3" w:name="language-version-reading-aloud-and-compr"/>
            <w:bookmarkEnd w:id="3"/>
            <w:r>
              <w:rPr/>
              <w:t xml:space="preserve">Language Version, Reading Aloud and Comprehension Aid </w:t>
            </w:r>
          </w:p>
        </w:tc>
      </w:tr>
      <w:tr>
        <w:trPr>
          <w:cantSplit/>
        </w:trPr>
        <w:tc>
          <w:tcPr>
            <w:tcW w:w="8290" w:type="dxa"/>
            <w:tcBorders/>
            <w:vAlign w:val="center"/>
          </w:tcPr>
          <w:p>
            <w:pPr>
              <w:pStyle w:val="TableContents"/>
              <w:widowControl/>
              <w:bidi w:val="0"/>
              <w:spacing w:before="0" w:after="283"/>
              <w:rPr/>
            </w:pPr>
            <w:r>
              <w:rPr>
                <w:rStyle w:val="Strong"/>
              </w:rPr>
              <w:t>S.0</w:t>
            </w:r>
            <w:r>
              <w:rPr/>
              <w:t xml:space="preserve"> Diese deutsch-englische Lesefassung ist ein Entwurf. Die amtierende Notarin soll im künftigen Beurkundungstermin ausschließlich die deutsche Sprachfassung beurkunden und verlesen. Die englische Sprachfassung ist keine selbständige Vertragssprache, soll nicht verlesen werden und dient allein dem besseren Verständnis des Käufers; sie begründet keine von der deutschen Sprachfassung abweichenden Rechte, Pflichten, Fälligkeiten, Fristen, Beschaffenheiten oder Rechtsfolgen.</w:t>
            </w:r>
          </w:p>
        </w:tc>
        <w:tc>
          <w:tcPr>
            <w:tcW w:w="7244" w:type="dxa"/>
            <w:tcBorders/>
            <w:vAlign w:val="center"/>
          </w:tcPr>
          <w:p>
            <w:pPr>
              <w:pStyle w:val="TableContents"/>
              <w:widowControl/>
              <w:bidi w:val="0"/>
              <w:spacing w:before="0" w:after="283"/>
              <w:rPr/>
            </w:pPr>
            <w:r>
              <w:rPr>
                <w:rStyle w:val="Strong"/>
              </w:rPr>
              <w:t>S.0</w:t>
            </w:r>
            <w:r>
              <w:rPr/>
              <w:t xml:space="preserve"> This German/English reading version is a draft. At the future notarisation appointment, the acting notary is to record and read aloud only the German language version. The English language version is not an independent contractual language, is not intended to be read aloud and serves solely to assist the Buyer in understanding the draft; it does not create any rights, obligations, due dates, time limits, qualities or legal consequences differing from the German language version.</w:t>
            </w:r>
          </w:p>
        </w:tc>
      </w:tr>
      <w:tr>
        <w:trPr>
          <w:cantSplit/>
        </w:trPr>
        <w:tc>
          <w:tcPr>
            <w:tcW w:w="8290" w:type="dxa"/>
            <w:tcBorders/>
            <w:vAlign w:val="center"/>
          </w:tcPr>
          <w:p>
            <w:pPr>
              <w:pStyle w:val="Heading1"/>
              <w:keepNext/>
              <w:widowControl/>
              <w:bidi w:val="0"/>
              <w:spacing w:before="240" w:after="283"/>
              <w:ind w:hanging="0" w:start="0" w:end="0"/>
              <w:rPr/>
            </w:pPr>
            <w:bookmarkStart w:id="4" w:name="bauträgervertrag"/>
            <w:bookmarkEnd w:id="4"/>
            <w:r>
              <w:rPr/>
              <w:t>Bauträgervertrag</w:t>
            </w:r>
          </w:p>
          <w:p>
            <w:pPr>
              <w:pStyle w:val="TableContents"/>
              <w:widowControl/>
              <w:bidi w:val="0"/>
              <w:spacing w:before="0" w:after="283"/>
              <w:rPr/>
            </w:pPr>
            <w:r>
              <w:rPr>
                <w:rStyle w:val="Strong"/>
              </w:rPr>
              <w:t>UR-Nr. ____________________</w:t>
            </w:r>
          </w:p>
        </w:tc>
        <w:tc>
          <w:tcPr>
            <w:tcW w:w="7244" w:type="dxa"/>
            <w:tcBorders/>
            <w:vAlign w:val="center"/>
          </w:tcPr>
          <w:p>
            <w:pPr>
              <w:pStyle w:val="Heading1"/>
              <w:keepNext/>
              <w:widowControl/>
              <w:bidi w:val="0"/>
              <w:spacing w:before="240" w:after="283"/>
              <w:ind w:hanging="0" w:start="0" w:end="0"/>
              <w:rPr/>
            </w:pPr>
            <w:bookmarkStart w:id="5" w:name="property-development-contract"/>
            <w:bookmarkEnd w:id="5"/>
            <w:r>
              <w:rPr/>
              <w:t xml:space="preserve">Property Development Contract </w:t>
            </w:r>
          </w:p>
          <w:p>
            <w:pPr>
              <w:pStyle w:val="TableContents"/>
              <w:widowControl/>
              <w:bidi w:val="0"/>
              <w:spacing w:before="0" w:after="283"/>
              <w:rPr/>
            </w:pPr>
            <w:r>
              <w:rPr>
                <w:rStyle w:val="Strong"/>
              </w:rPr>
              <w:t>Deed no. ____________________</w:t>
            </w:r>
          </w:p>
        </w:tc>
      </w:tr>
      <w:tr>
        <w:trPr>
          <w:cantSplit/>
        </w:trPr>
        <w:tc>
          <w:tcPr>
            <w:tcW w:w="8290" w:type="dxa"/>
            <w:tcBorders/>
            <w:vAlign w:val="center"/>
          </w:tcPr>
          <w:p>
            <w:pPr>
              <w:pStyle w:val="Heading2"/>
              <w:keepNext/>
              <w:widowControl/>
              <w:bidi w:val="0"/>
              <w:spacing w:before="200" w:after="120"/>
              <w:ind w:hanging="0" w:start="0" w:end="0"/>
              <w:rPr/>
            </w:pPr>
            <w:bookmarkStart w:id="6" w:name="vorgesehener-beurkundungstermin"/>
            <w:bookmarkEnd w:id="6"/>
            <w:r>
              <w:rPr/>
              <w:t>Vorgesehener Beurkundungstermin</w:t>
            </w:r>
          </w:p>
          <w:p>
            <w:pPr>
              <w:pStyle w:val="TableContents"/>
              <w:widowControl/>
              <w:bidi w:val="0"/>
              <w:spacing w:before="0" w:after="283"/>
              <w:rPr/>
            </w:pPr>
            <w:r>
              <w:rPr/>
              <w:t>Hamburg, vorgesehen für den 12. Juni 2026</w:t>
            </w:r>
          </w:p>
        </w:tc>
        <w:tc>
          <w:tcPr>
            <w:tcW w:w="7244" w:type="dxa"/>
            <w:tcBorders/>
            <w:vAlign w:val="center"/>
          </w:tcPr>
          <w:p>
            <w:pPr>
              <w:pStyle w:val="Heading2"/>
              <w:keepNext/>
              <w:widowControl/>
              <w:bidi w:val="0"/>
              <w:spacing w:before="200" w:after="120"/>
              <w:ind w:hanging="0" w:start="0" w:end="0"/>
              <w:rPr/>
            </w:pPr>
            <w:bookmarkStart w:id="7" w:name="proposed-notarisation-appointment"/>
            <w:bookmarkEnd w:id="7"/>
            <w:r>
              <w:rPr/>
              <w:t>Proposed notarisation appointment</w:t>
            </w:r>
          </w:p>
          <w:p>
            <w:pPr>
              <w:pStyle w:val="TableContents"/>
              <w:widowControl/>
              <w:bidi w:val="0"/>
              <w:spacing w:before="0" w:after="283"/>
              <w:rPr/>
            </w:pPr>
            <w:r>
              <w:rPr/>
              <w:t>Hamburg, proposed for 12 June 2026</w:t>
            </w:r>
          </w:p>
        </w:tc>
      </w:tr>
      <w:tr>
        <w:trPr>
          <w:cantSplit/>
        </w:trPr>
        <w:tc>
          <w:tcPr>
            <w:tcW w:w="8290" w:type="dxa"/>
            <w:tcBorders/>
            <w:vAlign w:val="center"/>
          </w:tcPr>
          <w:p>
            <w:pPr>
              <w:pStyle w:val="TableContents"/>
              <w:widowControl/>
              <w:bidi w:val="0"/>
              <w:spacing w:before="0" w:after="283"/>
              <w:rPr/>
            </w:pPr>
            <w:r>
              <w:rPr/>
              <w:t>Vorgesehene Notarin im Bezirk des Hanseatischen Oberlandesgerichts</w:t>
            </w:r>
          </w:p>
        </w:tc>
        <w:tc>
          <w:tcPr>
            <w:tcW w:w="7244" w:type="dxa"/>
            <w:tcBorders/>
            <w:vAlign w:val="center"/>
          </w:tcPr>
          <w:p>
            <w:pPr>
              <w:pStyle w:val="TableContents"/>
              <w:widowControl/>
              <w:bidi w:val="0"/>
              <w:spacing w:before="0" w:after="283"/>
              <w:rPr/>
            </w:pPr>
            <w:r>
              <w:rPr/>
              <w:t>Proposed Notary in the district of the Hanseatic Higher Regional Court</w:t>
            </w:r>
          </w:p>
        </w:tc>
      </w:tr>
      <w:tr>
        <w:trPr>
          <w:cantSplit/>
        </w:trPr>
        <w:tc>
          <w:tcPr>
            <w:tcW w:w="8290" w:type="dxa"/>
            <w:tcBorders/>
            <w:vAlign w:val="center"/>
          </w:tcPr>
          <w:p>
            <w:pPr>
              <w:pStyle w:val="TableContents"/>
              <w:widowControl/>
              <w:bidi w:val="0"/>
              <w:spacing w:before="0" w:after="283"/>
              <w:rPr/>
            </w:pPr>
            <w:r>
              <w:rPr>
                <w:rStyle w:val="Strong"/>
              </w:rPr>
              <w:t>Dr. Cornelia Brakelmann-Stüve</w:t>
            </w:r>
          </w:p>
        </w:tc>
        <w:tc>
          <w:tcPr>
            <w:tcW w:w="7244" w:type="dxa"/>
            <w:tcBorders/>
            <w:vAlign w:val="center"/>
          </w:tcPr>
          <w:p>
            <w:pPr>
              <w:pStyle w:val="TableContents"/>
              <w:widowControl/>
              <w:bidi w:val="0"/>
              <w:spacing w:before="0" w:after="283"/>
              <w:rPr/>
            </w:pPr>
            <w:r>
              <w:rPr>
                <w:rStyle w:val="Strong"/>
              </w:rPr>
              <w:t>Dr. Cornelia Brakelmann-Stüve</w:t>
            </w:r>
            <w:r>
              <w:rPr/>
              <w:t xml:space="preserve"> </w:t>
            </w:r>
          </w:p>
        </w:tc>
      </w:tr>
      <w:tr>
        <w:trPr>
          <w:cantSplit/>
        </w:trPr>
        <w:tc>
          <w:tcPr>
            <w:tcW w:w="8290" w:type="dxa"/>
            <w:tcBorders/>
            <w:vAlign w:val="center"/>
          </w:tcPr>
          <w:p>
            <w:pPr>
              <w:pStyle w:val="TableContents"/>
              <w:widowControl/>
              <w:bidi w:val="0"/>
              <w:spacing w:before="0" w:after="283"/>
              <w:rPr/>
            </w:pPr>
            <w:r>
              <w:rPr/>
              <w:t>Ballindamm 17, 20095 Hamburg</w:t>
            </w:r>
          </w:p>
        </w:tc>
        <w:tc>
          <w:tcPr>
            <w:tcW w:w="7244" w:type="dxa"/>
            <w:tcBorders/>
            <w:vAlign w:val="center"/>
          </w:tcPr>
          <w:p>
            <w:pPr>
              <w:pStyle w:val="TableContents"/>
              <w:widowControl/>
              <w:bidi w:val="0"/>
              <w:spacing w:before="0" w:after="283"/>
              <w:rPr/>
            </w:pPr>
            <w:r>
              <w:rPr/>
              <w:t xml:space="preserve">Ballindamm 17, 20095 Hamburg </w:t>
            </w:r>
          </w:p>
        </w:tc>
      </w:tr>
      <w:tr>
        <w:trPr>
          <w:cantSplit/>
        </w:trPr>
        <w:tc>
          <w:tcPr>
            <w:tcW w:w="8290" w:type="dxa"/>
            <w:tcBorders/>
            <w:vAlign w:val="center"/>
          </w:tcPr>
          <w:p>
            <w:pPr>
              <w:pStyle w:val="TableContents"/>
              <w:widowControl/>
              <w:bidi w:val="0"/>
              <w:spacing w:before="0" w:after="283"/>
              <w:rPr/>
            </w:pPr>
            <w:r>
              <w:rPr/>
              <w:t>Vorgesehene Beteiligte:</w:t>
            </w:r>
          </w:p>
        </w:tc>
        <w:tc>
          <w:tcPr>
            <w:tcW w:w="7244" w:type="dxa"/>
            <w:tcBorders/>
            <w:vAlign w:val="center"/>
          </w:tcPr>
          <w:p>
            <w:pPr>
              <w:pStyle w:val="TableContents"/>
              <w:widowControl/>
              <w:bidi w:val="0"/>
              <w:spacing w:before="0" w:after="283"/>
              <w:rPr/>
            </w:pPr>
            <w:r>
              <w:rPr/>
              <w:t>Proposed parties:</w:t>
            </w:r>
          </w:p>
        </w:tc>
      </w:tr>
      <w:tr>
        <w:trPr>
          <w:cantSplit/>
        </w:trPr>
        <w:tc>
          <w:tcPr>
            <w:tcW w:w="8290" w:type="dxa"/>
            <w:tcBorders/>
            <w:vAlign w:val="center"/>
          </w:tcPr>
          <w:p>
            <w:pPr>
              <w:pStyle w:val="TableContents"/>
              <w:widowControl/>
              <w:bidi w:val="0"/>
              <w:spacing w:before="0" w:after="283"/>
              <w:rPr/>
            </w:pPr>
            <w:r>
              <w:rPr/>
              <w:t xml:space="preserve">Herr </w:t>
            </w:r>
            <w:r>
              <w:rPr>
                <w:rStyle w:val="Strong"/>
              </w:rPr>
              <w:t>Gisbert Tönnemann-Loose</w:t>
            </w:r>
            <w:r>
              <w:rPr/>
              <w:t>, geboren am 24.09.1972,</w:t>
            </w:r>
          </w:p>
        </w:tc>
        <w:tc>
          <w:tcPr>
            <w:tcW w:w="7244" w:type="dxa"/>
            <w:tcBorders/>
            <w:vAlign w:val="center"/>
          </w:tcPr>
          <w:p>
            <w:pPr>
              <w:pStyle w:val="TableContents"/>
              <w:widowControl/>
              <w:bidi w:val="0"/>
              <w:spacing w:before="0" w:after="283"/>
              <w:rPr/>
            </w:pPr>
            <w:r>
              <w:rPr/>
              <w:t xml:space="preserve">Mr Gisbert Tönnemann-Loose, born 24.09.1972, </w:t>
            </w:r>
          </w:p>
        </w:tc>
      </w:tr>
      <w:tr>
        <w:trPr>
          <w:cantSplit/>
        </w:trPr>
        <w:tc>
          <w:tcPr>
            <w:tcW w:w="8290" w:type="dxa"/>
            <w:tcBorders/>
            <w:vAlign w:val="center"/>
          </w:tcPr>
          <w:p>
            <w:pPr>
              <w:pStyle w:val="TableContents"/>
              <w:widowControl/>
              <w:bidi w:val="0"/>
              <w:spacing w:before="0" w:after="283"/>
              <w:rPr/>
            </w:pPr>
            <w:r>
              <w:rPr/>
              <w:t>geschäftsansässig: Mundsburger Damm 5, 22087 Hamburg,</w:t>
            </w:r>
          </w:p>
        </w:tc>
        <w:tc>
          <w:tcPr>
            <w:tcW w:w="7244" w:type="dxa"/>
            <w:tcBorders/>
            <w:vAlign w:val="center"/>
          </w:tcPr>
          <w:p>
            <w:pPr>
              <w:pStyle w:val="TableContents"/>
              <w:widowControl/>
              <w:bidi w:val="0"/>
              <w:spacing w:before="0" w:after="283"/>
              <w:rPr/>
            </w:pPr>
            <w:r>
              <w:rPr/>
              <w:t xml:space="preserve">business address: Mundsburger Damm 5, 22087 Hamburg, </w:t>
            </w:r>
          </w:p>
        </w:tc>
      </w:tr>
      <w:tr>
        <w:trPr>
          <w:cantSplit/>
        </w:trPr>
        <w:tc>
          <w:tcPr>
            <w:tcW w:w="8290" w:type="dxa"/>
            <w:tcBorders/>
            <w:vAlign w:val="center"/>
          </w:tcPr>
          <w:p>
            <w:pPr>
              <w:pStyle w:val="TableContents"/>
              <w:widowControl/>
              <w:bidi w:val="0"/>
              <w:spacing w:before="0" w:after="283"/>
              <w:rPr/>
            </w:pPr>
            <w:r>
              <w:rPr/>
              <w:t>Identität im Beurkundungstermin festzustellen,</w:t>
            </w:r>
          </w:p>
        </w:tc>
        <w:tc>
          <w:tcPr>
            <w:tcW w:w="7244" w:type="dxa"/>
            <w:tcBorders/>
            <w:vAlign w:val="center"/>
          </w:tcPr>
          <w:p>
            <w:pPr>
              <w:pStyle w:val="TableContents"/>
              <w:widowControl/>
              <w:bidi w:val="0"/>
              <w:spacing w:before="0" w:after="283"/>
              <w:rPr/>
            </w:pPr>
            <w:r>
              <w:rPr/>
              <w:t>identity to be verified at the notarisation appointment,</w:t>
            </w:r>
          </w:p>
        </w:tc>
      </w:tr>
      <w:tr>
        <w:trPr>
          <w:cantSplit/>
        </w:trPr>
        <w:tc>
          <w:tcPr>
            <w:tcW w:w="8290" w:type="dxa"/>
            <w:tcBorders/>
            <w:vAlign w:val="center"/>
          </w:tcPr>
          <w:p>
            <w:pPr>
              <w:pStyle w:val="TableContents"/>
              <w:widowControl/>
              <w:bidi w:val="0"/>
              <w:spacing w:before="0" w:after="283"/>
              <w:rPr/>
            </w:pPr>
            <w:r>
              <w:rPr/>
              <w:t>handelnd nicht im eigenen Namen, sondern als alleinvertretungsberechtigter, von den Beschränkungen des § 181 BGB befreiter Geschäftsführer der</w:t>
            </w:r>
          </w:p>
        </w:tc>
        <w:tc>
          <w:tcPr>
            <w:tcW w:w="7244" w:type="dxa"/>
            <w:tcBorders/>
            <w:vAlign w:val="center"/>
          </w:tcPr>
          <w:p>
            <w:pPr>
              <w:pStyle w:val="TableContents"/>
              <w:widowControl/>
              <w:bidi w:val="0"/>
              <w:spacing w:before="0" w:after="283"/>
              <w:rPr/>
            </w:pPr>
            <w:r>
              <w:rPr/>
              <w:t>acting not in his own name, but as the managing director authorised to represent the company alone and exempt from the restrictions of section 181 BGB, of</w:t>
            </w:r>
          </w:p>
        </w:tc>
      </w:tr>
      <w:tr>
        <w:trPr>
          <w:cantSplit/>
        </w:trPr>
        <w:tc>
          <w:tcPr>
            <w:tcW w:w="8290" w:type="dxa"/>
            <w:tcBorders/>
            <w:vAlign w:val="center"/>
          </w:tcPr>
          <w:p>
            <w:pPr>
              <w:pStyle w:val="TableContents"/>
              <w:widowControl/>
              <w:bidi w:val="0"/>
              <w:spacing w:before="0" w:after="283"/>
              <w:rPr/>
            </w:pPr>
            <w:r>
              <w:rPr>
                <w:rStyle w:val="Strong"/>
              </w:rPr>
              <w:t>Marewald Verwaltungs GmbH</w:t>
            </w:r>
          </w:p>
        </w:tc>
        <w:tc>
          <w:tcPr>
            <w:tcW w:w="7244" w:type="dxa"/>
            <w:tcBorders/>
            <w:vAlign w:val="center"/>
          </w:tcPr>
          <w:p>
            <w:pPr>
              <w:pStyle w:val="TableContents"/>
              <w:widowControl/>
              <w:bidi w:val="0"/>
              <w:spacing w:before="0" w:after="283"/>
              <w:rPr/>
            </w:pPr>
            <w:r>
              <w:rPr>
                <w:rStyle w:val="Strong"/>
              </w:rPr>
              <w:t>Marewald Verwaltungs GmbH</w:t>
            </w:r>
            <w:r>
              <w:rPr/>
              <w:t xml:space="preserve"> </w:t>
            </w:r>
          </w:p>
        </w:tc>
      </w:tr>
      <w:tr>
        <w:trPr>
          <w:cantSplit/>
        </w:trPr>
        <w:tc>
          <w:tcPr>
            <w:tcW w:w="8290" w:type="dxa"/>
            <w:tcBorders/>
            <w:vAlign w:val="center"/>
          </w:tcPr>
          <w:p>
            <w:pPr>
              <w:pStyle w:val="TableContents"/>
              <w:widowControl/>
              <w:bidi w:val="0"/>
              <w:spacing w:before="0" w:after="283"/>
              <w:rPr/>
            </w:pPr>
            <w:r>
              <w:rPr/>
              <w:t>(Amtsgericht Hamburg, HRB 158 994),</w:t>
            </w:r>
          </w:p>
        </w:tc>
        <w:tc>
          <w:tcPr>
            <w:tcW w:w="7244" w:type="dxa"/>
            <w:tcBorders/>
            <w:vAlign w:val="center"/>
          </w:tcPr>
          <w:p>
            <w:pPr>
              <w:pStyle w:val="TableContents"/>
              <w:widowControl/>
              <w:bidi w:val="0"/>
              <w:spacing w:before="0" w:after="283"/>
              <w:rPr/>
            </w:pPr>
            <w:r>
              <w:rPr/>
              <w:t xml:space="preserve">(Amtsgericht Hamburg, HRB 158 994), </w:t>
            </w:r>
          </w:p>
        </w:tc>
      </w:tr>
      <w:tr>
        <w:trPr>
          <w:cantSplit/>
        </w:trPr>
        <w:tc>
          <w:tcPr>
            <w:tcW w:w="8290" w:type="dxa"/>
            <w:tcBorders/>
            <w:vAlign w:val="center"/>
          </w:tcPr>
          <w:p>
            <w:pPr>
              <w:pStyle w:val="TableContents"/>
              <w:widowControl/>
              <w:bidi w:val="0"/>
              <w:spacing w:before="0" w:after="283"/>
              <w:rPr/>
            </w:pPr>
            <w:r>
              <w:rPr/>
              <w:t>diese handelnd als persönlich haftende Gesellschafterin für die</w:t>
            </w:r>
          </w:p>
        </w:tc>
        <w:tc>
          <w:tcPr>
            <w:tcW w:w="7244" w:type="dxa"/>
            <w:tcBorders/>
            <w:vAlign w:val="center"/>
          </w:tcPr>
          <w:p>
            <w:pPr>
              <w:pStyle w:val="TableContents"/>
              <w:widowControl/>
              <w:bidi w:val="0"/>
              <w:spacing w:before="0" w:after="283"/>
              <w:rPr/>
            </w:pPr>
            <w:r>
              <w:rPr/>
              <w:t xml:space="preserve">acting as a personally liable partner for the </w:t>
            </w:r>
          </w:p>
        </w:tc>
      </w:tr>
      <w:tr>
        <w:trPr>
          <w:cantSplit/>
        </w:trPr>
        <w:tc>
          <w:tcPr>
            <w:tcW w:w="8290" w:type="dxa"/>
            <w:tcBorders/>
            <w:vAlign w:val="center"/>
          </w:tcPr>
          <w:p>
            <w:pPr>
              <w:pStyle w:val="TableContents"/>
              <w:widowControl/>
              <w:bidi w:val="0"/>
              <w:spacing w:before="0" w:after="283"/>
              <w:rPr/>
            </w:pPr>
            <w:r>
              <w:rPr>
                <w:rStyle w:val="Strong"/>
              </w:rPr>
              <w:t>Marewald Wohnbau GmbH &amp; Co. KG</w:t>
            </w:r>
          </w:p>
        </w:tc>
        <w:tc>
          <w:tcPr>
            <w:tcW w:w="7244" w:type="dxa"/>
            <w:tcBorders/>
            <w:vAlign w:val="center"/>
          </w:tcPr>
          <w:p>
            <w:pPr>
              <w:pStyle w:val="TableContents"/>
              <w:widowControl/>
              <w:bidi w:val="0"/>
              <w:spacing w:before="0" w:after="283"/>
              <w:rPr/>
            </w:pPr>
            <w:r>
              <w:rPr>
                <w:rStyle w:val="Strong"/>
              </w:rPr>
              <w:t>Marewald Wohnbau GmbH &amp; Co. KG</w:t>
            </w:r>
            <w:r>
              <w:rPr/>
              <w:t xml:space="preserve"> </w:t>
            </w:r>
          </w:p>
        </w:tc>
      </w:tr>
      <w:tr>
        <w:trPr>
          <w:cantSplit/>
        </w:trPr>
        <w:tc>
          <w:tcPr>
            <w:tcW w:w="8290" w:type="dxa"/>
            <w:tcBorders/>
            <w:vAlign w:val="center"/>
          </w:tcPr>
          <w:p>
            <w:pPr>
              <w:pStyle w:val="TableContents"/>
              <w:widowControl/>
              <w:bidi w:val="0"/>
              <w:spacing w:before="0" w:after="283"/>
              <w:rPr/>
            </w:pPr>
            <w:r>
              <w:rPr/>
              <w:t>(Amtsgericht Hamburg, HRA 121 540),</w:t>
            </w:r>
          </w:p>
        </w:tc>
        <w:tc>
          <w:tcPr>
            <w:tcW w:w="7244" w:type="dxa"/>
            <w:tcBorders/>
            <w:vAlign w:val="center"/>
          </w:tcPr>
          <w:p>
            <w:pPr>
              <w:pStyle w:val="TableContents"/>
              <w:widowControl/>
              <w:bidi w:val="0"/>
              <w:spacing w:before="0" w:after="283"/>
              <w:rPr/>
            </w:pPr>
            <w:r>
              <w:rPr/>
              <w:t xml:space="preserve">(Amtsgericht Hamburg, HRA 121 540), </w:t>
            </w:r>
          </w:p>
        </w:tc>
      </w:tr>
      <w:tr>
        <w:trPr>
          <w:cantSplit/>
        </w:trPr>
        <w:tc>
          <w:tcPr>
            <w:tcW w:w="8290" w:type="dxa"/>
            <w:tcBorders/>
            <w:vAlign w:val="center"/>
          </w:tcPr>
          <w:p>
            <w:pPr>
              <w:pStyle w:val="TableContents"/>
              <w:widowControl/>
              <w:bidi w:val="0"/>
              <w:spacing w:before="0" w:after="283"/>
              <w:rPr/>
            </w:pPr>
            <w:r>
              <w:rPr/>
              <w:t>Geschäftsanschrift: Mundsburger Damm 5, 22087 Hamburg,</w:t>
            </w:r>
          </w:p>
        </w:tc>
        <w:tc>
          <w:tcPr>
            <w:tcW w:w="7244" w:type="dxa"/>
            <w:tcBorders/>
            <w:vAlign w:val="center"/>
          </w:tcPr>
          <w:p>
            <w:pPr>
              <w:pStyle w:val="TableContents"/>
              <w:widowControl/>
              <w:bidi w:val="0"/>
              <w:spacing w:before="0" w:after="283"/>
              <w:rPr/>
            </w:pPr>
            <w:r>
              <w:rPr/>
              <w:t xml:space="preserve">business address: Mundsburger Damm 5, 22087 Hamburg, </w:t>
            </w:r>
          </w:p>
        </w:tc>
      </w:tr>
      <w:tr>
        <w:trPr>
          <w:cantSplit/>
        </w:trPr>
        <w:tc>
          <w:tcPr>
            <w:tcW w:w="8290" w:type="dxa"/>
            <w:tcBorders/>
            <w:vAlign w:val="center"/>
          </w:tcPr>
          <w:p>
            <w:pPr>
              <w:pStyle w:val="TableContents"/>
              <w:widowControl/>
              <w:bidi w:val="0"/>
              <w:spacing w:before="0" w:after="283"/>
              <w:rPr/>
            </w:pPr>
            <w:r>
              <w:rPr/>
              <w:t xml:space="preserve">— </w:t>
            </w:r>
            <w:r>
              <w:rPr/>
              <w:t>nachstehend auch „Verkäufer” genannt —.</w:t>
            </w:r>
          </w:p>
        </w:tc>
        <w:tc>
          <w:tcPr>
            <w:tcW w:w="7244" w:type="dxa"/>
            <w:tcBorders/>
            <w:vAlign w:val="center"/>
          </w:tcPr>
          <w:p>
            <w:pPr>
              <w:pStyle w:val="TableContents"/>
              <w:widowControl/>
              <w:bidi w:val="0"/>
              <w:spacing w:before="0" w:after="283"/>
              <w:rPr/>
            </w:pPr>
            <w:r>
              <w:rPr/>
              <w:t xml:space="preserve">hereinafter referred to as ‘the Seller’. </w:t>
            </w:r>
          </w:p>
        </w:tc>
      </w:tr>
      <w:tr>
        <w:trPr>
          <w:cantSplit/>
        </w:trPr>
        <w:tc>
          <w:tcPr>
            <w:tcW w:w="8290" w:type="dxa"/>
            <w:tcBorders/>
            <w:vAlign w:val="center"/>
          </w:tcPr>
          <w:p>
            <w:pPr>
              <w:pStyle w:val="TableContents"/>
              <w:widowControl/>
              <w:bidi w:val="0"/>
              <w:spacing w:before="0" w:after="283"/>
              <w:rPr/>
            </w:pPr>
            <w:r>
              <w:rPr/>
              <w:t>Die Vertretungsberechtigung ist im Beurkundungstermin anhand des Handelsregisters nachzuweisen.</w:t>
            </w:r>
          </w:p>
        </w:tc>
        <w:tc>
          <w:tcPr>
            <w:tcW w:w="7244" w:type="dxa"/>
            <w:tcBorders/>
            <w:vAlign w:val="center"/>
          </w:tcPr>
          <w:p>
            <w:pPr>
              <w:pStyle w:val="TableContents"/>
              <w:widowControl/>
              <w:bidi w:val="0"/>
              <w:spacing w:before="0" w:after="283"/>
              <w:rPr/>
            </w:pPr>
            <w:r>
              <w:rPr/>
              <w:t>Authority to represent the Seller must be verified against the Commercial Register at the notarisation appointment.</w:t>
            </w:r>
          </w:p>
        </w:tc>
      </w:tr>
      <w:tr>
        <w:trPr>
          <w:cantSplit/>
        </w:trPr>
        <w:tc>
          <w:tcPr>
            <w:tcW w:w="8290" w:type="dxa"/>
            <w:tcBorders/>
            <w:vAlign w:val="center"/>
          </w:tcPr>
          <w:p>
            <w:pPr>
              <w:pStyle w:val="TableContents"/>
              <w:widowControl/>
              <w:bidi w:val="0"/>
              <w:spacing w:before="0" w:after="283"/>
              <w:rPr/>
            </w:pPr>
            <w:r>
              <w:rPr/>
              <w:t xml:space="preserve">Frau </w:t>
            </w:r>
            <w:r>
              <w:rPr>
                <w:rStyle w:val="Strong"/>
              </w:rPr>
              <w:t>Dr. Henrike Salentin-Voßkamp</w:t>
            </w:r>
            <w:r>
              <w:rPr/>
              <w:t>, geboren am 07.05.1979,</w:t>
            </w:r>
          </w:p>
        </w:tc>
        <w:tc>
          <w:tcPr>
            <w:tcW w:w="7244" w:type="dxa"/>
            <w:tcBorders/>
            <w:vAlign w:val="center"/>
          </w:tcPr>
          <w:p>
            <w:pPr>
              <w:pStyle w:val="TableContents"/>
              <w:widowControl/>
              <w:bidi w:val="0"/>
              <w:spacing w:before="0" w:after="283"/>
              <w:rPr/>
            </w:pPr>
            <w:r>
              <w:rPr/>
              <w:t xml:space="preserve">Ms Dr Henrike Salentin-Voßkamp, born on 07.05.1979, </w:t>
            </w:r>
          </w:p>
        </w:tc>
      </w:tr>
      <w:tr>
        <w:trPr>
          <w:cantSplit/>
        </w:trPr>
        <w:tc>
          <w:tcPr>
            <w:tcW w:w="8290" w:type="dxa"/>
            <w:tcBorders/>
            <w:vAlign w:val="center"/>
          </w:tcPr>
          <w:p>
            <w:pPr>
              <w:pStyle w:val="TableContents"/>
              <w:widowControl/>
              <w:bidi w:val="0"/>
              <w:spacing w:before="0" w:after="283"/>
              <w:rPr/>
            </w:pPr>
            <w:r>
              <w:rPr/>
              <w:t>wohnhaft: Wandsbeker Chaussee 162, 22089 Hamburg,</w:t>
            </w:r>
          </w:p>
        </w:tc>
        <w:tc>
          <w:tcPr>
            <w:tcW w:w="7244" w:type="dxa"/>
            <w:tcBorders/>
            <w:vAlign w:val="center"/>
          </w:tcPr>
          <w:p>
            <w:pPr>
              <w:pStyle w:val="TableContents"/>
              <w:widowControl/>
              <w:bidi w:val="0"/>
              <w:spacing w:before="0" w:after="283"/>
              <w:rPr/>
            </w:pPr>
            <w:r>
              <w:rPr/>
              <w:t xml:space="preserve">resident at: Wandsbeker Chaussee 162, 22089 Hamburg, </w:t>
            </w:r>
          </w:p>
        </w:tc>
      </w:tr>
      <w:tr>
        <w:trPr>
          <w:cantSplit/>
        </w:trPr>
        <w:tc>
          <w:tcPr>
            <w:tcW w:w="8290" w:type="dxa"/>
            <w:tcBorders/>
            <w:vAlign w:val="center"/>
          </w:tcPr>
          <w:p>
            <w:pPr>
              <w:pStyle w:val="TableContents"/>
              <w:widowControl/>
              <w:bidi w:val="0"/>
              <w:spacing w:before="0" w:after="283"/>
              <w:rPr/>
            </w:pPr>
            <w:r>
              <w:rPr/>
              <w:t>Identität im Beurkundungstermin durch gültigen Personalausweis festzustellen,</w:t>
            </w:r>
          </w:p>
        </w:tc>
        <w:tc>
          <w:tcPr>
            <w:tcW w:w="7244" w:type="dxa"/>
            <w:tcBorders/>
            <w:vAlign w:val="center"/>
          </w:tcPr>
          <w:p>
            <w:pPr>
              <w:pStyle w:val="TableContents"/>
              <w:widowControl/>
              <w:bidi w:val="0"/>
              <w:spacing w:before="0" w:after="283"/>
              <w:rPr/>
            </w:pPr>
            <w:r>
              <w:rPr/>
              <w:t>identity to be verified by a valid identity card at the notarisation appointment,</w:t>
            </w:r>
          </w:p>
        </w:tc>
      </w:tr>
      <w:tr>
        <w:trPr>
          <w:cantSplit/>
        </w:trPr>
        <w:tc>
          <w:tcPr>
            <w:tcW w:w="8290" w:type="dxa"/>
            <w:tcBorders/>
            <w:vAlign w:val="center"/>
          </w:tcPr>
          <w:p>
            <w:pPr>
              <w:pStyle w:val="TableContents"/>
              <w:widowControl/>
              <w:bidi w:val="0"/>
              <w:spacing w:before="0" w:after="283"/>
              <w:rPr/>
            </w:pPr>
            <w:r>
              <w:rPr/>
              <w:t xml:space="preserve">— </w:t>
            </w:r>
            <w:r>
              <w:rPr/>
              <w:t>nachstehend auch „Käufer” genannt —.</w:t>
            </w:r>
          </w:p>
        </w:tc>
        <w:tc>
          <w:tcPr>
            <w:tcW w:w="7244" w:type="dxa"/>
            <w:tcBorders/>
            <w:vAlign w:val="center"/>
          </w:tcPr>
          <w:p>
            <w:pPr>
              <w:pStyle w:val="TableContents"/>
              <w:widowControl/>
              <w:bidi w:val="0"/>
              <w:spacing w:before="0" w:after="283"/>
              <w:rPr/>
            </w:pPr>
            <w:r>
              <w:rPr/>
              <w:t xml:space="preserve">hereinafter also referred to as ‘Buyer’. </w:t>
            </w:r>
          </w:p>
        </w:tc>
      </w:tr>
      <w:tr>
        <w:trPr>
          <w:cantSplit/>
        </w:trPr>
        <w:tc>
          <w:tcPr>
            <w:tcW w:w="8290" w:type="dxa"/>
            <w:tcBorders/>
            <w:vAlign w:val="center"/>
          </w:tcPr>
          <w:p>
            <w:pPr>
              <w:pStyle w:val="TableContents"/>
              <w:widowControl/>
              <w:bidi w:val="0"/>
              <w:spacing w:before="0" w:after="283"/>
              <w:rPr/>
            </w:pPr>
            <w:r>
              <w:rPr/>
              <w:t>Im Beurkundungstermin sollen der Beteiligte zu 1. das Handeln auf Rechnung des Vertretenen und die Beteiligte zu 2. das Handeln auf eigene Rechnung erklären.</w:t>
            </w:r>
          </w:p>
        </w:tc>
        <w:tc>
          <w:tcPr>
            <w:tcW w:w="7244" w:type="dxa"/>
            <w:tcBorders/>
            <w:vAlign w:val="center"/>
          </w:tcPr>
          <w:p>
            <w:pPr>
              <w:pStyle w:val="TableContents"/>
              <w:widowControl/>
              <w:bidi w:val="0"/>
              <w:spacing w:before="0" w:after="283"/>
              <w:rPr/>
            </w:pPr>
            <w:r>
              <w:rPr/>
              <w:t>At the notarisation appointment, party no. 1 is to declare that he acts for the account of the represented entity, and party no. 2 is to declare that she acts for her own account.</w:t>
            </w:r>
          </w:p>
        </w:tc>
      </w:tr>
      <w:tr>
        <w:trPr>
          <w:cantSplit/>
        </w:trPr>
        <w:tc>
          <w:tcPr>
            <w:tcW w:w="8290" w:type="dxa"/>
            <w:tcBorders/>
            <w:vAlign w:val="center"/>
          </w:tcPr>
          <w:p>
            <w:pPr>
              <w:pStyle w:val="TableContents"/>
              <w:widowControl/>
              <w:bidi w:val="0"/>
              <w:spacing w:before="0" w:after="283"/>
              <w:rPr/>
            </w:pPr>
            <w:r>
              <w:rPr/>
              <w:t>Vor der Protokollierung hat die Notarin die Beteiligten zu einer möglichen Vorbefassung außerhalb ihrer Amtstätigkeit zu befragen. Ihre Erklärungen sind erst im Beurkundungstermin aufzunehmen.</w:t>
            </w:r>
          </w:p>
        </w:tc>
        <w:tc>
          <w:tcPr>
            <w:tcW w:w="7244" w:type="dxa"/>
            <w:tcBorders/>
            <w:vAlign w:val="center"/>
          </w:tcPr>
          <w:p>
            <w:pPr>
              <w:pStyle w:val="TableContents"/>
              <w:widowControl/>
              <w:bidi w:val="0"/>
              <w:spacing w:before="0" w:after="283"/>
              <w:rPr/>
            </w:pPr>
            <w:r>
              <w:rPr/>
              <w:t>Before recording the deed, the Notary must ask the parties about any prior involvement outside the Notary’s official capacity. The parties’ statements are to be recorded only at the notarisation appointment.</w:t>
            </w:r>
          </w:p>
        </w:tc>
      </w:tr>
      <w:tr>
        <w:trPr>
          <w:cantSplit/>
        </w:trPr>
        <w:tc>
          <w:tcPr>
            <w:tcW w:w="8290" w:type="dxa"/>
            <w:tcBorders/>
            <w:vAlign w:val="center"/>
          </w:tcPr>
          <w:p>
            <w:pPr>
              <w:pStyle w:val="TableContents"/>
              <w:widowControl/>
              <w:bidi w:val="0"/>
              <w:spacing w:before="0" w:after="283"/>
              <w:rPr/>
            </w:pPr>
            <w:r>
              <w:rPr/>
              <w:t>Nach Angabe des Käufers wurde ihm der beabsichtigte Text dieses Vertrages einschließlich Baubeschreibung und Teilungserklärung am 26. Mai 2026 von der Notarin zur Verfügung gestellt. Für den vorgesehenen Termin am 12. Juni 2026 ergibt dies mehr als zwei Wochen. Die tatsächliche Bereitstellung, Vollständigkeit und Prüfungsgelegenheit sind im Beurkundungstermin im Hinblick auf § 17 Abs. 2a Satz 2 Nr. 2 BeurkG festzustellen.</w:t>
            </w:r>
          </w:p>
        </w:tc>
        <w:tc>
          <w:tcPr>
            <w:tcW w:w="7244" w:type="dxa"/>
            <w:tcBorders/>
            <w:vAlign w:val="center"/>
          </w:tcPr>
          <w:p>
            <w:pPr>
              <w:pStyle w:val="TableContents"/>
              <w:widowControl/>
              <w:bidi w:val="0"/>
              <w:spacing w:before="0" w:after="283"/>
              <w:rPr/>
            </w:pPr>
            <w:r>
              <w:rPr/>
              <w:t>According to the Buyer, the proposed contract text, including the Building Specification and Declaration of Division, was made available by the Notary on 26 May 2026. This is more than two weeks before the proposed appointment on 12 June 2026. Actual delivery, completeness and opportunity to review must be established at the notarisation appointment with regard to section 17(2a), second sentence, no. 2 BeurkG.</w:t>
            </w:r>
          </w:p>
        </w:tc>
      </w:tr>
      <w:tr>
        <w:trPr>
          <w:cantSplit/>
        </w:trPr>
        <w:tc>
          <w:tcPr>
            <w:tcW w:w="8290" w:type="dxa"/>
            <w:tcBorders/>
            <w:vAlign w:val="center"/>
          </w:tcPr>
          <w:p>
            <w:pPr>
              <w:pStyle w:val="TableContents"/>
              <w:widowControl/>
              <w:bidi w:val="0"/>
              <w:spacing w:before="0" w:after="283"/>
              <w:rPr/>
            </w:pPr>
            <w:r>
              <w:rPr/>
              <w:t>Zur Beurkundung vorgesehener Vertragstext</w:t>
            </w:r>
          </w:p>
        </w:tc>
        <w:tc>
          <w:tcPr>
            <w:tcW w:w="7244" w:type="dxa"/>
            <w:tcBorders/>
            <w:vAlign w:val="center"/>
          </w:tcPr>
          <w:p>
            <w:pPr>
              <w:pStyle w:val="TableContents"/>
              <w:widowControl/>
              <w:bidi w:val="0"/>
              <w:spacing w:before="0" w:after="283"/>
              <w:rPr/>
            </w:pPr>
            <w:r>
              <w:rPr/>
              <w:t>Contract text proposed for notarisation</w:t>
            </w:r>
          </w:p>
        </w:tc>
      </w:tr>
      <w:tr>
        <w:trPr>
          <w:cantSplit/>
        </w:trPr>
        <w:tc>
          <w:tcPr>
            <w:tcW w:w="8290" w:type="dxa"/>
            <w:tcBorders/>
            <w:vAlign w:val="center"/>
          </w:tcPr>
          <w:p>
            <w:pPr>
              <w:pStyle w:val="Heading1"/>
              <w:keepNext/>
              <w:widowControl/>
              <w:bidi w:val="0"/>
              <w:spacing w:before="240" w:after="283"/>
              <w:ind w:hanging="0" w:start="0" w:end="0"/>
              <w:rPr/>
            </w:pPr>
            <w:bookmarkStart w:id="8" w:name="wohnungsbauträgervertrag-mit-auflassung"/>
            <w:bookmarkEnd w:id="8"/>
            <w:r>
              <w:rPr/>
              <w:t>Wohnungsbauträgervertrag mit Auflassung</w:t>
            </w:r>
          </w:p>
          <w:p>
            <w:pPr>
              <w:pStyle w:val="Heading2"/>
              <w:widowControl/>
              <w:bidi w:val="0"/>
              <w:spacing w:before="200" w:after="120"/>
              <w:ind w:hanging="0" w:start="0" w:end="0"/>
              <w:rPr/>
            </w:pPr>
            <w:bookmarkStart w:id="10" w:name="vorbemerkungen"/>
            <w:bookmarkEnd w:id="10"/>
            <w:r>
              <w:rPr/>
              <w:t>Vorbemerkungen</w:t>
            </w:r>
          </w:p>
        </w:tc>
        <w:tc>
          <w:tcPr>
            <w:tcW w:w="7244" w:type="dxa"/>
            <w:tcBorders/>
            <w:vAlign w:val="center"/>
          </w:tcPr>
          <w:p>
            <w:pPr>
              <w:pStyle w:val="Heading1"/>
              <w:keepNext/>
              <w:widowControl/>
              <w:bidi w:val="0"/>
              <w:spacing w:before="240" w:after="283"/>
              <w:ind w:hanging="0" w:start="0" w:end="0"/>
              <w:rPr/>
            </w:pPr>
            <w:bookmarkStart w:id="9" w:name="residential-property-development-contrac"/>
            <w:bookmarkEnd w:id="9"/>
            <w:r>
              <w:rPr/>
              <w:t xml:space="preserve">Residential Property Development Contract with Conveyance </w:t>
            </w:r>
          </w:p>
          <w:p>
            <w:pPr>
              <w:pStyle w:val="Heading2"/>
              <w:widowControl/>
              <w:bidi w:val="0"/>
              <w:spacing w:before="200" w:after="120"/>
              <w:ind w:hanging="0" w:start="0" w:end="0"/>
              <w:rPr/>
            </w:pPr>
            <w:bookmarkStart w:id="11" w:name="preliminary-comments"/>
            <w:bookmarkEnd w:id="11"/>
            <w:r>
              <w:rPr/>
              <w:t xml:space="preserve">Preliminary comments </w:t>
            </w:r>
          </w:p>
        </w:tc>
      </w:tr>
      <w:tr>
        <w:trPr>
          <w:cantSplit/>
        </w:trPr>
        <w:tc>
          <w:tcPr>
            <w:tcW w:w="8290" w:type="dxa"/>
            <w:tcBorders/>
            <w:vAlign w:val="center"/>
          </w:tcPr>
          <w:p>
            <w:pPr>
              <w:pStyle w:val="TableContents"/>
              <w:widowControl/>
              <w:bidi w:val="0"/>
              <w:spacing w:before="0" w:after="283"/>
              <w:rPr/>
            </w:pPr>
            <w:r>
              <w:rPr>
                <w:rStyle w:val="Strong"/>
              </w:rPr>
              <w:t>0.1</w:t>
            </w:r>
            <w:r>
              <w:rPr/>
              <w:t xml:space="preserve"> Der Verkäufer errichtet nach Maßgabe der erteilten Baugenehmigung auf dem Grundstück</w:t>
            </w:r>
          </w:p>
        </w:tc>
        <w:tc>
          <w:tcPr>
            <w:tcW w:w="7244" w:type="dxa"/>
            <w:tcBorders/>
            <w:vAlign w:val="center"/>
          </w:tcPr>
          <w:p>
            <w:pPr>
              <w:pStyle w:val="TableContents"/>
              <w:widowControl/>
              <w:bidi w:val="0"/>
              <w:spacing w:before="0" w:after="283"/>
              <w:rPr/>
            </w:pPr>
            <w:r>
              <w:rPr>
                <w:rStyle w:val="Strong"/>
              </w:rPr>
              <w:t>0.1</w:t>
            </w:r>
            <w:r>
              <w:rPr/>
              <w:t xml:space="preserve"> The Seller builds on the property in accordance with the granted building permit </w:t>
            </w:r>
          </w:p>
        </w:tc>
      </w:tr>
      <w:tr>
        <w:trPr>
          <w:cantSplit/>
        </w:trPr>
        <w:tc>
          <w:tcPr>
            <w:tcW w:w="8290" w:type="dxa"/>
            <w:tcBorders/>
            <w:vAlign w:val="center"/>
          </w:tcPr>
          <w:p>
            <w:pPr>
              <w:pStyle w:val="BlockQuotation"/>
              <w:widowControl/>
              <w:pBdr>
                <w:left w:val="single" w:sz="6" w:space="1" w:color="AAAAAA"/>
              </w:pBdr>
              <w:bidi w:val="0"/>
              <w:spacing w:before="0" w:after="283"/>
              <w:ind w:hanging="0" w:start="567" w:end="567"/>
              <w:rPr/>
            </w:pPr>
            <w:r>
              <w:rPr/>
              <w:t>Gemarkung Eilbek, Flur 12, Flurstück 344/9, Gebäude- und Freifläche, „Marewald Höfe”, mit einer grundbuchlichen Größe von insgesamt 6.420 m², nachstehend auch das „Grundstück” genannt,</w:t>
            </w:r>
          </w:p>
        </w:tc>
        <w:tc>
          <w:tcPr>
            <w:tcW w:w="7244" w:type="dxa"/>
            <w:tcBorders/>
            <w:vAlign w:val="center"/>
          </w:tcPr>
          <w:p>
            <w:pPr>
              <w:pStyle w:val="BlockQuotation"/>
              <w:widowControl/>
              <w:pBdr>
                <w:left w:val="single" w:sz="6" w:space="1" w:color="AAAAAA"/>
              </w:pBdr>
              <w:bidi w:val="0"/>
              <w:spacing w:before="0" w:after="283"/>
              <w:ind w:hanging="0" w:start="567" w:end="567"/>
              <w:rPr/>
            </w:pPr>
            <w:r>
              <w:rPr/>
              <w:t>Cadastral district Eilbek, cadastral section 12, parcel 344/9, building and open area, “Marewald Höfe”, with a total registered area of 6,420 m², hereinafter also referred to as the “Property”,</w:t>
            </w:r>
          </w:p>
        </w:tc>
      </w:tr>
      <w:tr>
        <w:trPr>
          <w:cantSplit/>
        </w:trPr>
        <w:tc>
          <w:tcPr>
            <w:tcW w:w="8290" w:type="dxa"/>
            <w:tcBorders/>
            <w:vAlign w:val="center"/>
          </w:tcPr>
          <w:p>
            <w:pPr>
              <w:pStyle w:val="TableContents"/>
              <w:widowControl/>
              <w:bidi w:val="0"/>
              <w:spacing w:before="0" w:after="283"/>
              <w:rPr/>
            </w:pPr>
            <w:r>
              <w:rPr/>
              <w:t>ein Wohnquartier aus vier Mehrfamilienhäusern (Häuser A bis D) mit insgesamt 61 Wohneinheiten, 3 Teileigentumseinheiten sowie einer Tiefgarage mit 58 Kfz-Stellplätzen nebst Gemeinschaftsflächen (Innenhof, Spielfläche, Wege, Pflanzflächen, Fahrradräume) und hat das Grundstück gemäß § 8 WEG aufgeteilt.</w:t>
            </w:r>
          </w:p>
        </w:tc>
        <w:tc>
          <w:tcPr>
            <w:tcW w:w="7244" w:type="dxa"/>
            <w:tcBorders/>
            <w:vAlign w:val="center"/>
          </w:tcPr>
          <w:p>
            <w:pPr>
              <w:pStyle w:val="TableContents"/>
              <w:widowControl/>
              <w:bidi w:val="0"/>
              <w:spacing w:before="0" w:after="283"/>
              <w:rPr/>
            </w:pPr>
            <w:r>
              <w:rPr/>
              <w:t>a residential development comprising four apartment buildings (houses A to D) with a total of 61 residential units, 3 non-residential ownership units and an underground garage with 58 car parking spaces, together with common areas (courtyard, play area, paths, planted areas and bicycle rooms). The Seller has divided the Property pursuant to section 8 WEG.</w:t>
            </w:r>
          </w:p>
        </w:tc>
      </w:tr>
      <w:tr>
        <w:trPr>
          <w:cantSplit/>
        </w:trPr>
        <w:tc>
          <w:tcPr>
            <w:tcW w:w="8290" w:type="dxa"/>
            <w:tcBorders/>
            <w:vAlign w:val="center"/>
          </w:tcPr>
          <w:p>
            <w:pPr>
              <w:pStyle w:val="TableContents"/>
              <w:widowControl/>
              <w:bidi w:val="0"/>
              <w:spacing w:before="0" w:after="283"/>
              <w:rPr/>
            </w:pPr>
            <w:r>
              <w:rPr/>
              <w:t>Geringfügige Änderungen der Planung bleiben vorbehalten, soweit sie durch behördliche Auflagen, statische Erfordernisse oder die Fortschreibung der Ausführungsplanung veranlasst sind, den Vertragsgegenstand des Käufers in Lage, Größe, Zuschnitt, Wert und Nutzbarkeit nicht nachteilig berühren und dem Käufer in Textform mitgeteilt werden. Eine Kaufpreisanpassung ist mit solchen Änderungen nicht verbunden.</w:t>
            </w:r>
          </w:p>
        </w:tc>
        <w:tc>
          <w:tcPr>
            <w:tcW w:w="7244" w:type="dxa"/>
            <w:tcBorders/>
            <w:vAlign w:val="center"/>
          </w:tcPr>
          <w:p>
            <w:pPr>
              <w:pStyle w:val="TableContents"/>
              <w:widowControl/>
              <w:bidi w:val="0"/>
              <w:spacing w:before="0" w:after="283"/>
              <w:rPr/>
            </w:pPr>
            <w:r>
              <w:rPr/>
              <w:t>Minor changes to the plans are reserved insofar as they result from official requirements, structural requirements or updates to the detailed construction plans, do not adversely affect the location, size, layout, value or usability of the Buyer's contractual property, and are notified to the Buyer in text form. Such changes do not entail an adjustment to the Purchase Price.</w:t>
            </w:r>
          </w:p>
        </w:tc>
      </w:tr>
      <w:tr>
        <w:trPr>
          <w:cantSplit/>
        </w:trPr>
        <w:tc>
          <w:tcPr>
            <w:tcW w:w="8290" w:type="dxa"/>
            <w:tcBorders/>
            <w:vAlign w:val="center"/>
          </w:tcPr>
          <w:p>
            <w:pPr>
              <w:pStyle w:val="TableContents"/>
              <w:widowControl/>
              <w:bidi w:val="0"/>
              <w:spacing w:before="0" w:after="283"/>
              <w:rPr/>
            </w:pPr>
            <w:r>
              <w:rPr>
                <w:rStyle w:val="Strong"/>
              </w:rPr>
              <w:t>0.2</w:t>
            </w:r>
            <w:r>
              <w:rPr/>
              <w:t xml:space="preserve"> Umfang und Beschränkungen des Wohnungs- und Teileigentums, die Rechtsbeziehungen der Eigentümer zueinander und die Verwaltung des gemeinschaftlichen Eigentums werden geregelt in der Teilungserklärung einschließlich Gemeinschaftsordnung vom 21. Oktober 2025 zur UR-Nr. 1502/2025 der amtierenden Notarin, in der Fassung des 1. Nachtrags vom 09. Februar 2026 zur UR-Nr. 188/2026 — nachfolgend auch „Teilungserklärung” und/oder „Bezugsurkunde 1” genannt.</w:t>
            </w:r>
          </w:p>
        </w:tc>
        <w:tc>
          <w:tcPr>
            <w:tcW w:w="7244" w:type="dxa"/>
            <w:tcBorders/>
            <w:vAlign w:val="center"/>
          </w:tcPr>
          <w:p>
            <w:pPr>
              <w:pStyle w:val="TableContents"/>
              <w:widowControl/>
              <w:bidi w:val="0"/>
              <w:spacing w:before="0" w:after="283"/>
              <w:rPr/>
            </w:pPr>
            <w:r>
              <w:rPr>
                <w:rStyle w:val="Strong"/>
              </w:rPr>
              <w:t>0.2</w:t>
            </w:r>
            <w:r>
              <w:rPr/>
              <w:t xml:space="preserve"> The scope and limitations of residential and non-residential condominium ownership, the owners' legal relations with one another and the management of the Common Property are governed by the Declaration of Division, including the Community Rules, dated 21 October 2025, deed no. 1502/2025 of the acting Notary, as amended by the first addendum dated 9 February 2026, deed no. 188/2026 — hereinafter also referred to as the “Declaration of Division” and/or “Reference Deed 1”.</w:t>
            </w:r>
          </w:p>
        </w:tc>
      </w:tr>
      <w:tr>
        <w:trPr>
          <w:cantSplit/>
        </w:trPr>
        <w:tc>
          <w:tcPr>
            <w:tcW w:w="8290" w:type="dxa"/>
            <w:tcBorders/>
            <w:vAlign w:val="center"/>
          </w:tcPr>
          <w:p>
            <w:pPr>
              <w:pStyle w:val="TableContents"/>
              <w:widowControl/>
              <w:bidi w:val="0"/>
              <w:spacing w:before="0" w:after="283"/>
              <w:rPr/>
            </w:pPr>
            <w:r>
              <w:rPr>
                <w:rStyle w:val="Strong"/>
              </w:rPr>
              <w:t>0.3</w:t>
            </w:r>
            <w:r>
              <w:rPr/>
              <w:t xml:space="preserve"> Die Baubeschreibung in der Fassung Mai 2026, Version 3.0 (Anlage Baubeschreibung zu dieser Urkunde) soll Gegenstand der Beurkundung und Bestandteil der vom Verkäufer geschuldeten Leistung werden. Auf das Verlesen soll nicht verzichtet werden; die Baubeschreibung ist im Beurkundungstermin mitzuverlesen und als Anlage mitbeurkunden zu lassen. Visualisierungen, Exposés und die Musterwohnung sind keine selbständigen Vertragsbestandteile; ihre Berücksichtigung als vertragsbegleitende Umstände bei der Auslegung unvollständiger oder unklarer Leistungsbeschreibungen bleibt unberührt.</w:t>
            </w:r>
          </w:p>
        </w:tc>
        <w:tc>
          <w:tcPr>
            <w:tcW w:w="7244" w:type="dxa"/>
            <w:tcBorders/>
            <w:vAlign w:val="center"/>
          </w:tcPr>
          <w:p>
            <w:pPr>
              <w:pStyle w:val="TableContents"/>
              <w:widowControl/>
              <w:bidi w:val="0"/>
              <w:spacing w:before="0" w:after="283"/>
              <w:rPr/>
            </w:pPr>
            <w:r>
              <w:rPr>
                <w:rStyle w:val="Strong"/>
              </w:rPr>
              <w:t>0.3</w:t>
            </w:r>
            <w:r>
              <w:rPr/>
              <w:t xml:space="preserve"> The Building Specification dated May 2026, version 3.0 (annex to this deed), is to be included in the notarisation and become part of the Seller’s contractual performance. Reading aloud is not to be waived; the Building Specification is to be read aloud and notarised as an annex at the notarisation appointment. Visualisations, sales brochures and the show apartment are not independent contract components; their consideration as surrounding contractual circumstances when interpreting incomplete or unclear descriptions of performance remains unaffected.</w:t>
            </w:r>
          </w:p>
        </w:tc>
      </w:tr>
      <w:tr>
        <w:trPr>
          <w:cantSplit/>
        </w:trPr>
        <w:tc>
          <w:tcPr>
            <w:tcW w:w="8290" w:type="dxa"/>
            <w:tcBorders/>
            <w:vAlign w:val="center"/>
          </w:tcPr>
          <w:p>
            <w:pPr>
              <w:pStyle w:val="TableContents"/>
              <w:widowControl/>
              <w:bidi w:val="0"/>
              <w:spacing w:before="0" w:after="283"/>
              <w:rPr/>
            </w:pPr>
            <w:r>
              <w:rPr>
                <w:rStyle w:val="Strong"/>
              </w:rPr>
              <w:t>0.4</w:t>
            </w:r>
            <w:r>
              <w:rPr/>
              <w:t xml:space="preserve"> Die Abgeschlossenheitsbescheinigung liegt vor. Die Baugenehmigung für die Häuser A bis D vom 14. April 2026 (Az. HH-Wb-2026/0471) liegt vor und wurde der Notarin nachgewiesen.</w:t>
            </w:r>
          </w:p>
        </w:tc>
        <w:tc>
          <w:tcPr>
            <w:tcW w:w="7244" w:type="dxa"/>
            <w:tcBorders/>
            <w:vAlign w:val="center"/>
          </w:tcPr>
          <w:p>
            <w:pPr>
              <w:pStyle w:val="TableContents"/>
              <w:widowControl/>
              <w:bidi w:val="0"/>
              <w:spacing w:before="0" w:after="283"/>
              <w:rPr/>
            </w:pPr>
            <w:r>
              <w:rPr>
                <w:rStyle w:val="Strong"/>
              </w:rPr>
              <w:t>0.4</w:t>
            </w:r>
            <w:r>
              <w:rPr/>
              <w:t xml:space="preserve"> The certificate of separate units (Abgeschlossenheitsbescheinigung) is available. The building permit for houses A to D dated 14 April 2026 (reference HH-Wb-2026/0471) is available and has been evidenced to the Notary.</w:t>
            </w:r>
          </w:p>
        </w:tc>
      </w:tr>
      <w:tr>
        <w:trPr>
          <w:cantSplit/>
        </w:trPr>
        <w:tc>
          <w:tcPr>
            <w:tcW w:w="8290" w:type="dxa"/>
            <w:tcBorders/>
            <w:vAlign w:val="center"/>
          </w:tcPr>
          <w:p>
            <w:pPr>
              <w:pStyle w:val="TableContents"/>
              <w:widowControl/>
              <w:bidi w:val="0"/>
              <w:spacing w:before="0" w:after="283"/>
              <w:rPr/>
            </w:pPr>
            <w:r>
              <w:rPr>
                <w:rStyle w:val="Strong"/>
              </w:rPr>
              <w:t>0.5</w:t>
            </w:r>
            <w:r>
              <w:rPr/>
              <w:t xml:space="preserve"> Gegenstand dieses Vertrages sind der in § 1 beschriebene Kaufgegenstand sowie die in § 5 und der Anlage Baubeschreibung beschriebene Herstellungsverpflichtung.</w:t>
            </w:r>
          </w:p>
        </w:tc>
        <w:tc>
          <w:tcPr>
            <w:tcW w:w="7244" w:type="dxa"/>
            <w:tcBorders/>
            <w:vAlign w:val="center"/>
          </w:tcPr>
          <w:p>
            <w:pPr>
              <w:pStyle w:val="TableContents"/>
              <w:widowControl/>
              <w:bidi w:val="0"/>
              <w:spacing w:before="0" w:after="283"/>
              <w:rPr/>
            </w:pPr>
            <w:r>
              <w:rPr>
                <w:rStyle w:val="Strong"/>
              </w:rPr>
              <w:t>0.5</w:t>
            </w:r>
            <w:r>
              <w:rPr/>
              <w:t xml:space="preserve"> The subject matter of this contract is the Purchased Property described in § 1 as well as the construction obligation described in § 5 and the annex Building Specification.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12" w:name="kaufgegenstand"/>
            <w:bookmarkEnd w:id="12"/>
            <w:r>
              <w:rPr/>
              <w:t>§ 1 Kaufgegenstand</w:t>
            </w:r>
          </w:p>
          <w:p>
            <w:pPr>
              <w:pStyle w:val="TableContents"/>
              <w:widowControl/>
              <w:bidi w:val="0"/>
              <w:spacing w:before="0" w:after="283"/>
              <w:rPr/>
            </w:pPr>
            <w:r>
              <w:rPr>
                <w:rStyle w:val="Strong"/>
              </w:rPr>
              <w:t>1.1</w:t>
            </w:r>
            <w:r>
              <w:rPr/>
              <w:t xml:space="preserve"> Der Verkäufer ist eingetragener Alleineigentümer des folgenden, im Wohnungsgrundbuch des Amtsgerichts Hamburg von Eilbek, Blatt 9 318, eingetragenen Wohnungseigentums:</w:t>
            </w:r>
          </w:p>
        </w:tc>
        <w:tc>
          <w:tcPr>
            <w:tcW w:w="7244" w:type="dxa"/>
            <w:tcBorders/>
            <w:vAlign w:val="center"/>
          </w:tcPr>
          <w:p>
            <w:pPr>
              <w:pStyle w:val="Heading1"/>
              <w:keepNext/>
              <w:widowControl/>
              <w:pBdr/>
              <w:bidi w:val="0"/>
              <w:spacing w:before="240" w:after="283"/>
              <w:rPr/>
            </w:pPr>
            <w:r>
              <w:rPr/>
              <w:t>§ 1 Purchased Property</w:t>
            </w:r>
          </w:p>
          <w:p>
            <w:pPr>
              <w:pStyle w:val="TableContents"/>
              <w:widowControl/>
              <w:bidi w:val="0"/>
              <w:spacing w:before="0" w:after="283"/>
              <w:rPr/>
            </w:pPr>
            <w:r>
              <w:rPr>
                <w:rStyle w:val="Strong"/>
              </w:rPr>
              <w:t>1.1</w:t>
            </w:r>
            <w:r>
              <w:rPr/>
              <w:t xml:space="preserve"> The Seller is the registered sole owner of the following condominium ownership recorded in the condominium Land Register of Eilbek at Hamburg Local Court, folio 9 318:</w:t>
            </w:r>
          </w:p>
        </w:tc>
      </w:tr>
      <w:tr>
        <w:trPr>
          <w:cantSplit/>
        </w:trPr>
        <w:tc>
          <w:tcPr>
            <w:tcW w:w="8290" w:type="dxa"/>
            <w:tcBorders/>
            <w:vAlign w:val="center"/>
          </w:tcPr>
          <w:p>
            <w:pPr>
              <w:pStyle w:val="BlockQuotation"/>
              <w:widowControl/>
              <w:pBdr>
                <w:left w:val="single" w:sz="6" w:space="1" w:color="AAAAAA"/>
              </w:pBdr>
              <w:bidi w:val="0"/>
              <w:spacing w:before="0" w:after="283"/>
              <w:ind w:hanging="0" w:start="567" w:end="567"/>
              <w:rPr/>
            </w:pPr>
            <w:r>
              <w:rPr/>
              <w:t>Miteigentumsanteil von 312/100 000 an dem Grundstück Gemarkung Eilbek, Flur 12, Flurstück 344/9, verbunden mit dem Sondereigentum an der im Aufteilungsplan mit der Nummer C-2.14 bezeichneten Wohnung im 2. Obergeschoss des Hauses C nebst Kellerabteil Nr. K-C14 und Sondernutzungsrecht an dem Balkon B-C14 sowie dem Tiefgaragenstellplatz Nr. TG-58.</w:t>
            </w:r>
          </w:p>
        </w:tc>
        <w:tc>
          <w:tcPr>
            <w:tcW w:w="7244" w:type="dxa"/>
            <w:tcBorders/>
            <w:vAlign w:val="center"/>
          </w:tcPr>
          <w:p>
            <w:pPr>
              <w:pStyle w:val="BlockQuotation"/>
              <w:widowControl/>
              <w:pBdr>
                <w:left w:val="single" w:sz="6" w:space="1" w:color="AAAAAA"/>
              </w:pBdr>
              <w:bidi w:val="0"/>
              <w:spacing w:before="0" w:after="283"/>
              <w:ind w:hanging="0" w:start="567" w:end="567"/>
              <w:rPr/>
            </w:pPr>
            <w:r>
              <w:rPr/>
              <w:t>A co-ownership share of 312/100 000 in the Property in cadastral district Eilbek, cadastral section 12, parcel 344/9, combined with exclusive ownership of the apartment designated C-2.14 in the partition plan on the second upper floor of house C, together with cellar compartment no. K-C14 and exclusive use rights over balcony B-C14 and underground parking space no. TG-58.</w:t>
            </w:r>
          </w:p>
        </w:tc>
      </w:tr>
      <w:tr>
        <w:trPr>
          <w:cantSplit/>
        </w:trPr>
        <w:tc>
          <w:tcPr>
            <w:tcW w:w="8290" w:type="dxa"/>
            <w:tcBorders/>
            <w:vAlign w:val="center"/>
          </w:tcPr>
          <w:p>
            <w:pPr>
              <w:pStyle w:val="TableContents"/>
              <w:widowControl/>
              <w:bidi w:val="0"/>
              <w:spacing w:before="0" w:after="283"/>
              <w:rPr/>
            </w:pPr>
            <w:r>
              <w:rPr>
                <w:rStyle w:val="Strong"/>
              </w:rPr>
              <w:t>1.2</w:t>
            </w:r>
            <w:r>
              <w:rPr/>
              <w:t xml:space="preserve"> Die Sondereigentumseinheit nebst Sondernutzungsrecht am Stellplatz TG-58 und den unter § 5 beschriebenen Bauleistungen wird nachfolgend „Kaufgegenstand” genannt.</w:t>
            </w:r>
          </w:p>
        </w:tc>
        <w:tc>
          <w:tcPr>
            <w:tcW w:w="7244" w:type="dxa"/>
            <w:tcBorders/>
            <w:vAlign w:val="center"/>
          </w:tcPr>
          <w:p>
            <w:pPr>
              <w:pStyle w:val="TableContents"/>
              <w:widowControl/>
              <w:bidi w:val="0"/>
              <w:spacing w:before="0" w:after="283"/>
              <w:rPr/>
            </w:pPr>
            <w:r>
              <w:rPr>
                <w:rStyle w:val="Strong"/>
              </w:rPr>
              <w:t>1.2</w:t>
            </w:r>
            <w:r>
              <w:rPr/>
              <w:t xml:space="preserve"> The unit of exclusive ownership together with the exclusive use right over parking space TG-58 and the construction works described in section 5 is hereinafter referred to as the “Purchased Property”.</w:t>
            </w:r>
          </w:p>
        </w:tc>
      </w:tr>
      <w:tr>
        <w:trPr>
          <w:cantSplit/>
        </w:trPr>
        <w:tc>
          <w:tcPr>
            <w:tcW w:w="8290" w:type="dxa"/>
            <w:tcBorders/>
            <w:vAlign w:val="center"/>
          </w:tcPr>
          <w:p>
            <w:pPr>
              <w:pStyle w:val="TableContents"/>
              <w:widowControl/>
              <w:bidi w:val="0"/>
              <w:spacing w:before="0" w:after="283"/>
              <w:rPr/>
            </w:pPr>
            <w:r>
              <w:rPr>
                <w:rStyle w:val="Strong"/>
              </w:rPr>
              <w:t>1.3</w:t>
            </w:r>
            <w:r>
              <w:rPr/>
              <w:t xml:space="preserve"> Die Notarin soll das Grundbuch gemäß § 1.1 im Beurkundungstermin elektronisch einsehen und den Stand dokumentieren.</w:t>
            </w:r>
          </w:p>
        </w:tc>
        <w:tc>
          <w:tcPr>
            <w:tcW w:w="7244" w:type="dxa"/>
            <w:tcBorders/>
            <w:vAlign w:val="center"/>
          </w:tcPr>
          <w:p>
            <w:pPr>
              <w:pStyle w:val="TableContents"/>
              <w:widowControl/>
              <w:bidi w:val="0"/>
              <w:spacing w:before="0" w:after="283"/>
              <w:rPr/>
            </w:pPr>
            <w:r>
              <w:rPr>
                <w:rStyle w:val="Strong"/>
              </w:rPr>
              <w:t>1.3</w:t>
            </w:r>
            <w:r>
              <w:rPr/>
              <w:t xml:space="preserve"> At the notarisation appointment, the Notary is to inspect electronically the Land Register referred to in section 1.1 and document its current status.</w:t>
            </w:r>
          </w:p>
        </w:tc>
      </w:tr>
      <w:tr>
        <w:trPr>
          <w:cantSplit/>
        </w:trPr>
        <w:tc>
          <w:tcPr>
            <w:tcW w:w="8290" w:type="dxa"/>
            <w:tcBorders/>
            <w:vAlign w:val="center"/>
          </w:tcPr>
          <w:p>
            <w:pPr>
              <w:pStyle w:val="TableContents"/>
              <w:widowControl/>
              <w:bidi w:val="0"/>
              <w:spacing w:before="0" w:after="283"/>
              <w:rPr/>
            </w:pPr>
            <w:r>
              <w:rPr/>
              <w:t>In Abteilung II sind beschränkte persönliche Dienstbarkeiten zugunsten der Versorgungs- und Netzbetreiber sowie der Freien und Hansestadt Hamburg eingetragen; diese werden vom Käufer übernommen.</w:t>
            </w:r>
          </w:p>
        </w:tc>
        <w:tc>
          <w:tcPr>
            <w:tcW w:w="7244" w:type="dxa"/>
            <w:tcBorders/>
            <w:vAlign w:val="center"/>
          </w:tcPr>
          <w:p>
            <w:pPr>
              <w:pStyle w:val="TableContents"/>
              <w:widowControl/>
              <w:bidi w:val="0"/>
              <w:spacing w:before="0" w:after="283"/>
              <w:rPr/>
            </w:pPr>
            <w:r>
              <w:rPr/>
              <w:t xml:space="preserve">Section II lists limited personal easements for the benefit of supply and network operators and the Free and Hanseatic City of Hamburg; These are taken over by the Buyer. </w:t>
            </w:r>
          </w:p>
        </w:tc>
      </w:tr>
      <w:tr>
        <w:trPr>
          <w:cantSplit/>
        </w:trPr>
        <w:tc>
          <w:tcPr>
            <w:tcW w:w="8290" w:type="dxa"/>
            <w:tcBorders/>
            <w:vAlign w:val="center"/>
          </w:tcPr>
          <w:p>
            <w:pPr>
              <w:pStyle w:val="TableContents"/>
              <w:widowControl/>
              <w:bidi w:val="0"/>
              <w:spacing w:before="0" w:after="283"/>
              <w:rPr/>
            </w:pPr>
            <w:r>
              <w:rPr/>
              <w:t>In Abteilung III ist eine Gesamtgrundschuld zugunsten der Norddeutsche Grundkreditbank AG eingetragen. Der Verkäufer wird die lastenfreie Übertragung des Kaufgegenstandes nach Maßgabe von § 3 und § 10 sicherstellen.</w:t>
            </w:r>
          </w:p>
        </w:tc>
        <w:tc>
          <w:tcPr>
            <w:tcW w:w="7244" w:type="dxa"/>
            <w:tcBorders/>
            <w:vAlign w:val="center"/>
          </w:tcPr>
          <w:p>
            <w:pPr>
              <w:pStyle w:val="TableContents"/>
              <w:widowControl/>
              <w:bidi w:val="0"/>
              <w:spacing w:before="0" w:after="283"/>
              <w:rPr/>
            </w:pPr>
            <w:r>
              <w:rPr/>
              <w:t>Division III records a blanket land charge in favour of Norddeutsche Grundkreditbank AG. The Seller shall ensure transfer of the Purchased Property free from encumbrances in accordance with sections 3 and 10.</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13" w:name="kaufpreis"/>
            <w:bookmarkEnd w:id="13"/>
            <w:r>
              <w:rPr/>
              <w:t>§ 2 Kaufpreis</w:t>
            </w:r>
          </w:p>
          <w:p>
            <w:pPr>
              <w:pStyle w:val="TableContents"/>
              <w:widowControl/>
              <w:bidi w:val="0"/>
              <w:spacing w:before="0" w:after="283"/>
              <w:rPr/>
            </w:pPr>
            <w:r>
              <w:rPr>
                <w:rStyle w:val="Strong"/>
              </w:rPr>
              <w:t>2.1</w:t>
            </w:r>
            <w:r>
              <w:rPr/>
              <w:t xml:space="preserve"> Der Kaufpreis für den Kaufgegenstand beträgt insgesamt</w:t>
            </w:r>
          </w:p>
        </w:tc>
        <w:tc>
          <w:tcPr>
            <w:tcW w:w="7244" w:type="dxa"/>
            <w:tcBorders/>
            <w:vAlign w:val="center"/>
          </w:tcPr>
          <w:p>
            <w:pPr>
              <w:pStyle w:val="Heading1"/>
              <w:keepNext/>
              <w:widowControl/>
              <w:bidi w:val="0"/>
              <w:spacing w:before="240" w:after="283"/>
              <w:ind w:hanging="0" w:start="0" w:end="0"/>
              <w:rPr/>
            </w:pPr>
            <w:bookmarkStart w:id="14" w:name="purchase-price"/>
            <w:bookmarkEnd w:id="14"/>
            <w:r>
              <w:rPr/>
              <w:t xml:space="preserve">§ 2 Purchase price </w:t>
            </w:r>
          </w:p>
          <w:p>
            <w:pPr>
              <w:pStyle w:val="TableContents"/>
              <w:widowControl/>
              <w:bidi w:val="0"/>
              <w:spacing w:before="0" w:after="283"/>
              <w:rPr/>
            </w:pPr>
            <w:r>
              <w:rPr>
                <w:rStyle w:val="Strong"/>
              </w:rPr>
              <w:t>2.1</w:t>
            </w:r>
            <w:r>
              <w:rPr/>
              <w:t xml:space="preserve"> The Purchase Price for the Purchased Property totals</w:t>
            </w:r>
          </w:p>
        </w:tc>
      </w:tr>
      <w:tr>
        <w:trPr>
          <w:cantSplit/>
        </w:trPr>
        <w:tc>
          <w:tcPr>
            <w:tcW w:w="8290" w:type="dxa"/>
            <w:tcBorders/>
            <w:vAlign w:val="center"/>
          </w:tcPr>
          <w:p>
            <w:pPr>
              <w:pStyle w:val="BlockQuotation"/>
              <w:widowControl/>
              <w:pBdr>
                <w:left w:val="single" w:sz="6" w:space="1" w:color="AAAAAA"/>
              </w:pBdr>
              <w:bidi w:val="0"/>
              <w:spacing w:before="0" w:after="283"/>
              <w:ind w:hanging="0" w:start="567" w:end="567"/>
              <w:rPr/>
            </w:pPr>
            <w:r>
              <w:rPr>
                <w:rStyle w:val="Strong"/>
              </w:rPr>
              <w:t>642.000,00 EUR</w:t>
            </w:r>
          </w:p>
        </w:tc>
        <w:tc>
          <w:tcPr>
            <w:tcW w:w="7244" w:type="dxa"/>
            <w:tcBorders/>
            <w:vAlign w:val="center"/>
          </w:tcPr>
          <w:p>
            <w:pPr>
              <w:pStyle w:val="BlockQuotation"/>
              <w:widowControl/>
              <w:pBdr>
                <w:left w:val="single" w:sz="6" w:space="1" w:color="AAAAAA"/>
              </w:pBdr>
              <w:bidi w:val="0"/>
              <w:spacing w:before="0" w:after="283"/>
              <w:ind w:hanging="0" w:start="567" w:end="567"/>
              <w:rPr/>
            </w:pPr>
            <w:r>
              <w:rPr/>
              <w:t xml:space="preserve">642.000,00 EUR </w:t>
            </w:r>
          </w:p>
        </w:tc>
      </w:tr>
      <w:tr>
        <w:trPr>
          <w:cantSplit/>
        </w:trPr>
        <w:tc>
          <w:tcPr>
            <w:tcW w:w="8290" w:type="dxa"/>
            <w:tcBorders/>
            <w:vAlign w:val="center"/>
          </w:tcPr>
          <w:p>
            <w:pPr>
              <w:pStyle w:val="TableContents"/>
              <w:widowControl/>
              <w:bidi w:val="0"/>
              <w:spacing w:before="0" w:after="283"/>
              <w:rPr/>
            </w:pPr>
            <w:r>
              <w:rPr/>
              <w:t xml:space="preserve">zzgl. eines Aufpreises für den Tiefgaragenstellplatz TG-58 von 32.000,00 EUR. Der Gesamtkaufpreis beträgt damit </w:t>
            </w:r>
            <w:r>
              <w:rPr>
                <w:rStyle w:val="Strong"/>
              </w:rPr>
              <w:t>674.000,00 EUR</w:t>
            </w:r>
            <w:r>
              <w:rPr/>
              <w:t>.</w:t>
            </w:r>
          </w:p>
        </w:tc>
        <w:tc>
          <w:tcPr>
            <w:tcW w:w="7244" w:type="dxa"/>
            <w:tcBorders/>
            <w:vAlign w:val="center"/>
          </w:tcPr>
          <w:p>
            <w:pPr>
              <w:pStyle w:val="TableContents"/>
              <w:widowControl/>
              <w:bidi w:val="0"/>
              <w:spacing w:before="0" w:after="283"/>
              <w:rPr/>
            </w:pPr>
            <w:r>
              <w:rPr/>
              <w:t xml:space="preserve">plus a surcharge for the underground parking space TG-58 of 32,000.00 EUR. The total Purchase Price is thus 674,000.00 EUR. </w:t>
            </w:r>
          </w:p>
        </w:tc>
      </w:tr>
      <w:tr>
        <w:trPr>
          <w:cantSplit/>
        </w:trPr>
        <w:tc>
          <w:tcPr>
            <w:tcW w:w="8290" w:type="dxa"/>
            <w:tcBorders/>
            <w:vAlign w:val="center"/>
          </w:tcPr>
          <w:p>
            <w:pPr>
              <w:pStyle w:val="TableContents"/>
              <w:widowControl/>
              <w:bidi w:val="0"/>
              <w:spacing w:before="0" w:after="283"/>
              <w:rPr/>
            </w:pPr>
            <w:r>
              <w:rPr>
                <w:rStyle w:val="Strong"/>
              </w:rPr>
              <w:t>2.2</w:t>
            </w:r>
            <w:r>
              <w:rPr/>
              <w:t xml:space="preserve"> Der Kaufpreis ist ein Festpreis und umfasst die vollständige Herstellung des Kaufgegenstandes in der Ausstattungslinie „Marewald Komfort C” nach § 5 und der Anlage Baubeschreibung. Er ist nicht an Baukostenindizes oder Materialpreise gekoppelt; eine Preisanpassung findet nur nach Maßgabe des § 5.7 statt.</w:t>
            </w:r>
          </w:p>
        </w:tc>
        <w:tc>
          <w:tcPr>
            <w:tcW w:w="7244" w:type="dxa"/>
            <w:tcBorders/>
            <w:vAlign w:val="center"/>
          </w:tcPr>
          <w:p>
            <w:pPr>
              <w:pStyle w:val="TableContents"/>
              <w:widowControl/>
              <w:bidi w:val="0"/>
              <w:spacing w:before="0" w:after="283"/>
              <w:rPr/>
            </w:pPr>
            <w:r>
              <w:rPr>
                <w:rStyle w:val="Strong"/>
              </w:rPr>
              <w:t>2.2</w:t>
            </w:r>
            <w:r>
              <w:rPr/>
              <w:t xml:space="preserve"> The Purchase Price is a fixed price and includes the complete construction of the purchased object in the equipment line “Marewald Komfort C” according to § 5 and the Building Specification. it is not linked to construction cost indices or material prices; a price adjustment takes place only in accordance with § 5.7. </w:t>
            </w:r>
          </w:p>
        </w:tc>
      </w:tr>
      <w:tr>
        <w:trPr>
          <w:cantSplit/>
        </w:trPr>
        <w:tc>
          <w:tcPr>
            <w:tcW w:w="8290" w:type="dxa"/>
            <w:tcBorders/>
            <w:vAlign w:val="center"/>
          </w:tcPr>
          <w:p>
            <w:pPr>
              <w:pStyle w:val="TableContents"/>
              <w:widowControl/>
              <w:bidi w:val="0"/>
              <w:spacing w:before="0" w:after="283"/>
              <w:rPr/>
            </w:pPr>
            <w:r>
              <w:rPr>
                <w:rStyle w:val="Strong"/>
              </w:rPr>
              <w:t>2.3</w:t>
            </w:r>
            <w:r>
              <w:rPr/>
              <w:t xml:space="preserve"> Nicht im Kaufpreis enthalten sind die bei Notar, Grundbuchamt und Behörden anfallenden Gebühren, die Grunderwerbsteuer, die Kosten der Finanzierung des Käufers sowie Kosten gesondert beauftragter Sonderwünsche (§ 3.5).</w:t>
            </w:r>
          </w:p>
        </w:tc>
        <w:tc>
          <w:tcPr>
            <w:tcW w:w="7244" w:type="dxa"/>
            <w:tcBorders/>
            <w:vAlign w:val="center"/>
          </w:tcPr>
          <w:p>
            <w:pPr>
              <w:pStyle w:val="TableContents"/>
              <w:widowControl/>
              <w:bidi w:val="0"/>
              <w:spacing w:before="0" w:after="283"/>
              <w:rPr/>
            </w:pPr>
            <w:r>
              <w:rPr>
                <w:rStyle w:val="Strong"/>
              </w:rPr>
              <w:t>2.3</w:t>
            </w:r>
            <w:r>
              <w:rPr/>
              <w:t xml:space="preserve"> The Purchase Price does not include the fees incurred by the Notary, land registry and authorities, the real estate transfer tax, the costs of financing the Buyer as well as costs of special requests commissioned separately (§ 3.5).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15" w:name="kaufpreiszahlung-fälligkeit-sicherheiten"/>
            <w:bookmarkEnd w:id="15"/>
            <w:r>
              <w:rPr/>
              <w:t>§ 3 Kaufpreiszahlung, Fälligkeit, Sicherheiten</w:t>
            </w:r>
          </w:p>
          <w:p>
            <w:pPr>
              <w:pStyle w:val="TableContents"/>
              <w:widowControl/>
              <w:bidi w:val="0"/>
              <w:spacing w:before="0" w:after="283"/>
              <w:rPr/>
            </w:pPr>
            <w:r>
              <w:rPr>
                <w:rStyle w:val="Strong"/>
              </w:rPr>
              <w:t>3.1</w:t>
            </w:r>
            <w:r>
              <w:rPr/>
              <w:t xml:space="preserve"> Die Kaufpreiszahlungen sind frühestens fällig, wenn die Notarin den Parteien schriftlich mitgeteilt hat, dass</w:t>
            </w:r>
          </w:p>
        </w:tc>
        <w:tc>
          <w:tcPr>
            <w:tcW w:w="7244" w:type="dxa"/>
            <w:tcBorders/>
            <w:vAlign w:val="center"/>
          </w:tcPr>
          <w:p>
            <w:pPr>
              <w:pStyle w:val="Heading1"/>
              <w:keepNext/>
              <w:widowControl/>
              <w:pBdr/>
              <w:bidi w:val="0"/>
              <w:spacing w:before="240" w:after="283"/>
              <w:rPr/>
            </w:pPr>
            <w:r>
              <w:rPr/>
              <w:t>§ 3 Purchase Price Payments, Due Dates and Security</w:t>
            </w:r>
          </w:p>
          <w:p>
            <w:pPr>
              <w:pStyle w:val="TableContents"/>
              <w:widowControl/>
              <w:bidi w:val="0"/>
              <w:spacing w:before="0" w:after="283"/>
              <w:rPr/>
            </w:pPr>
            <w:r>
              <w:rPr>
                <w:rStyle w:val="Strong"/>
              </w:rPr>
              <w:t>3.1</w:t>
            </w:r>
            <w:r>
              <w:rPr/>
              <w:t xml:space="preserve"> The Purchase Price payments are due at the earliest if the Notary has informed the parties in writing that </w:t>
            </w:r>
          </w:p>
        </w:tc>
      </w:tr>
      <w:tr>
        <w:trPr>
          <w:cantSplit/>
        </w:trPr>
        <w:tc>
          <w:tcPr>
            <w:tcW w:w="8290" w:type="dxa"/>
            <w:tcBorders/>
            <w:vAlign w:val="center"/>
          </w:tcPr>
          <w:p>
            <w:pPr>
              <w:pStyle w:val="TableContents"/>
              <w:widowControl/>
              <w:numPr>
                <w:ilvl w:val="0"/>
                <w:numId w:val="2"/>
              </w:numPr>
              <w:tabs>
                <w:tab w:val="clear" w:pos="1134"/>
                <w:tab w:val="left" w:pos="709" w:leader="none"/>
              </w:tabs>
              <w:bidi w:val="0"/>
              <w:spacing w:before="0" w:after="283"/>
              <w:ind w:hanging="283" w:start="709"/>
              <w:rPr/>
            </w:pPr>
            <w:r>
              <w:rPr/>
              <w:t xml:space="preserve">der Vertrag rechtswirksam zustande gekommen ist und keine vertraglichen Rücktrittsrechte des Verkäufers mehr bestehen, </w:t>
            </w:r>
          </w:p>
        </w:tc>
        <w:tc>
          <w:tcPr>
            <w:tcW w:w="7244" w:type="dxa"/>
            <w:tcBorders/>
            <w:vAlign w:val="center"/>
          </w:tcPr>
          <w:p>
            <w:pPr>
              <w:pStyle w:val="TableContents"/>
              <w:widowControl/>
              <w:numPr>
                <w:ilvl w:val="0"/>
                <w:numId w:val="3"/>
              </w:numPr>
              <w:tabs>
                <w:tab w:val="clear" w:pos="1134"/>
                <w:tab w:val="left" w:pos="709" w:leader="none"/>
              </w:tabs>
              <w:bidi w:val="0"/>
              <w:spacing w:before="0" w:after="283"/>
              <w:ind w:hanging="283" w:start="709"/>
              <w:rPr/>
            </w:pPr>
            <w:r>
              <w:rPr/>
              <w:t xml:space="preserve">the contract has been legally validly concluded and there are no longer any contractual rights of withdrawal of the Seller, </w:t>
            </w:r>
          </w:p>
        </w:tc>
      </w:tr>
      <w:tr>
        <w:trPr>
          <w:cantSplit/>
        </w:trPr>
        <w:tc>
          <w:tcPr>
            <w:tcW w:w="8290" w:type="dxa"/>
            <w:tcBorders/>
            <w:vAlign w:val="center"/>
          </w:tcPr>
          <w:p>
            <w:pPr>
              <w:pStyle w:val="TableContents"/>
              <w:widowControl/>
              <w:numPr>
                <w:ilvl w:val="0"/>
                <w:numId w:val="4"/>
              </w:numPr>
              <w:tabs>
                <w:tab w:val="clear" w:pos="1134"/>
                <w:tab w:val="left" w:pos="709" w:leader="none"/>
              </w:tabs>
              <w:bidi w:val="0"/>
              <w:spacing w:before="0" w:after="283"/>
              <w:ind w:hanging="283" w:start="709"/>
              <w:rPr/>
            </w:pPr>
            <w:r>
              <w:rPr/>
              <w:t xml:space="preserve">die Auflassungsvormerkung zugunsten des Käufers an vereinbarter Rangstelle im Grundbuch eingetragen ist, </w:t>
            </w:r>
          </w:p>
        </w:tc>
        <w:tc>
          <w:tcPr>
            <w:tcW w:w="7244" w:type="dxa"/>
            <w:tcBorders/>
            <w:vAlign w:val="center"/>
          </w:tcPr>
          <w:p>
            <w:pPr>
              <w:pStyle w:val="TableContents"/>
              <w:widowControl/>
              <w:numPr>
                <w:ilvl w:val="0"/>
                <w:numId w:val="5"/>
              </w:numPr>
              <w:tabs>
                <w:tab w:val="clear" w:pos="1134"/>
                <w:tab w:val="left" w:pos="709" w:leader="none"/>
              </w:tabs>
              <w:bidi w:val="0"/>
              <w:spacing w:before="0" w:after="283"/>
              <w:ind w:hanging="283" w:start="709"/>
              <w:rPr/>
            </w:pPr>
            <w:r>
              <w:rPr/>
              <w:t xml:space="preserve">the priority notice of conveyance is entered in the Land Register in favour of the Buyer at an agreed ranking point, </w:t>
            </w:r>
          </w:p>
        </w:tc>
      </w:tr>
      <w:tr>
        <w:trPr>
          <w:cantSplit/>
        </w:trPr>
        <w:tc>
          <w:tcPr>
            <w:tcW w:w="8290" w:type="dxa"/>
            <w:tcBorders/>
            <w:vAlign w:val="center"/>
          </w:tcPr>
          <w:p>
            <w:pPr>
              <w:pStyle w:val="TableContents"/>
              <w:widowControl/>
              <w:numPr>
                <w:ilvl w:val="0"/>
                <w:numId w:val="6"/>
              </w:numPr>
              <w:tabs>
                <w:tab w:val="clear" w:pos="1134"/>
                <w:tab w:val="left" w:pos="709" w:leader="none"/>
              </w:tabs>
              <w:bidi w:val="0"/>
              <w:spacing w:before="0" w:after="283"/>
              <w:ind w:hanging="283" w:start="709"/>
              <w:rPr/>
            </w:pPr>
            <w:r>
              <w:rPr/>
              <w:t xml:space="preserve">die Freistellungserklärung der Norddeutsche Grundkreditbank AG nach § 3 MaBV — auch für den Fall der nicht vollendeten Bauausführung — vorliegt, und </w:t>
            </w:r>
          </w:p>
        </w:tc>
        <w:tc>
          <w:tcPr>
            <w:tcW w:w="7244" w:type="dxa"/>
            <w:tcBorders/>
            <w:vAlign w:val="center"/>
          </w:tcPr>
          <w:p>
            <w:pPr>
              <w:pStyle w:val="TableContents"/>
              <w:widowControl/>
              <w:numPr>
                <w:ilvl w:val="0"/>
                <w:numId w:val="7"/>
              </w:numPr>
              <w:tabs>
                <w:tab w:val="clear" w:pos="1134"/>
                <w:tab w:val="left" w:pos="709" w:leader="none"/>
              </w:tabs>
              <w:bidi w:val="0"/>
              <w:spacing w:before="0" w:after="283"/>
              <w:ind w:hanging="283" w:start="709"/>
              <w:rPr/>
            </w:pPr>
            <w:r>
              <w:rPr/>
              <w:t xml:space="preserve">the release undertaking of Norddeutsche Grundkreditbank AG pursuant to § 3 MaBV — also in the case of unfinished construction — is present, and </w:t>
            </w:r>
          </w:p>
        </w:tc>
      </w:tr>
      <w:tr>
        <w:trPr>
          <w:cantSplit/>
        </w:trPr>
        <w:tc>
          <w:tcPr>
            <w:tcW w:w="8290" w:type="dxa"/>
            <w:tcBorders/>
            <w:vAlign w:val="center"/>
          </w:tcPr>
          <w:p>
            <w:pPr>
              <w:pStyle w:val="TableContents"/>
              <w:widowControl/>
              <w:numPr>
                <w:ilvl w:val="0"/>
                <w:numId w:val="8"/>
              </w:numPr>
              <w:tabs>
                <w:tab w:val="clear" w:pos="1134"/>
                <w:tab w:val="left" w:pos="709" w:leader="none"/>
              </w:tabs>
              <w:bidi w:val="0"/>
              <w:spacing w:before="0" w:after="283"/>
              <w:ind w:hanging="283" w:start="709"/>
              <w:rPr/>
            </w:pPr>
            <w:r>
              <w:rPr/>
              <w:t xml:space="preserve">die Baugenehmigung für Haus C vorliegt. </w:t>
            </w:r>
          </w:p>
        </w:tc>
        <w:tc>
          <w:tcPr>
            <w:tcW w:w="7244" w:type="dxa"/>
            <w:tcBorders/>
            <w:vAlign w:val="center"/>
          </w:tcPr>
          <w:p>
            <w:pPr>
              <w:pStyle w:val="TableContents"/>
              <w:widowControl/>
              <w:numPr>
                <w:ilvl w:val="0"/>
                <w:numId w:val="9"/>
              </w:numPr>
              <w:tabs>
                <w:tab w:val="clear" w:pos="1134"/>
                <w:tab w:val="left" w:pos="709" w:leader="none"/>
              </w:tabs>
              <w:bidi w:val="0"/>
              <w:spacing w:before="0" w:after="283"/>
              <w:ind w:hanging="283" w:start="709"/>
              <w:rPr/>
            </w:pPr>
            <w:r>
              <w:rPr/>
              <w:t xml:space="preserve">the building permit for house C is available. </w:t>
            </w:r>
          </w:p>
        </w:tc>
      </w:tr>
      <w:tr>
        <w:trPr>
          <w:cantSplit/>
        </w:trPr>
        <w:tc>
          <w:tcPr>
            <w:tcW w:w="8290" w:type="dxa"/>
            <w:tcBorders/>
            <w:vAlign w:val="center"/>
          </w:tcPr>
          <w:p>
            <w:pPr>
              <w:pStyle w:val="TableContents"/>
              <w:widowControl/>
              <w:bidi w:val="0"/>
              <w:spacing w:before="0" w:after="283"/>
              <w:rPr/>
            </w:pPr>
            <w:r>
              <w:rPr/>
              <w:t>Diese Voraussetzungen entsprechen § 3 Abs. 1 der Makler- und Bauträgerverordnung (MaBV); von ihnen wird nicht zulasten des Käufers abgewichen.</w:t>
            </w:r>
          </w:p>
        </w:tc>
        <w:tc>
          <w:tcPr>
            <w:tcW w:w="7244" w:type="dxa"/>
            <w:tcBorders/>
            <w:vAlign w:val="center"/>
          </w:tcPr>
          <w:p>
            <w:pPr>
              <w:pStyle w:val="TableContents"/>
              <w:widowControl/>
              <w:bidi w:val="0"/>
              <w:spacing w:before="0" w:after="283"/>
              <w:rPr/>
            </w:pPr>
            <w:r>
              <w:rPr/>
              <w:t xml:space="preserve">These requirements correspond to § 3 Abs. 1 of the German Makler- und Bauträgerverordnung (MaBV); they will not deviate at the expense of the Buyer. </w:t>
            </w:r>
          </w:p>
        </w:tc>
      </w:tr>
      <w:tr>
        <w:trPr>
          <w:cantSplit/>
        </w:trPr>
        <w:tc>
          <w:tcPr>
            <w:tcW w:w="8290" w:type="dxa"/>
            <w:tcBorders/>
            <w:vAlign w:val="center"/>
          </w:tcPr>
          <w:p>
            <w:pPr>
              <w:pStyle w:val="TableContents"/>
              <w:widowControl/>
              <w:bidi w:val="0"/>
              <w:spacing w:before="0" w:after="283"/>
              <w:rPr/>
            </w:pPr>
            <w:r>
              <w:rPr>
                <w:rStyle w:val="Strong"/>
              </w:rPr>
              <w:t>3.2</w:t>
            </w:r>
            <w:r>
              <w:rPr/>
              <w:t xml:space="preserve"> Der Käufer zahlt den Kaufpreis nach Baufortschritt in sieben Teilbeträgen entsprechend § 3 Abs. 2 MaBV:</w:t>
            </w:r>
          </w:p>
          <w:p>
            <w:pPr>
              <w:pStyle w:val="TableHeading"/>
              <w:widowControl/>
              <w:spacing w:before="0" w:after="80"/>
            </w:pPr>
            <w:r>
              <w:rPr>
                <w:b/>
              </w:rPr>
              <w:t>Rate · Bautenstand · Anteil</w:t>
            </w:r>
          </w:p>
          <w:p>
            <w:pPr>
              <w:pStyle w:val="TableContents"/>
              <w:widowControl/>
              <w:spacing w:before="0" w:after="80"/>
            </w:pPr>
            <w:r>
              <w:t>1. Rate · nach Beginn der Erdarbeiten · 30,0 %</w:t>
            </w:r>
          </w:p>
          <w:p>
            <w:pPr>
              <w:pStyle w:val="TableContents"/>
              <w:widowControl/>
              <w:spacing w:before="0" w:after="80"/>
            </w:pPr>
            <w:r>
              <w:t>2. Rate · nach Rohbaufertigstellung einschließlich Zimmererarbeiten · 28,0 %</w:t>
            </w:r>
          </w:p>
          <w:p>
            <w:pPr>
              <w:pStyle w:val="TableContents"/>
              <w:widowControl/>
              <w:spacing w:before="0" w:after="80"/>
            </w:pPr>
            <w:r>
              <w:t>3. Rate · nach Dachflächen/Dachrinnen, Rohinstallation Heizung/Sanitär/Elektro und Fenstereinbau einschließlich Verglasung · 18,9 %</w:t>
            </w:r>
          </w:p>
          <w:p>
            <w:pPr>
              <w:pStyle w:val="TableContents"/>
              <w:widowControl/>
              <w:spacing w:before="0" w:after="80"/>
            </w:pPr>
            <w:r>
              <w:t>4. Rate · nach Innenputz, Estrich und Fliesenarbeiten im Sanitärbereich · 9,1 %</w:t>
            </w:r>
          </w:p>
          <w:p>
            <w:pPr>
              <w:pStyle w:val="TableContents"/>
              <w:widowControl/>
              <w:spacing w:before="0" w:after="80"/>
            </w:pPr>
            <w:r>
              <w:t>5. Rate · nach Bezugsfertigkeit Zug um Zug gegen Besitzübergabe · 8,4 %</w:t>
            </w:r>
          </w:p>
          <w:p>
            <w:pPr>
              <w:pStyle w:val="TableContents"/>
              <w:widowControl/>
              <w:spacing w:before="0" w:after="80"/>
            </w:pPr>
            <w:r>
              <w:t>6. Rate · nach Fassadenarbeiten · 2,1 %</w:t>
            </w:r>
          </w:p>
          <w:p>
            <w:pPr>
              <w:pStyle w:val="TableContents"/>
              <w:widowControl/>
              <w:spacing w:before="0" w:after="80"/>
            </w:pPr>
            <w:r>
              <w:t>7. Rate · nach vollständiger Fertigstellung einschließlich der Außenanlagen · 3,5 %</w:t>
            </w:r>
          </w:p>
        </w:tc>
        <w:tc>
          <w:tcPr>
            <w:tcW w:w="7244" w:type="dxa"/>
            <w:tcBorders/>
            <w:vAlign w:val="center"/>
          </w:tcPr>
          <w:p>
            <w:pPr>
              <w:pStyle w:val="TableContents"/>
              <w:widowControl/>
              <w:bidi w:val="0"/>
              <w:spacing w:before="0" w:after="0"/>
              <w:rPr/>
            </w:pPr>
            <w:r>
              <w:rPr>
                <w:rStyle w:val="Strong"/>
              </w:rPr>
              <w:t>3.2</w:t>
            </w:r>
            <w:r>
              <w:rPr/>
              <w:t xml:space="preserve"> The Buyer pays the Purchase Price after construction progress in seven instalments according to § 3 Abs. 2 MaBV: </w:t>
            </w:r>
          </w:p>
          <w:p>
            <w:pPr>
              <w:pStyle w:val="TableContents"/>
              <w:widowControl/>
              <w:bidi w:val="0"/>
              <w:spacing w:before="0" w:after="283"/>
              <w:rPr/>
            </w:pPr>
            <w:r>
              <w:rPr/>
            </w:r>
          </w:p>
          <w:p>
            <w:pPr>
              <w:pStyle w:val="TableHeading"/>
              <w:widowControl/>
              <w:spacing w:before="0" w:after="80"/>
            </w:pPr>
            <w:r>
              <w:rPr>
                <w:b/>
              </w:rPr>
              <w:t>Instalment · Construction milestone · Percentage</w:t>
            </w:r>
          </w:p>
          <w:p>
            <w:pPr>
              <w:pStyle w:val="TableContents"/>
              <w:widowControl/>
              <w:spacing w:before="0" w:after="80"/>
            </w:pPr>
            <w:r>
              <w:t>1 · After commencement of earthworks · 30.0 %</w:t>
            </w:r>
          </w:p>
          <w:p>
            <w:pPr>
              <w:pStyle w:val="TableContents"/>
              <w:widowControl/>
              <w:spacing w:before="0" w:after="80"/>
            </w:pPr>
            <w:r>
              <w:t>2 · After completion of the structural shell, including carpentry · 28.0 %</w:t>
            </w:r>
          </w:p>
          <w:p>
            <w:pPr>
              <w:pStyle w:val="TableContents"/>
              <w:widowControl/>
              <w:spacing w:before="0" w:after="80"/>
            </w:pPr>
            <w:r>
              <w:t>3 · After roof surfaces and gutters, rough-in heating, sanitary and electrical installations, and window installation including glazing · 18.9 %</w:t>
            </w:r>
          </w:p>
          <w:p>
            <w:pPr>
              <w:pStyle w:val="TableContents"/>
              <w:widowControl/>
              <w:spacing w:before="0" w:after="80"/>
            </w:pPr>
            <w:r>
              <w:t>4 · After interior plaster, screed and tiling in sanitary areas · 9.1 %</w:t>
            </w:r>
          </w:p>
          <w:p>
            <w:pPr>
              <w:pStyle w:val="TableContents"/>
              <w:widowControl/>
              <w:spacing w:before="0" w:after="80"/>
            </w:pPr>
            <w:r>
              <w:t>5 · Upon readiness for occupancy, concurrently with transfer of possession · 8.4 %</w:t>
            </w:r>
          </w:p>
          <w:p>
            <w:pPr>
              <w:pStyle w:val="TableContents"/>
              <w:widowControl/>
              <w:spacing w:before="0" w:after="80"/>
            </w:pPr>
            <w:r>
              <w:t>6 · After facade works · 2.1 %</w:t>
            </w:r>
          </w:p>
          <w:p>
            <w:pPr>
              <w:pStyle w:val="TableContents"/>
              <w:widowControl/>
              <w:spacing w:before="0" w:after="80"/>
            </w:pPr>
            <w:r>
              <w:t>7 · After full completion, including outdoor areas · 3.5 %</w:t>
            </w:r>
          </w:p>
        </w:tc>
      </w:tr>
      <w:tr>
        <w:trPr>
          <w:cantSplit/>
        </w:trPr>
        <w:tc>
          <w:tcPr>
            <w:tcW w:w="8290" w:type="dxa"/>
            <w:tcBorders/>
            <w:vAlign w:val="center"/>
          </w:tcPr>
          <w:p>
            <w:pPr>
              <w:pStyle w:val="TableContents"/>
              <w:widowControl/>
              <w:bidi w:val="0"/>
              <w:spacing w:before="0" w:after="283"/>
              <w:rPr/>
            </w:pPr>
            <w:r>
              <w:rPr/>
              <w:t>Eine Rate wird fällig, wenn der zugehörige Bautenstand tatsächlich erreicht ist und der Verkäufer den Käufer schriftlich unter Bezeichnung des erreichten Meilensteins zur Zahlung auffordert. Der Käufer ist berechtigt, den Bautenstand vor Zahlung selbst oder durch eine Person seines Vertrauens zu überprüfen (§ 8); ist der bezeichnete Bautenstand nicht erreicht, wird die Rate nicht fällig. Die Schlussrate (7. Rate) wird erst nach vollständiger Fertigstellung einschließlich der dem Kaufgegenstand zugeordneten Außenanlagen und nach Beseitigung der im Abnahmeprotokoll festgehaltenen Mängel und Restarbeiten fällig.</w:t>
            </w:r>
          </w:p>
        </w:tc>
        <w:tc>
          <w:tcPr>
            <w:tcW w:w="7244" w:type="dxa"/>
            <w:tcBorders/>
            <w:vAlign w:val="center"/>
          </w:tcPr>
          <w:p>
            <w:pPr>
              <w:pStyle w:val="TableContents"/>
              <w:widowControl/>
              <w:bidi w:val="0"/>
              <w:spacing w:before="0" w:after="283"/>
              <w:rPr/>
            </w:pPr>
            <w:r>
              <w:rPr/>
              <w:t xml:space="preserve">An installment becomes due when the associated building status is actually reached and the Seller requests payment from the Buyer in writing under the name of the milestone reached. The Buyer is entitled to check the building status himself or by a person of his trust before payment (§ 8); if the named building status is not reached, the installment is not due. The final installment (7th installment) is due only after complete completion including the outdoor facilities assigned to the purchased item and after elimination of the defects and remaining work recorded in the acceptance record. </w:t>
            </w:r>
          </w:p>
        </w:tc>
      </w:tr>
      <w:tr>
        <w:trPr>
          <w:cantSplit/>
        </w:trPr>
        <w:tc>
          <w:tcPr>
            <w:tcW w:w="8290" w:type="dxa"/>
            <w:tcBorders/>
            <w:vAlign w:val="center"/>
          </w:tcPr>
          <w:p>
            <w:pPr>
              <w:pStyle w:val="TableContents"/>
              <w:widowControl/>
              <w:bidi w:val="0"/>
              <w:spacing w:before="0" w:after="283"/>
              <w:rPr/>
            </w:pPr>
            <w:r>
              <w:rPr>
                <w:rStyle w:val="Strong"/>
              </w:rPr>
              <w:t>3.3</w:t>
            </w:r>
            <w:r>
              <w:rPr/>
              <w:t xml:space="preserve"> Sicherheit für rechtzeitige und mangelfreie Herstellung. Der Verkäufer stellt dem Käufer bei der ersten Abschlagszahlung eine Sicherheit in Höhe von 5 % des Gesamtkaufpreises (§ 650m Abs. 2 BGB) für die rechtzeitige Herstellung des Kaufgegenstandes ohne wesentliche Mängel. Die Sicherheit kann durch Einbehalt des Käufers nach Maßgabe des § 650m Abs. 2 Satz 3 BGB oder durch unbefristete, selbstschuldnerische Garantie oder ein sonstiges Zahlungsversprechen eines im Inland zum Geschäftsbetrieb befugten Kreditinstituts oder Kreditversicherers geleistet werden. Sie ist zurückzugeben, sobald der gesamte von ihr erfasste Herstellungsumfang tatsächlich rechtzeitig und ohne wesentliche Mängel fertiggestellt ist. Soweit gesicherte Ansprüche wegen Verzögerung oder wesentlicher Mängel fortbestehen, bleibt die Sicherheit in angemessener Höhe bestehen; sonstige gesetzliche Mängelrechte werden durch ihre Rückgabe nicht berührt.</w:t>
            </w:r>
          </w:p>
        </w:tc>
        <w:tc>
          <w:tcPr>
            <w:tcW w:w="7244" w:type="dxa"/>
            <w:tcBorders/>
            <w:vAlign w:val="center"/>
          </w:tcPr>
          <w:p>
            <w:pPr>
              <w:pStyle w:val="TableContents"/>
              <w:widowControl/>
              <w:bidi w:val="0"/>
              <w:spacing w:before="0" w:after="283"/>
              <w:rPr/>
            </w:pPr>
            <w:r>
              <w:rPr>
                <w:rStyle w:val="Strong"/>
              </w:rPr>
              <w:t>3.3</w:t>
            </w:r>
            <w:r>
              <w:rPr/>
              <w:t xml:space="preserve"> Security for timely, defect-free construction. At the first instalment payment, the Seller shall provide the Buyer with security equal to 5% of the total Purchase Price (section 650m(2) BGB) for timely construction of the Purchased Property without material defects. The security may be provided through a retention by the Buyer under section 650m(2), third sentence BGB or through a guarantee without a fixed expiry date and enforceable directly against the guarantor, or another promise of payment, issued by a credit institution or credit insurer authorised to conduct business in Germany. It must be returned once the entire scope of construction covered by it has actually been completed on time and without material defects. To the extent that secured claims for delay or material defects remain, the security shall remain in place in an appropriate amount; its return does not affect other statutory rights in respect of defects.</w:t>
            </w:r>
          </w:p>
        </w:tc>
      </w:tr>
      <w:tr>
        <w:trPr>
          <w:cantSplit/>
        </w:trPr>
        <w:tc>
          <w:tcPr>
            <w:tcW w:w="8290" w:type="dxa"/>
            <w:tcBorders/>
            <w:vAlign w:val="center"/>
          </w:tcPr>
          <w:p>
            <w:pPr>
              <w:pStyle w:val="TableContents"/>
              <w:widowControl/>
              <w:bidi w:val="0"/>
              <w:spacing w:before="0" w:after="283"/>
              <w:rPr/>
            </w:pPr>
            <w:r>
              <w:rPr>
                <w:rStyle w:val="Strong"/>
              </w:rPr>
              <w:t>3.4</w:t>
            </w:r>
            <w:r>
              <w:rPr/>
              <w:t xml:space="preserve"> Keine Vorleistungen. Vor der Beurkundung hat der Verkäufer keine auf den Erwerb, eine Reservierung oder Sonderwünsche entfallenden Zahlungen oder Sicherheiten entgegengenommen. Kaufpreiszahlungen und Zahlungen auf bauwerksbezogene Sonderwünsche werden ausschließlich nach Maßgabe der §§ 3.1 bis 3.3 und 3.5 angefordert.</w:t>
            </w:r>
          </w:p>
        </w:tc>
        <w:tc>
          <w:tcPr>
            <w:tcW w:w="7244" w:type="dxa"/>
            <w:tcBorders/>
            <w:vAlign w:val="center"/>
          </w:tcPr>
          <w:p>
            <w:pPr>
              <w:pStyle w:val="TableContents"/>
              <w:widowControl/>
              <w:bidi w:val="0"/>
              <w:spacing w:before="0" w:after="283"/>
              <w:rPr/>
            </w:pPr>
            <w:r>
              <w:rPr>
                <w:rStyle w:val="Strong"/>
              </w:rPr>
              <w:t>3.4</w:t>
            </w:r>
            <w:r>
              <w:rPr/>
              <w:t xml:space="preserve"> No advance payments. Before notarisation, the Seller did not accept any payment or security relating to the acquisition, a reservation or special requests. Purchase Price payments and payments for construction-related special requests shall be requested only in accordance with sections 3.1 to 3.3 and 3.5.</w:t>
            </w:r>
          </w:p>
        </w:tc>
      </w:tr>
      <w:tr>
        <w:trPr>
          <w:cantSplit/>
        </w:trPr>
        <w:tc>
          <w:tcPr>
            <w:tcW w:w="8290" w:type="dxa"/>
            <w:tcBorders/>
            <w:vAlign w:val="center"/>
          </w:tcPr>
          <w:p>
            <w:pPr>
              <w:pStyle w:val="TableContents"/>
              <w:widowControl/>
              <w:bidi w:val="0"/>
              <w:spacing w:before="0" w:after="283"/>
              <w:rPr/>
            </w:pPr>
            <w:r>
              <w:rPr>
                <w:rStyle w:val="Strong"/>
              </w:rPr>
              <w:t>3.5</w:t>
            </w:r>
            <w:r>
              <w:rPr/>
              <w:t xml:space="preserve"> Sonderwünsche. Sonderwünsche außerhalb der Ausstattungslinie „Marewald Komfort C” werden gesondert auf Grundlage eines Nachtragsangebots beauftragt. Bauwerksbezogene Sonderwünsche werden mit der Rate fällig, die dem Bautenstand des betroffenen Gewerks entspricht; eine Vorauszahlung vor Leistung wird nur gegen Sicherheit nach § 7 MaBV verlangt. Die ersten drei Beratungsstunden in der Bemusterung sind im Kaufpreis enthalten; weiterer Beratungsaufwand wird mit 178,50 EUR je Stunde einschließlich 19 % Umsatzsteuer vergütet.</w:t>
            </w:r>
          </w:p>
        </w:tc>
        <w:tc>
          <w:tcPr>
            <w:tcW w:w="7244" w:type="dxa"/>
            <w:tcBorders/>
            <w:vAlign w:val="center"/>
          </w:tcPr>
          <w:p>
            <w:pPr>
              <w:pStyle w:val="TableContents"/>
              <w:widowControl/>
              <w:bidi w:val="0"/>
              <w:spacing w:before="0" w:after="283"/>
              <w:rPr/>
            </w:pPr>
            <w:r>
              <w:rPr>
                <w:rStyle w:val="Strong"/>
              </w:rPr>
              <w:t>3.5</w:t>
            </w:r>
            <w:r>
              <w:rPr/>
              <w:t xml:space="preserve"> Special requests. Special requests outside the equipment line “Marewald Komfort C” are commissioned separately on the basis of a supplementary offer. Special requests relating to a building shall be due at the rate corresponding to the state of construction of the trade concerned; an advance payment before performance is only required against security according to § 7 MaBV. The first three consultation hours during the selection appointment are included in the Purchase Price; further consulting expenses are reimbursed at EUR 178,50 per hour including 19% VAT.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16" w:name="belastungsvollmacht-kaufpreisfinanzierun"/>
            <w:bookmarkEnd w:id="16"/>
            <w:r>
              <w:rPr/>
              <w:t>§ 4 Belastungsvollmacht, Kaufpreisfinanzierung</w:t>
            </w:r>
          </w:p>
          <w:p>
            <w:pPr>
              <w:pStyle w:val="TableContents"/>
              <w:widowControl/>
              <w:bidi w:val="0"/>
              <w:spacing w:before="0" w:after="283"/>
              <w:rPr/>
            </w:pPr>
            <w:r>
              <w:rPr>
                <w:rStyle w:val="Strong"/>
              </w:rPr>
              <w:t>4.1</w:t>
            </w:r>
            <w:r>
              <w:rPr/>
              <w:t xml:space="preserve"> Der Verkäufer bevollmächtigt den Käufer, an dem Kaufgegenstand bereits vor Eigentumsumschreibung Grundpfandrechte zugunsten finanzierender Kreditinstitute zu bestellen und eintragen zu lassen.</w:t>
            </w:r>
          </w:p>
        </w:tc>
        <w:tc>
          <w:tcPr>
            <w:tcW w:w="7244" w:type="dxa"/>
            <w:tcBorders/>
            <w:vAlign w:val="center"/>
          </w:tcPr>
          <w:p>
            <w:pPr>
              <w:pStyle w:val="Heading1"/>
              <w:keepNext/>
              <w:widowControl/>
              <w:pBdr/>
              <w:bidi w:val="0"/>
              <w:spacing w:before="240" w:after="283"/>
              <w:rPr/>
            </w:pPr>
            <w:r>
              <w:rPr/>
              <w:t>§ 4 Authority to Create Security Interests in Land; Purchase Price Financing</w:t>
            </w:r>
          </w:p>
          <w:p>
            <w:pPr>
              <w:pStyle w:val="TableContents"/>
              <w:widowControl/>
              <w:bidi w:val="0"/>
              <w:spacing w:before="0" w:after="283"/>
              <w:rPr/>
            </w:pPr>
            <w:r>
              <w:rPr>
                <w:rStyle w:val="Strong"/>
              </w:rPr>
              <w:t>4.1</w:t>
            </w:r>
            <w:r>
              <w:rPr/>
              <w:t xml:space="preserve"> The Seller authorises the Buyer to create and register security interests in land over the Purchased Property in favour of financing credit institutions before title is registered in the Buyer's name.</w:t>
            </w:r>
          </w:p>
        </w:tc>
      </w:tr>
      <w:tr>
        <w:trPr>
          <w:cantSplit/>
        </w:trPr>
        <w:tc>
          <w:tcPr>
            <w:tcW w:w="8290" w:type="dxa"/>
            <w:tcBorders/>
            <w:vAlign w:val="center"/>
          </w:tcPr>
          <w:p>
            <w:pPr>
              <w:pStyle w:val="TableContents"/>
              <w:widowControl/>
              <w:bidi w:val="0"/>
              <w:spacing w:before="0" w:after="283"/>
              <w:rPr/>
            </w:pPr>
            <w:r>
              <w:rPr>
                <w:rStyle w:val="Strong"/>
              </w:rPr>
              <w:t>4.2</w:t>
            </w:r>
            <w:r>
              <w:rPr/>
              <w:t xml:space="preserve"> Eine persönliche Haftung des Käufers mit sofortiger Zwangsvollstreckungsunterwerfung darf bis zur Höhe des Gesamtkaufpreises von 674.000,00 EUR nebst marktüblicher dinglicher Zinsen von bis zu 15 % jährlich und einmaliger Nebenleistung begründet werden, soweit die finanzierende Bank dies verlangt. Die Sicherungsabrede mit der Bank hat sicherzustellen, dass Zahlungen nur auf den Kaufpreis dieses Vertrages erfolgen, solange das Eigentum nicht umgeschrieben ist.</w:t>
            </w:r>
          </w:p>
        </w:tc>
        <w:tc>
          <w:tcPr>
            <w:tcW w:w="7244" w:type="dxa"/>
            <w:tcBorders/>
            <w:vAlign w:val="center"/>
          </w:tcPr>
          <w:p>
            <w:pPr>
              <w:pStyle w:val="TableContents"/>
              <w:widowControl/>
              <w:bidi w:val="0"/>
              <w:spacing w:before="0" w:after="283"/>
              <w:rPr/>
            </w:pPr>
            <w:r>
              <w:rPr>
                <w:rStyle w:val="Strong"/>
              </w:rPr>
              <w:t>4.2</w:t>
            </w:r>
            <w:r>
              <w:rPr/>
              <w:t xml:space="preserve"> Personal liability of the Buyer, including submission to immediate compulsory enforcement, may be created up to the total Purchase Price of EUR 674,000.00 plus customary land-charge interest of up to 15% per year and a one-off ancillary amount, insofar as the financing bank requires this. The security agreement with the bank must ensure that funds are disbursed solely towards the Purchase Price under this contract until title has been registered in the Buyer's name.</w:t>
            </w:r>
          </w:p>
        </w:tc>
      </w:tr>
      <w:tr>
        <w:trPr>
          <w:cantSplit/>
        </w:trPr>
        <w:tc>
          <w:tcPr>
            <w:tcW w:w="8290" w:type="dxa"/>
            <w:tcBorders/>
            <w:vAlign w:val="center"/>
          </w:tcPr>
          <w:p>
            <w:pPr>
              <w:pStyle w:val="TableContents"/>
              <w:widowControl/>
              <w:bidi w:val="0"/>
              <w:spacing w:before="0" w:after="283"/>
              <w:rPr/>
            </w:pPr>
            <w:r>
              <w:rPr>
                <w:rStyle w:val="Strong"/>
              </w:rPr>
              <w:t>4.3</w:t>
            </w:r>
            <w:r>
              <w:rPr/>
              <w:t xml:space="preserve"> Der Käufer trägt die Kosten der Bestellung, Rangbeschaffung und Löschung der Finanzierungsgrundpfandrechte. Der Verkäufer bleibt verpflichtet, die Lastenfreistellung nach § 3.1 c) und § 10 sicherzustellen.</w:t>
            </w:r>
          </w:p>
        </w:tc>
        <w:tc>
          <w:tcPr>
            <w:tcW w:w="7244" w:type="dxa"/>
            <w:tcBorders/>
            <w:vAlign w:val="center"/>
          </w:tcPr>
          <w:p>
            <w:pPr>
              <w:pStyle w:val="TableContents"/>
              <w:widowControl/>
              <w:bidi w:val="0"/>
              <w:spacing w:before="0" w:after="283"/>
              <w:rPr/>
            </w:pPr>
            <w:r>
              <w:rPr>
                <w:rStyle w:val="Strong"/>
              </w:rPr>
              <w:t>4.3</w:t>
            </w:r>
            <w:r>
              <w:rPr/>
              <w:t xml:space="preserve"> The Buyer bears the costs of creating, obtaining the required priority for and cancelling the financing security interests in land. The Seller remains obliged to ensure release from encumbrances under sections 3.1(c) and 10.</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17" w:name="baupflicht-baubeschreibung-termine"/>
            <w:bookmarkEnd w:id="17"/>
            <w:r>
              <w:rPr/>
              <w:t>§ 5 Baupflicht, Baubeschreibung, Termine</w:t>
            </w:r>
          </w:p>
          <w:p>
            <w:pPr>
              <w:pStyle w:val="TableContents"/>
              <w:widowControl/>
              <w:bidi w:val="0"/>
              <w:spacing w:before="0" w:after="283"/>
              <w:rPr/>
            </w:pPr>
            <w:r>
              <w:rPr>
                <w:rStyle w:val="Strong"/>
              </w:rPr>
              <w:t>5.1</w:t>
            </w:r>
            <w:r>
              <w:rPr/>
              <w:t xml:space="preserve"> Der Verkäufer verpflichtet sich, den Kaufgegenstand entsprechend der mitbeurkundeten Anlage Baubeschreibung (Fassung Mai 2026, Version 3.0), den genehmigten Plänen und den anerkannten Regeln der Technik herzustellen.</w:t>
            </w:r>
          </w:p>
        </w:tc>
        <w:tc>
          <w:tcPr>
            <w:tcW w:w="7244" w:type="dxa"/>
            <w:tcBorders/>
            <w:vAlign w:val="center"/>
          </w:tcPr>
          <w:p>
            <w:pPr>
              <w:pStyle w:val="Heading1"/>
              <w:keepNext/>
              <w:widowControl/>
              <w:bidi w:val="0"/>
              <w:spacing w:before="240" w:after="283"/>
              <w:ind w:hanging="0" w:start="0" w:end="0"/>
              <w:rPr/>
            </w:pPr>
            <w:bookmarkStart w:id="18" w:name="construction-obligation-building-specifi"/>
            <w:bookmarkEnd w:id="18"/>
            <w:r>
              <w:rPr/>
              <w:t xml:space="preserve">§ 5 Construction obligation, Building Specification, dates </w:t>
            </w:r>
          </w:p>
          <w:p>
            <w:pPr>
              <w:pStyle w:val="TableContents"/>
              <w:widowControl/>
              <w:bidi w:val="0"/>
              <w:spacing w:before="0" w:after="283"/>
              <w:rPr/>
            </w:pPr>
            <w:r>
              <w:rPr>
                <w:rStyle w:val="Strong"/>
              </w:rPr>
              <w:t>5.1</w:t>
            </w:r>
            <w:r>
              <w:rPr/>
              <w:t xml:space="preserve"> The Seller undertakes to construct the Purchased Property in accordance with the annexed Building Specification intended to be notarised together with the contract (May 2026, version 3.0), the approved plans and the recognised rules of technology.</w:t>
            </w:r>
          </w:p>
        </w:tc>
      </w:tr>
      <w:tr>
        <w:trPr>
          <w:cantSplit/>
        </w:trPr>
        <w:tc>
          <w:tcPr>
            <w:tcW w:w="8290" w:type="dxa"/>
            <w:tcBorders/>
            <w:vAlign w:val="center"/>
          </w:tcPr>
          <w:p>
            <w:pPr>
              <w:pStyle w:val="TableContents"/>
              <w:widowControl/>
              <w:bidi w:val="0"/>
              <w:spacing w:before="0" w:after="283"/>
              <w:rPr/>
            </w:pPr>
            <w:r>
              <w:rPr>
                <w:rStyle w:val="Strong"/>
              </w:rPr>
              <w:t>5.2</w:t>
            </w:r>
            <w:r>
              <w:rPr/>
              <w:t xml:space="preserve"> Planung und Bauüberwachung organisiert der Verkäufer in eigener Verantwortung. Planungsunterlagen, welche der Käufer zum Nachweis gegenüber Behörden benötigt, werden ihm rechtzeitig vor Beginn der jeweils betroffenen Ausführung übergeben; die entsprechenden Fertigstellungsnachweise spätestens mit Fertigstellung. Entsprechendes gilt für Nachweise, die ein Darlehensgeber aufgrund einer vom Verkäufer geweckten berechtigten Erwartung verlangt (§ 650n BGB). Darüber hinaus erhält der Käufer oder die Gemeinschaft die vertraglich geschuldeten Bedienungs-, Wartungs-, Prüf- und Revisionsunterlagen zu dem jeweils vereinbarten Übergabezeitpunkt. Reine interne Kalkulations- und Steuerungsunterlagen bleiben vorbehalten.</w:t>
            </w:r>
          </w:p>
        </w:tc>
        <w:tc>
          <w:tcPr>
            <w:tcW w:w="7244" w:type="dxa"/>
            <w:tcBorders/>
            <w:vAlign w:val="center"/>
          </w:tcPr>
          <w:p>
            <w:pPr>
              <w:pStyle w:val="TableContents"/>
              <w:widowControl/>
              <w:bidi w:val="0"/>
              <w:spacing w:before="0" w:after="283"/>
              <w:rPr/>
            </w:pPr>
            <w:r>
              <w:rPr>
                <w:rStyle w:val="Strong"/>
              </w:rPr>
              <w:t>5.2</w:t>
            </w:r>
            <w:r>
              <w:rPr/>
              <w:t xml:space="preserve"> Planning and construction supervision is organised by the Seller under his own responsibility. planning documents, which the Buyer needs to prove to the authorities, are handed over to him in good time before the start of the relevant execution; the corresponding proofs of completion at the latest upon completion. The same applies to proofs that a lender requires based on a legitimate expectation awakened by the Seller (§ 650n BGB). In addition, the Buyer or the community will receive the contractually owed operating, maintenance, testing and as-built documentation at the respectively agreed handover time. Pure internal calculation and control documents are reserved. </w:t>
            </w:r>
          </w:p>
        </w:tc>
      </w:tr>
      <w:tr>
        <w:trPr>
          <w:cantSplit/>
        </w:trPr>
        <w:tc>
          <w:tcPr>
            <w:tcW w:w="8290" w:type="dxa"/>
            <w:tcBorders/>
            <w:vAlign w:val="center"/>
          </w:tcPr>
          <w:p>
            <w:pPr>
              <w:pStyle w:val="TableContents"/>
              <w:widowControl/>
              <w:bidi w:val="0"/>
              <w:spacing w:before="0" w:after="283"/>
              <w:rPr/>
            </w:pPr>
            <w:r>
              <w:rPr>
                <w:rStyle w:val="Strong"/>
              </w:rPr>
              <w:t>5.3</w:t>
            </w:r>
            <w:r>
              <w:rPr/>
              <w:t xml:space="preserve"> Soweit die Baubeschreibung Wahlmöglichkeiten vorsieht, erhält der Käufer im Bemusterungszentrum „Marewald Auswahl”, Mundsburger Damm 5, Hamburg, Gelegenheit zur Auswahl, sofern der Baufortschritt es zulässt. Trifft der Käufer trotz Aufforderung und angemessener Frist von mindestens vier Wochen keine Auswahl, bestimmt der Verkäufer die Ausführung aus der Ausstattungslinie „Marewald Komfort C” nach billigem Ermessen unter Berücksichtigung des einheitlichen Erscheinungsbildes.</w:t>
            </w:r>
          </w:p>
        </w:tc>
        <w:tc>
          <w:tcPr>
            <w:tcW w:w="7244" w:type="dxa"/>
            <w:tcBorders/>
            <w:vAlign w:val="center"/>
          </w:tcPr>
          <w:p>
            <w:pPr>
              <w:pStyle w:val="TableContents"/>
              <w:widowControl/>
              <w:bidi w:val="0"/>
              <w:spacing w:before="0" w:after="283"/>
              <w:rPr/>
            </w:pPr>
            <w:r>
              <w:rPr>
                <w:rStyle w:val="Strong"/>
              </w:rPr>
              <w:t>5.3</w:t>
            </w:r>
            <w:r>
              <w:rPr/>
              <w:t xml:space="preserve"> As far as the Building Specification provides for choices, the Buyer will be given the opportunity to choose at the sampling center “Marewald Auswahl”, Mundsburger Damm 5, Hamburg, if the construction progress permits. If the Buyer does not make a selection despite request and a reasonable period of at least four weeks, the Seller determines the design from the equipment line “Marewald Komfort C” at reasonable discretion, taking into account the uniform appearance. </w:t>
            </w:r>
          </w:p>
        </w:tc>
      </w:tr>
      <w:tr>
        <w:trPr>
          <w:cantSplit/>
        </w:trPr>
        <w:tc>
          <w:tcPr>
            <w:tcW w:w="8290" w:type="dxa"/>
            <w:tcBorders/>
            <w:vAlign w:val="center"/>
          </w:tcPr>
          <w:p>
            <w:pPr>
              <w:pStyle w:val="TableContents"/>
              <w:widowControl/>
              <w:bidi w:val="0"/>
              <w:spacing w:before="0" w:after="283"/>
              <w:rPr/>
            </w:pPr>
            <w:r>
              <w:rPr>
                <w:rStyle w:val="Strong"/>
              </w:rPr>
              <w:t>5.4</w:t>
            </w:r>
            <w:r>
              <w:rPr/>
              <w:t xml:space="preserve"> Auf eine von Baubeschreibung, Plänen und Vertrag abweichende Ausführung besteht kein Anspruch. Verkaufsunterlagen und Musterwohnung begründen für sich allein keine zusätzliche Beschaffenheitsvereinbarung; Individualabreden und ihre Berücksichtigung als vertragsbegleitende Umstände bei unvollständigen oder unklaren Leistungsbeschreibungen bleiben unberührt.</w:t>
            </w:r>
          </w:p>
        </w:tc>
        <w:tc>
          <w:tcPr>
            <w:tcW w:w="7244" w:type="dxa"/>
            <w:tcBorders/>
            <w:vAlign w:val="center"/>
          </w:tcPr>
          <w:p>
            <w:pPr>
              <w:pStyle w:val="TableContents"/>
              <w:widowControl/>
              <w:bidi w:val="0"/>
              <w:spacing w:before="0" w:after="283"/>
              <w:rPr/>
            </w:pPr>
            <w:r>
              <w:rPr>
                <w:rStyle w:val="Strong"/>
              </w:rPr>
              <w:t>5.4</w:t>
            </w:r>
            <w:r>
              <w:rPr/>
              <w:t xml:space="preserve"> There is no entitlement to construction that deviates from the Building Specification, plans and contract. Sales documents and the show apartment do not by themselves establish any additional agreement on quality; individual agreements and their consideration as surrounding contractual circumstances when interpreting incomplete or unclear specifications remain unaffected.</w:t>
            </w:r>
          </w:p>
        </w:tc>
      </w:tr>
      <w:tr>
        <w:trPr>
          <w:cantSplit/>
        </w:trPr>
        <w:tc>
          <w:tcPr>
            <w:tcW w:w="8290" w:type="dxa"/>
            <w:tcBorders/>
            <w:vAlign w:val="center"/>
          </w:tcPr>
          <w:p>
            <w:pPr>
              <w:pStyle w:val="TableContents"/>
              <w:widowControl/>
              <w:bidi w:val="0"/>
              <w:spacing w:before="0" w:after="283"/>
              <w:rPr/>
            </w:pPr>
            <w:r>
              <w:rPr>
                <w:rStyle w:val="Strong"/>
              </w:rPr>
              <w:t>5.5</w:t>
            </w:r>
            <w:r>
              <w:rPr/>
              <w:t xml:space="preserve"> Enthält die Baubeschreibung zu notwendigen Leistungen keine oder unbestimmte Angaben, wird das Bausoll unter Berücksichtigung sämtlicher vertragsbegleitender Umstände, insbesondere des Komfort- und Qualitätsstandards der Ausstattungslinie „Marewald Komfort C”, bestimmt; Zweifel gehen zulasten des Verkäufers. Geschuldet sind mindestens die anerkannten Regeln der Technik und die nach diesem Auslegungsmaßstab erforderliche Qualität.</w:t>
            </w:r>
          </w:p>
        </w:tc>
        <w:tc>
          <w:tcPr>
            <w:tcW w:w="7244" w:type="dxa"/>
            <w:tcBorders/>
            <w:vAlign w:val="center"/>
          </w:tcPr>
          <w:p>
            <w:pPr>
              <w:pStyle w:val="TableContents"/>
              <w:widowControl/>
              <w:bidi w:val="0"/>
              <w:spacing w:before="0" w:after="283"/>
              <w:rPr/>
            </w:pPr>
            <w:r>
              <w:rPr>
                <w:rStyle w:val="Strong"/>
              </w:rPr>
              <w:t>5.5</w:t>
            </w:r>
            <w:r>
              <w:rPr/>
              <w:t xml:space="preserve"> If the Building Specification contains no information, or only indefinite information, on necessary work, the contractual construction requirements shall be determined in light of all surrounding contractual circumstances, particularly the comfort and quality standard of the “Marewald Komfort C” specification line; doubts are resolved against the Seller. At least compliance with the recognised rules of technology and the quality required by this interpretation standard is owed.</w:t>
            </w:r>
          </w:p>
        </w:tc>
      </w:tr>
      <w:tr>
        <w:trPr>
          <w:cantSplit/>
        </w:trPr>
        <w:tc>
          <w:tcPr>
            <w:tcW w:w="8290" w:type="dxa"/>
            <w:tcBorders/>
            <w:vAlign w:val="center"/>
          </w:tcPr>
          <w:p>
            <w:pPr>
              <w:pStyle w:val="TableContents"/>
              <w:widowControl/>
              <w:bidi w:val="0"/>
              <w:spacing w:before="0" w:after="283"/>
              <w:rPr/>
            </w:pPr>
            <w:r>
              <w:rPr>
                <w:rStyle w:val="Strong"/>
              </w:rPr>
              <w:t>5.6</w:t>
            </w:r>
            <w:r>
              <w:rPr/>
              <w:t xml:space="preserve"> Der Verkäufer schuldet die Einhaltung der anerkannten Regeln der Technik </w:t>
            </w:r>
            <w:r>
              <w:rPr>
                <w:rStyle w:val="Strong"/>
              </w:rPr>
              <w:t>im Zeitpunkt der Abnahme</w:t>
            </w:r>
            <w:r>
              <w:rPr/>
              <w:t>. Ändern sich die anerkannten Regeln der Technik zwischen Vertragsschluss und Abnahme, klärt der Verkäufer den Käufer über die Änderung und ihre Folgen auf; etwaige Mehrkosten einer über den Vertragsstand hinausgehenden Ausführung trägt der Käufer nur nach gesonderter Vereinbarung.</w:t>
            </w:r>
          </w:p>
        </w:tc>
        <w:tc>
          <w:tcPr>
            <w:tcW w:w="7244" w:type="dxa"/>
            <w:tcBorders/>
            <w:vAlign w:val="center"/>
          </w:tcPr>
          <w:p>
            <w:pPr>
              <w:pStyle w:val="TableContents"/>
              <w:widowControl/>
              <w:bidi w:val="0"/>
              <w:spacing w:before="0" w:after="283"/>
              <w:rPr/>
            </w:pPr>
            <w:r>
              <w:rPr>
                <w:rStyle w:val="Strong"/>
              </w:rPr>
              <w:t>5.6</w:t>
            </w:r>
            <w:r>
              <w:rPr/>
              <w:t xml:space="preserve"> The Seller owes compliance with the recognised rules of technology at the time of acceptance. If the accepted rules of technology change between conclusion of the contract and acceptance, the Seller informs the Buyer about the change and its consequences; Any additional costs of execution going beyond the contractual status shall be borne by the Buyer only by separate agreement. </w:t>
            </w:r>
          </w:p>
        </w:tc>
      </w:tr>
      <w:tr>
        <w:trPr>
          <w:cantSplit/>
        </w:trPr>
        <w:tc>
          <w:tcPr>
            <w:tcW w:w="8290" w:type="dxa"/>
            <w:tcBorders/>
            <w:vAlign w:val="center"/>
          </w:tcPr>
          <w:p>
            <w:pPr>
              <w:pStyle w:val="TableContents"/>
              <w:widowControl/>
              <w:bidi w:val="0"/>
              <w:spacing w:before="0" w:after="283"/>
              <w:rPr/>
            </w:pPr>
            <w:r>
              <w:rPr>
                <w:rStyle w:val="Strong"/>
              </w:rPr>
              <w:t>5.7</w:t>
            </w:r>
            <w:r>
              <w:rPr/>
              <w:t xml:space="preserve"> Änderungen der Planung und Ausführung sind nur zulässig, wenn ein konkreter triftiger Grund vorliegt — behördliche Auflagen, Gesetzesänderungen, statische oder bauphysikalische Notwendigkeit oder nachgewiesene Lieferunfähigkeit eines vorgesehenen Produkts — und die geänderte Ausführung gleichwertig ist sowie Wert, Nutzbarkeit, Zuschnitt und Gestaltungseindruck des Kaufgegenstandes nicht nachteilig verändert. Der Verkäufer teilt Änderungen in Textform mit Begründung mit. Verteuert sich die Herstellung ausschließlich infolge einer nach Beurkundung und frühestens vier Monate nach Vertragsschluss in Kraft getretenen, öffentlich-rechtlich zwingenden Anforderung, kann der Verkäufer nur die tatsächlichen, nachgewiesenen und saldierten Mehrkosten dieses Gewerks ohne Wagnis-, Gewinn- oder Konzernumlage weitergeben; Kostensenkungen desselben Gewerks sind gegenzurechnen. Der Verkäufer legt Anlass, Berechnung und Nachweise in Textform offen. Übersteigen die Mehrkosten insgesamt 3 % des Gesamtkaufpreises, kann der Käufer die Mehrkosten tragen oder eine Vertragsaufhebung gegen Rückgewähr bereits geleisteter Zahlungen verlangen; bis zur Rückgewähr oder Sicherheitsleistung bleibt die Auflassungsvormerkung unberührt. Ein darüber hinausgehendes Preisanpassungsrecht besteht nicht.</w:t>
            </w:r>
          </w:p>
        </w:tc>
        <w:tc>
          <w:tcPr>
            <w:tcW w:w="7244" w:type="dxa"/>
            <w:tcBorders/>
            <w:vAlign w:val="center"/>
          </w:tcPr>
          <w:p>
            <w:pPr>
              <w:pStyle w:val="TableContents"/>
              <w:widowControl/>
              <w:bidi w:val="0"/>
              <w:spacing w:before="0" w:after="283"/>
              <w:rPr/>
            </w:pPr>
            <w:r>
              <w:rPr>
                <w:rStyle w:val="Strong"/>
              </w:rPr>
              <w:t>5.7</w:t>
            </w:r>
            <w:r>
              <w:rPr/>
              <w:t xml:space="preserve"> Changes to planning and construction are permitted only for a specific valid reason — official requirements, legislative changes, structural or building-physics necessity, or proven unavailability of a specified product — and only if the changed construction is equivalent and does not adversely affect the value, usability, layout or overall design of the Purchased Property. The Seller shall notify changes and the reasons for them in text form. If construction becomes more expensive solely because of a mandatory public-law requirement taking effect after notarisation and no earlier than four months after conclusion of the contract, the Seller may pass on only the actual, evidenced net additional costs of the affected trade, without risk, profit or group overhead surcharges; cost reductions in the same trade must be offset. The Seller shall disclose the reason, calculation and evidence in text form. If the additional costs exceed 3% of the total Purchase Price, the Buyer may bear them or demand termination of the contract against repayment of amounts already paid; the priority notice of conveyance remains unaffected until repayment or provision of security. No further right to adjust the price exists.</w:t>
            </w:r>
          </w:p>
        </w:tc>
      </w:tr>
      <w:tr>
        <w:trPr>
          <w:cantSplit/>
        </w:trPr>
        <w:tc>
          <w:tcPr>
            <w:tcW w:w="8290" w:type="dxa"/>
            <w:tcBorders/>
            <w:vAlign w:val="center"/>
          </w:tcPr>
          <w:p>
            <w:pPr>
              <w:pStyle w:val="TableContents"/>
              <w:keepNext/>
              <w:widowControl/>
              <w:bidi w:val="0"/>
              <w:spacing w:before="0" w:after="283"/>
              <w:rPr/>
            </w:pPr>
            <w:r>
              <w:rPr>
                <w:rStyle w:val="Strong"/>
              </w:rPr>
              <w:t>5.8</w:t>
            </w:r>
            <w:r>
              <w:rPr/>
              <w:t xml:space="preserve"> Termine</w:t>
            </w:r>
          </w:p>
          <w:p>
            <w:pPr>
              <w:pStyle w:val="TableContents"/>
              <w:widowControl/>
              <w:bidi w:val="0"/>
              <w:spacing w:before="0" w:after="283"/>
              <w:rPr/>
            </w:pPr>
            <w:r>
              <w:rPr/>
              <w:t xml:space="preserve">5.8.1 Der Verkäufer stellt den Kaufgegenstand </w:t>
            </w:r>
            <w:r>
              <w:rPr>
                <w:rStyle w:val="Strong"/>
              </w:rPr>
              <w:t>verbindlich bis zum 31. März 2028</w:t>
            </w:r>
            <w:r>
              <w:rPr/>
              <w:t xml:space="preserve"> bezugsfertig her. Gerät der Verkäufer mit diesem Termin in Verzug, gelten die §§ 286 ff. BGB; einer gesonderten Mahnung bedarf es nicht (§ 286 Abs. 2 Nr. 1 BGB).</w:t>
            </w:r>
          </w:p>
        </w:tc>
        <w:tc>
          <w:tcPr>
            <w:tcW w:w="7244" w:type="dxa"/>
            <w:tcBorders/>
            <w:vAlign w:val="center"/>
          </w:tcPr>
          <w:p>
            <w:pPr>
              <w:pStyle w:val="TableContents"/>
              <w:keepNext/>
              <w:widowControl/>
              <w:bidi w:val="0"/>
              <w:spacing w:before="0" w:after="283"/>
              <w:rPr/>
            </w:pPr>
            <w:r>
              <w:rPr>
                <w:rStyle w:val="Strong"/>
              </w:rPr>
              <w:t>5.8</w:t>
            </w:r>
            <w:r>
              <w:rPr/>
              <w:t xml:space="preserve"> Dates </w:t>
            </w:r>
          </w:p>
          <w:p>
            <w:pPr>
              <w:pStyle w:val="TableContents"/>
              <w:widowControl/>
              <w:bidi w:val="0"/>
              <w:spacing w:before="0" w:after="283"/>
              <w:rPr/>
            </w:pPr>
            <w:r>
              <w:rPr/>
              <w:t>5.8.1 The Seller is bound to complete the Purchased Property to readiness for occupancy by 31 March 2028. If the Seller defaults on this deadline, sections 286 et seq. BGB apply; no separate demand is necessary (section 286(2), no. 1 BGB).</w:t>
            </w:r>
          </w:p>
        </w:tc>
      </w:tr>
      <w:tr>
        <w:trPr>
          <w:cantSplit/>
        </w:trPr>
        <w:tc>
          <w:tcPr>
            <w:tcW w:w="8290" w:type="dxa"/>
            <w:tcBorders/>
            <w:vAlign w:val="center"/>
          </w:tcPr>
          <w:p>
            <w:pPr>
              <w:pStyle w:val="TableContents"/>
              <w:widowControl/>
              <w:bidi w:val="0"/>
              <w:spacing w:before="0" w:after="283"/>
              <w:rPr/>
            </w:pPr>
            <w:r>
              <w:rPr/>
              <w:t>5.8.2 Die Frist verlängert sich nur um die Dauer einer tatsächlichen, vom Verkäufer nicht zu vertretenden Baubehinderung (insbesondere höhere Gewalt, Streik, hoheitliche Anordnungen), wenn der Verkäufer dem Käufer den Hinderungsgrund, dessen Beginn und Ende sowie die konkrete Auswirkung auf den Bauablauf in Textform mitteilt. Eine pauschale Berufung auf Witterung, Lieferketten oder Personalsituation genügt nicht.</w:t>
            </w:r>
          </w:p>
        </w:tc>
        <w:tc>
          <w:tcPr>
            <w:tcW w:w="7244" w:type="dxa"/>
            <w:tcBorders/>
            <w:vAlign w:val="center"/>
          </w:tcPr>
          <w:p>
            <w:pPr>
              <w:pStyle w:val="TableContents"/>
              <w:widowControl/>
              <w:bidi w:val="0"/>
              <w:spacing w:before="0" w:after="283"/>
              <w:rPr/>
            </w:pPr>
            <w:r>
              <w:rPr/>
              <w:t xml:space="preserve">5.8.2 The period is only extended by the duration of an actual construction impediment not attributable to the Seller (in particular force majeure, strike, governmental orders) if the Seller informs the Buyer of the obstacle, its beginning and end as well as the concrete effect on the construction process in text form. A blanket appeal to weather, supply chains or personnel situation is not enough. </w:t>
            </w:r>
          </w:p>
        </w:tc>
      </w:tr>
      <w:tr>
        <w:trPr>
          <w:cantSplit/>
        </w:trPr>
        <w:tc>
          <w:tcPr>
            <w:tcW w:w="8290" w:type="dxa"/>
            <w:tcBorders/>
            <w:vAlign w:val="center"/>
          </w:tcPr>
          <w:p>
            <w:pPr>
              <w:pStyle w:val="TableContents"/>
              <w:widowControl/>
              <w:bidi w:val="0"/>
              <w:spacing w:before="0" w:after="283"/>
              <w:rPr/>
            </w:pPr>
            <w:r>
              <w:rPr/>
              <w:t>5.8.3 Bei vom Verkäufer zu vertretender Überschreitung des Termins schuldet er eine Vertragsstrafe von 0,2 % des Gesamtkaufpreises je vollendeter Woche, höchstens 5 % des Gesamtkaufpreises. Die Vertragsstrafe wird auf einen weitergehenden Verzugsschaden angerechnet. Die gesetzliche Haftung für Schäden aus der Verletzung des Lebens, des Körpers oder der Gesundheit sowie für Vorsatz und grobe Fahrlässigkeit bleibt unberührt.</w:t>
            </w:r>
          </w:p>
        </w:tc>
        <w:tc>
          <w:tcPr>
            <w:tcW w:w="7244" w:type="dxa"/>
            <w:tcBorders/>
            <w:vAlign w:val="center"/>
          </w:tcPr>
          <w:p>
            <w:pPr>
              <w:pStyle w:val="TableContents"/>
              <w:widowControl/>
              <w:bidi w:val="0"/>
              <w:spacing w:before="0" w:after="283"/>
              <w:rPr/>
            </w:pPr>
            <w:r>
              <w:rPr/>
              <w:t>5.8.3 If the Seller is responsible for missing the deadline, the Seller owes a contractual penalty of 0.2% of the total Purchase Price for each completed week, capped at 5% of the total Purchase Price. The penalty shall be credited against any further damages for delay. Statutory liability for injury to life, body or health and for intent or gross negligence remains unaffected.</w:t>
            </w:r>
          </w:p>
        </w:tc>
      </w:tr>
      <w:tr>
        <w:trPr>
          <w:cantSplit/>
        </w:trPr>
        <w:tc>
          <w:tcPr>
            <w:tcW w:w="8290" w:type="dxa"/>
            <w:tcBorders/>
            <w:vAlign w:val="center"/>
          </w:tcPr>
          <w:p>
            <w:pPr>
              <w:pStyle w:val="TableContents"/>
              <w:widowControl/>
              <w:bidi w:val="0"/>
              <w:spacing w:before="0" w:after="283"/>
              <w:rPr/>
            </w:pPr>
            <w:r>
              <w:rPr>
                <w:rStyle w:val="Strong"/>
              </w:rPr>
              <w:t>5.9</w:t>
            </w:r>
            <w:r>
              <w:rPr/>
              <w:t xml:space="preserve"> Wohnfläche. Die nach der Wohnflächenverordnung ermittelte Plan-Wohnfläche beträgt ca. 84,6 m². Unvermeidbare, geringfügige Maßabweichungen sind nicht allein wegen der Abweichung mangelhaft, sofern sie Gebrauchstauglichkeit, Möblierbarkeit und Wert nicht spürbar beeinträchtigen. Im Übrigen richten sich Kaufpreisanpassung und weitere Rechte nach Bedeutung und Umfang der tatsächlichen Abweichung; eine starre Toleranz oder eine Beschränkung auf den eine Toleranz überschreitenden Flächenanteil wird nicht vereinbart.</w:t>
            </w:r>
          </w:p>
        </w:tc>
        <w:tc>
          <w:tcPr>
            <w:tcW w:w="7244" w:type="dxa"/>
            <w:tcBorders/>
            <w:vAlign w:val="center"/>
          </w:tcPr>
          <w:p>
            <w:pPr>
              <w:pStyle w:val="TableContents"/>
              <w:widowControl/>
              <w:bidi w:val="0"/>
              <w:spacing w:before="0" w:after="283"/>
              <w:rPr/>
            </w:pPr>
            <w:r>
              <w:rPr>
                <w:rStyle w:val="Strong"/>
              </w:rPr>
              <w:t>5.9</w:t>
            </w:r>
            <w:r>
              <w:rPr/>
              <w:t xml:space="preserve"> Living space. The plan living space determined in accordance with the Living Space Ordinance is approximately 84.6 m2. Unavoidable, slight dimensional deviations are not defective solely because of the deviation, provided they do not appreciably impair suitability for use, furnishings and value. In addition, adjustment of the Purchase Price and other rights depend on the significance and extent of the actual deviation; a rigid tolerance or a restriction to the area portion exceeding a tolerance is not agreed. </w:t>
            </w:r>
          </w:p>
        </w:tc>
      </w:tr>
      <w:tr>
        <w:trPr>
          <w:cantSplit/>
        </w:trPr>
        <w:tc>
          <w:tcPr>
            <w:tcW w:w="8290" w:type="dxa"/>
            <w:tcBorders/>
            <w:vAlign w:val="center"/>
          </w:tcPr>
          <w:p>
            <w:pPr>
              <w:pStyle w:val="TableContents"/>
              <w:widowControl/>
              <w:bidi w:val="0"/>
              <w:spacing w:before="0" w:after="283"/>
              <w:rPr/>
            </w:pPr>
            <w:r>
              <w:rPr>
                <w:rStyle w:val="Strong"/>
              </w:rPr>
              <w:t>5.10</w:t>
            </w:r>
            <w:r>
              <w:rPr/>
              <w:t xml:space="preserve"> Energiestandard. Haus C wird nach den Anforderungen des Gebäudeenergiegesetzes (GEG) in der zum Bauantrag geltenden Fassung errichtet und an die Quartiers-Wärmeversorgung (Wärmepumpe mit Spitzenlastkessel) angeschlossen. Eine bestimmte KfW-Effizienzhausklasse oder Förderfähigkeit wird nicht geschuldet, soweit nicht in der Baubeschreibung mit Kennwert vereinbart.</w:t>
            </w:r>
          </w:p>
        </w:tc>
        <w:tc>
          <w:tcPr>
            <w:tcW w:w="7244" w:type="dxa"/>
            <w:tcBorders/>
            <w:vAlign w:val="center"/>
          </w:tcPr>
          <w:p>
            <w:pPr>
              <w:pStyle w:val="TableContents"/>
              <w:widowControl/>
              <w:bidi w:val="0"/>
              <w:spacing w:before="0" w:after="283"/>
              <w:rPr/>
            </w:pPr>
            <w:r>
              <w:rPr>
                <w:rStyle w:val="Strong"/>
              </w:rPr>
              <w:t>5.10</w:t>
            </w:r>
            <w:r>
              <w:rPr/>
              <w:t xml:space="preserve"> energy standard. House C is built in accordance with the requirements of the Building Energy Act (GEG) in the version applicable to the building application and connected to the district heat supply (heat pump with peak load boiler). A specific KfW efficiency house class or eligibility is not owed, unless agreed in the Building Specification with characteristic value. </w:t>
            </w:r>
          </w:p>
        </w:tc>
      </w:tr>
      <w:tr>
        <w:trPr>
          <w:cantSplit/>
        </w:trPr>
        <w:tc>
          <w:tcPr>
            <w:tcW w:w="8290" w:type="dxa"/>
            <w:tcBorders/>
            <w:vAlign w:val="center"/>
          </w:tcPr>
          <w:p>
            <w:pPr>
              <w:pStyle w:val="TableContents"/>
              <w:widowControl/>
              <w:bidi w:val="0"/>
              <w:spacing w:before="0" w:after="283"/>
              <w:rPr/>
            </w:pPr>
            <w:r>
              <w:rPr>
                <w:rStyle w:val="Strong"/>
              </w:rPr>
              <w:t>5.11</w:t>
            </w:r>
            <w:r>
              <w:rPr/>
              <w:t xml:space="preserve"> Baugrund und Baugrube liegen im Verantwortungsbereich des Verkäufers als Bauherr. Der geotechnische Bericht „ME-2026/07” der NordGrund GmbH vom 03.03.2026 ist dem Käufer im Datenraum zugänglich. Quartiertypische Einwirkungen aus der weiteren Bautätigkeit (Lärm, Staub, temporäre Wegeführung) sind hinzunehmen, soweit sie die Nutzbarkeit nicht dauerhaft aufheben; sie lassen die Herstellungspflicht und die Mängelrechte im Übrigen unberührt.</w:t>
            </w:r>
          </w:p>
        </w:tc>
        <w:tc>
          <w:tcPr>
            <w:tcW w:w="7244" w:type="dxa"/>
            <w:tcBorders/>
            <w:vAlign w:val="center"/>
          </w:tcPr>
          <w:p>
            <w:pPr>
              <w:pStyle w:val="TableContents"/>
              <w:widowControl/>
              <w:bidi w:val="0"/>
              <w:spacing w:before="0" w:after="283"/>
              <w:rPr/>
            </w:pPr>
            <w:r>
              <w:rPr>
                <w:rStyle w:val="Strong"/>
              </w:rPr>
              <w:t>5.11</w:t>
            </w:r>
            <w:r>
              <w:rPr/>
              <w:t xml:space="preserve"> Construction ground and excavation pit are the responsibility of the Seller as builder. The geotechnical report “ME-2026/07” of NordGrund GmbH from 03.03.2026 is accessible to the Buyer in the data room. Typical effects on the neighbourhood resulting from further construction activities (noise, dust, temporary routing) shall be accepted if they do not permanently eliminate the usability; they are otherwise without prejudice to the construction obligation and the defect rights.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19" w:name="besitzübergang-abnahme"/>
            <w:bookmarkEnd w:id="19"/>
            <w:r>
              <w:rPr/>
              <w:t>§ 6 Besitzübergang, Abnahme</w:t>
            </w:r>
          </w:p>
          <w:p>
            <w:pPr>
              <w:pStyle w:val="TableContents"/>
              <w:widowControl/>
              <w:bidi w:val="0"/>
              <w:spacing w:before="0" w:after="283"/>
              <w:rPr/>
            </w:pPr>
            <w:r>
              <w:rPr>
                <w:rStyle w:val="Strong"/>
              </w:rPr>
              <w:t>6.1</w:t>
            </w:r>
            <w:r>
              <w:rPr/>
              <w:t xml:space="preserve"> Besitz, Nutzen, Lasten und Gefahr gehen mit Übergabe der Sondereigentumseinheit über. Die Übergabe erfolgt Zug um Zug gegen Zahlung der bis dahin fälligen Raten; das gesetzliche Zurückbehaltungsrecht des Käufers wegen festgestellter Mängel bleibt unberührt.</w:t>
            </w:r>
          </w:p>
        </w:tc>
        <w:tc>
          <w:tcPr>
            <w:tcW w:w="7244" w:type="dxa"/>
            <w:tcBorders/>
            <w:vAlign w:val="center"/>
          </w:tcPr>
          <w:p>
            <w:pPr>
              <w:pStyle w:val="Heading1"/>
              <w:keepNext/>
              <w:widowControl/>
              <w:bidi w:val="0"/>
              <w:spacing w:before="240" w:after="283"/>
              <w:ind w:hanging="0" w:start="0" w:end="0"/>
              <w:rPr/>
            </w:pPr>
            <w:bookmarkStart w:id="20" w:name="transfer-of-possession-and-acceptance"/>
            <w:bookmarkEnd w:id="20"/>
            <w:r>
              <w:rPr/>
              <w:t xml:space="preserve">§ 6 Transfer of Possession and Acceptance </w:t>
            </w:r>
          </w:p>
          <w:p>
            <w:pPr>
              <w:pStyle w:val="TableContents"/>
              <w:widowControl/>
              <w:bidi w:val="0"/>
              <w:spacing w:before="0" w:after="283"/>
              <w:rPr/>
            </w:pPr>
            <w:r>
              <w:rPr>
                <w:rStyle w:val="Strong"/>
              </w:rPr>
              <w:t>6.1</w:t>
            </w:r>
            <w:r>
              <w:rPr/>
              <w:t xml:space="preserve"> Possession, benefits, burdens and risk pass upon handover of the unit of exclusive ownership. Handover takes place concurrently with payment of the instalments then due; the Buyer's statutory right to retain payment because of identified defects remains unaffected.</w:t>
            </w:r>
          </w:p>
        </w:tc>
      </w:tr>
      <w:tr>
        <w:trPr>
          <w:cantSplit/>
        </w:trPr>
        <w:tc>
          <w:tcPr>
            <w:tcW w:w="8290" w:type="dxa"/>
            <w:tcBorders/>
            <w:vAlign w:val="center"/>
          </w:tcPr>
          <w:p>
            <w:pPr>
              <w:pStyle w:val="TableContents"/>
              <w:widowControl/>
              <w:bidi w:val="0"/>
              <w:spacing w:before="0" w:after="283"/>
              <w:rPr/>
            </w:pPr>
            <w:r>
              <w:rPr>
                <w:rStyle w:val="Strong"/>
              </w:rPr>
              <w:t>6.2</w:t>
            </w:r>
            <w:r>
              <w:rPr/>
              <w:t xml:space="preserve"> Abnahme der Sondereigentumseinheit. Der Verkäufer zeigt die bezugsfertige Herstellung an und lädt zu einer gemeinsamen Begehung. Über die Abnahme wird ein Protokoll mit Mängeln und Restarbeiten erstellt; der Käufer kann eine Person seines Vertrauens hinzuziehen. Erscheint der Käufer nach Aufforderung und Ablauf einer angemessenen Frist ohne Angabe wesentlicher Mängel nicht, kann die Abnahme nach § 640 Abs. 2 BGB als erfolgt gelten; hierauf und auf die Folgen ist der Käufer als Verbraucher in der Aufforderung in Textform hinzuweisen.</w:t>
            </w:r>
          </w:p>
        </w:tc>
        <w:tc>
          <w:tcPr>
            <w:tcW w:w="7244" w:type="dxa"/>
            <w:tcBorders/>
            <w:vAlign w:val="center"/>
          </w:tcPr>
          <w:p>
            <w:pPr>
              <w:pStyle w:val="TableContents"/>
              <w:widowControl/>
              <w:bidi w:val="0"/>
              <w:spacing w:before="0" w:after="283"/>
              <w:rPr/>
            </w:pPr>
            <w:r>
              <w:rPr>
                <w:rStyle w:val="Strong"/>
              </w:rPr>
              <w:t>6.2</w:t>
            </w:r>
            <w:r>
              <w:rPr/>
              <w:t xml:space="preserve"> Acceptance of the unit of exclusive ownership. The Seller shall notify readiness for occupancy and invite the Buyer to a joint inspection. An acceptance record listing defects and outstanding work shall be drawn up; the Buyer may involve a trusted person. If, following a request and expiry of a reasonable period, the Buyer fails to attend without identifying material defects, acceptance may be deemed to have occurred under section 640(2) BGB; the request must inform the Buyer, as a consumer, of this and its consequences in text form.</w:t>
            </w:r>
          </w:p>
        </w:tc>
      </w:tr>
      <w:tr>
        <w:trPr>
          <w:cantSplit/>
        </w:trPr>
        <w:tc>
          <w:tcPr>
            <w:tcW w:w="8290" w:type="dxa"/>
            <w:tcBorders/>
            <w:vAlign w:val="center"/>
          </w:tcPr>
          <w:p>
            <w:pPr>
              <w:pStyle w:val="TableContents"/>
              <w:widowControl/>
              <w:bidi w:val="0"/>
              <w:spacing w:before="0" w:after="283"/>
              <w:rPr/>
            </w:pPr>
            <w:r>
              <w:rPr>
                <w:rStyle w:val="Strong"/>
              </w:rPr>
              <w:t>6.3</w:t>
            </w:r>
            <w:r>
              <w:rPr/>
              <w:t xml:space="preserve"> Abnahme des Gemeinschaftseigentums. Jeder Erwerber bleibt berechtigt, das Gemeinschaftseigentum auf seine Abnahmereife selbst oder durch eine Person seines Vertrauens zu prüfen und die Abnahme persönlich zu erklären oder zu verweigern. Der Verkäufer bietet zur Koordination einen gemeinsamen Abnahmetermin unter Hinzuziehung eines öffentlich bestellten und vereidigten Sachverständigen an; dessen Feststellungen sind ein Vorschlag und binden den einzelnen Erwerber nicht. Eine Übertragung der Abnahme auf den Verkäufer, eine ihm nahestehende Person, den Erstverwalter oder einen vom Verkäufer benannten Dritten mit bindender Wirkung für den Erwerber findet nicht statt; eine Abnahmefiktion durch bloßen Zeitablauf oder durch Erklärung eines Dritten ist ausgeschlossen.</w:t>
            </w:r>
          </w:p>
        </w:tc>
        <w:tc>
          <w:tcPr>
            <w:tcW w:w="7244" w:type="dxa"/>
            <w:tcBorders/>
            <w:vAlign w:val="center"/>
          </w:tcPr>
          <w:p>
            <w:pPr>
              <w:pStyle w:val="TableContents"/>
              <w:widowControl/>
              <w:bidi w:val="0"/>
              <w:spacing w:before="0" w:after="283"/>
              <w:rPr/>
            </w:pPr>
            <w:r>
              <w:rPr>
                <w:rStyle w:val="Strong"/>
              </w:rPr>
              <w:t>6.3</w:t>
            </w:r>
            <w:r>
              <w:rPr/>
              <w:t xml:space="preserve"> Acceptance of Common Property. Each purchaser remains entitled to examine the Common Property for readiness for acceptance, personally or through a trusted person, and to declare or refuse acceptance personally. For coordination, the Seller offers a joint acceptance appointment involving a publicly appointed and sworn expert; the expert's findings are a proposal and do not bind individual purchasers. Acceptance shall not be delegated to the Seller, a person connected with the Seller, the initial property manager or a third party appointed by the Seller with binding effect on purchasers; deemed acceptance merely through passage of time or a third party's declaration is excluded.</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21" w:name="erschließungs--und-anschlusskosten"/>
            <w:bookmarkEnd w:id="21"/>
            <w:r>
              <w:rPr/>
              <w:t>§ 7 Erschließungs- und Anschlusskosten</w:t>
            </w:r>
          </w:p>
          <w:p>
            <w:pPr>
              <w:pStyle w:val="TableContents"/>
              <w:widowControl/>
              <w:bidi w:val="0"/>
              <w:spacing w:before="0" w:after="283"/>
              <w:rPr/>
            </w:pPr>
            <w:r>
              <w:rPr>
                <w:rStyle w:val="Strong"/>
              </w:rPr>
              <w:t>7.1</w:t>
            </w:r>
            <w:r>
              <w:rPr/>
              <w:t xml:space="preserve"> Der Festpreis umfasst sämtliche Kosten der erstmaligen Erschließung des Grundstücks sowie der für die vertragsgemäße Herstellung erforderlichen Ver- und Entsorgungsanschlüsse, auch soweit Bescheide erst nach Beurkundung ergehen.</w:t>
            </w:r>
          </w:p>
        </w:tc>
        <w:tc>
          <w:tcPr>
            <w:tcW w:w="7244" w:type="dxa"/>
            <w:tcBorders/>
            <w:vAlign w:val="center"/>
          </w:tcPr>
          <w:p>
            <w:pPr>
              <w:pStyle w:val="Heading1"/>
              <w:keepNext/>
              <w:widowControl/>
              <w:pBdr/>
              <w:bidi w:val="0"/>
              <w:spacing w:before="240" w:after="283"/>
              <w:rPr/>
            </w:pPr>
            <w:r>
              <w:rPr/>
              <w:t>§ 7 Development and Utility Connection Costs</w:t>
            </w:r>
          </w:p>
          <w:p>
            <w:pPr>
              <w:pStyle w:val="TableContents"/>
              <w:widowControl/>
              <w:bidi w:val="0"/>
              <w:spacing w:before="0" w:after="283"/>
              <w:rPr/>
            </w:pPr>
            <w:r>
              <w:rPr>
                <w:rStyle w:val="Strong"/>
              </w:rPr>
              <w:t>7.1</w:t>
            </w:r>
            <w:r>
              <w:rPr/>
              <w:t xml:space="preserve"> The fixed price includes all costs of the initial development of the property as well as the supply and disposal connections required for the contractual construction, also insofar as decisions are issued only after certification. </w:t>
            </w:r>
          </w:p>
        </w:tc>
      </w:tr>
      <w:tr>
        <w:trPr>
          <w:cantSplit/>
        </w:trPr>
        <w:tc>
          <w:tcPr>
            <w:tcW w:w="8290" w:type="dxa"/>
            <w:tcBorders/>
            <w:vAlign w:val="center"/>
          </w:tcPr>
          <w:p>
            <w:pPr>
              <w:pStyle w:val="TableContents"/>
              <w:widowControl/>
              <w:bidi w:val="0"/>
              <w:spacing w:before="0" w:after="283"/>
              <w:rPr/>
            </w:pPr>
            <w:r>
              <w:rPr>
                <w:rStyle w:val="Strong"/>
              </w:rPr>
              <w:t>7.2</w:t>
            </w:r>
            <w:r>
              <w:rPr/>
              <w:t xml:space="preserve"> Der Käufer trägt nur Beiträge und Kosten für nach Besitzübergabe neu beschlossene Maßnahmen, die weder der erstmaligen Erschließung noch der Erfüllung der Herstellungsverpflichtungen des Verkäufers dienen und nicht durch eine Pflichtverletzung des Verkäufers veranlasst sind.</w:t>
            </w:r>
          </w:p>
        </w:tc>
        <w:tc>
          <w:tcPr>
            <w:tcW w:w="7244" w:type="dxa"/>
            <w:tcBorders/>
            <w:vAlign w:val="center"/>
          </w:tcPr>
          <w:p>
            <w:pPr>
              <w:pStyle w:val="TableContents"/>
              <w:widowControl/>
              <w:bidi w:val="0"/>
              <w:spacing w:before="0" w:after="283"/>
              <w:rPr/>
            </w:pPr>
            <w:r>
              <w:rPr>
                <w:rStyle w:val="Strong"/>
              </w:rPr>
              <w:t>7.2</w:t>
            </w:r>
            <w:r>
              <w:rPr/>
              <w:t xml:space="preserve"> The Buyer shall bear only contributions and costs relating to measures newly resolved after transfer of possession which neither serve the initial development of the property nor discharge the Seller’s construction obligations and which were not occasioned by a breach of duty by the Seller.</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22" w:name="zutritt-zur-baustelle-eigene-sachverstän"/>
            <w:bookmarkEnd w:id="22"/>
            <w:r>
              <w:rPr/>
              <w:t>§ 8 Zutritt zur Baustelle, eigene Sachverständige</w:t>
            </w:r>
          </w:p>
          <w:p>
            <w:pPr>
              <w:pStyle w:val="TableContents"/>
              <w:widowControl/>
              <w:bidi w:val="0"/>
              <w:spacing w:before="0" w:after="283"/>
              <w:rPr/>
            </w:pPr>
            <w:r>
              <w:rPr>
                <w:rStyle w:val="Strong"/>
              </w:rPr>
              <w:t>8.1</w:t>
            </w:r>
            <w:r>
              <w:rPr/>
              <w:t xml:space="preserve"> Der Käufer darf die Baustelle aus Gründen der Verkehrssicherheit nur nach Anmeldung und in Begleitung betreten. Der Verkäufer ermöglicht dem Käufer Besichtigungen jedenfalls zu den für die Ratenfälligkeit maßgeblichen Bautenständen (Rohbau, Fenstereinbau, Estrich, Bezugsfertigkeit) sowie zur Abnahme.</w:t>
            </w:r>
          </w:p>
        </w:tc>
        <w:tc>
          <w:tcPr>
            <w:tcW w:w="7244" w:type="dxa"/>
            <w:tcBorders/>
            <w:vAlign w:val="center"/>
          </w:tcPr>
          <w:p>
            <w:pPr>
              <w:pStyle w:val="Heading1"/>
              <w:keepNext/>
              <w:widowControl/>
              <w:bidi w:val="0"/>
              <w:spacing w:before="240" w:after="283"/>
              <w:ind w:hanging="0" w:start="0" w:end="0"/>
              <w:rPr/>
            </w:pPr>
            <w:bookmarkStart w:id="23" w:name="access-to-the-construction-site-own-expe"/>
            <w:bookmarkEnd w:id="23"/>
            <w:r>
              <w:rPr/>
              <w:t xml:space="preserve">§ 8 Access to the construction site, own experts </w:t>
            </w:r>
          </w:p>
          <w:p>
            <w:pPr>
              <w:pStyle w:val="TableContents"/>
              <w:widowControl/>
              <w:bidi w:val="0"/>
              <w:spacing w:before="0" w:after="283"/>
              <w:rPr/>
            </w:pPr>
            <w:r>
              <w:rPr>
                <w:rStyle w:val="Strong"/>
              </w:rPr>
              <w:t>8.1</w:t>
            </w:r>
            <w:r>
              <w:rPr/>
              <w:t xml:space="preserve"> For site-safety reasons, the Buyer may enter the construction site only by prior arrangement and when accompanied. The Seller shall allow the Buyer to inspect at least at the construction milestones relevant to instalment due dates (structural shell, window installation, screed and readiness for occupancy), and at acceptance.</w:t>
            </w:r>
          </w:p>
        </w:tc>
      </w:tr>
      <w:tr>
        <w:trPr>
          <w:cantSplit/>
        </w:trPr>
        <w:tc>
          <w:tcPr>
            <w:tcW w:w="8290" w:type="dxa"/>
            <w:tcBorders/>
            <w:vAlign w:val="center"/>
          </w:tcPr>
          <w:p>
            <w:pPr>
              <w:pStyle w:val="TableContents"/>
              <w:widowControl/>
              <w:bidi w:val="0"/>
              <w:spacing w:before="0" w:after="283"/>
              <w:rPr/>
            </w:pPr>
            <w:r>
              <w:rPr>
                <w:rStyle w:val="Strong"/>
              </w:rPr>
              <w:t>8.2</w:t>
            </w:r>
            <w:r>
              <w:rPr/>
              <w:t xml:space="preserve"> Der Käufer darf zu diesen Terminen einen eigenen Sachverständigen oder Bauingenieur hinzuziehen, der den Bautenstand prüft, die eigene Einheit und die für sie maßgeblichen Gemeinschaftsbereiche dokumentiert und an der Abnahme teilnimmt. Weisungen an Baubeteiligte erteilt der Sachverständige nicht. Ein prüffähiger Bautenstandsvermerk des Sachverständigen ist für die Frage der Ratenfälligkeit (§ 3.2) zu berücksichtigen.</w:t>
            </w:r>
          </w:p>
        </w:tc>
        <w:tc>
          <w:tcPr>
            <w:tcW w:w="7244" w:type="dxa"/>
            <w:tcBorders/>
            <w:vAlign w:val="center"/>
          </w:tcPr>
          <w:p>
            <w:pPr>
              <w:pStyle w:val="TableContents"/>
              <w:widowControl/>
              <w:bidi w:val="0"/>
              <w:spacing w:before="0" w:after="283"/>
              <w:rPr/>
            </w:pPr>
            <w:r>
              <w:rPr>
                <w:rStyle w:val="Strong"/>
              </w:rPr>
              <w:t>8.2</w:t>
            </w:r>
            <w:r>
              <w:rPr/>
              <w:t xml:space="preserve"> The Buyer may involve an independent expert or civil engineer at these appointments to check construction progress, document the Buyer's unit and the relevant common areas, and participate in acceptance. The expert shall not issue instructions to those involved in construction. A verifiable construction-progress record prepared by the expert must be considered when assessing whether an instalment is due (section 3.2).</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24" w:name="mängelrechte-verjährung"/>
            <w:bookmarkEnd w:id="24"/>
            <w:r>
              <w:rPr/>
              <w:t>§ 9 Mängelrechte, Verjährung</w:t>
            </w:r>
          </w:p>
          <w:p>
            <w:pPr>
              <w:pStyle w:val="TableContents"/>
              <w:widowControl/>
              <w:bidi w:val="0"/>
              <w:spacing w:before="0" w:after="283"/>
              <w:rPr/>
            </w:pPr>
            <w:r>
              <w:rPr>
                <w:rStyle w:val="Strong"/>
              </w:rPr>
              <w:t>9.1</w:t>
            </w:r>
            <w:r>
              <w:rPr/>
              <w:t xml:space="preserve"> Für das herzustellende Bauwerk gelten die Mängelrechte des Werkvertragsrechts (§§ 633 ff. BGB) ohne Einschränkung. Für den Grund und Boden im Übrigen sind Sachmängelansprüche ausgeschlossen. Unberührt bleiben Ansprüche wegen arglistig verschwiegener Mängel, wegen einer übernommenen Garantie, wegen Vorsatz oder grober Fahrlässigkeit sowie wegen schuldhafter Verletzung von Leben, Körper oder Gesundheit.</w:t>
            </w:r>
          </w:p>
        </w:tc>
        <w:tc>
          <w:tcPr>
            <w:tcW w:w="7244" w:type="dxa"/>
            <w:tcBorders/>
            <w:vAlign w:val="center"/>
          </w:tcPr>
          <w:p>
            <w:pPr>
              <w:pStyle w:val="Heading1"/>
              <w:keepNext/>
              <w:widowControl/>
              <w:pBdr/>
              <w:bidi w:val="0"/>
              <w:spacing w:before="240" w:after="283"/>
              <w:rPr/>
            </w:pPr>
            <w:r>
              <w:rPr/>
              <w:t>§ 9 Rights in Respect of Defects; Limitation Period</w:t>
            </w:r>
          </w:p>
          <w:p>
            <w:pPr>
              <w:pStyle w:val="TableContents"/>
              <w:widowControl/>
              <w:bidi w:val="0"/>
              <w:spacing w:before="0" w:after="283"/>
              <w:rPr/>
            </w:pPr>
            <w:r>
              <w:rPr>
                <w:rStyle w:val="Strong"/>
              </w:rPr>
              <w:t>9.1</w:t>
            </w:r>
            <w:r>
              <w:rPr/>
              <w:t xml:space="preserve"> The statutory rights in respect of defects under the law of contracts for work (sections 633 et seq. BGB) apply without restriction to the building to be constructed. Claims for physical defects in the land itself are otherwise excluded. Claims for fraudulently concealed defects, under an assumed guarantee, for intent or gross negligence, and for culpable injury to life, body or health remain unaffected.</w:t>
            </w:r>
          </w:p>
        </w:tc>
      </w:tr>
      <w:tr>
        <w:trPr>
          <w:cantSplit/>
        </w:trPr>
        <w:tc>
          <w:tcPr>
            <w:tcW w:w="8290" w:type="dxa"/>
            <w:tcBorders/>
            <w:vAlign w:val="center"/>
          </w:tcPr>
          <w:p>
            <w:pPr>
              <w:pStyle w:val="TableContents"/>
              <w:widowControl/>
              <w:bidi w:val="0"/>
              <w:spacing w:before="0" w:after="283"/>
              <w:rPr/>
            </w:pPr>
            <w:r>
              <w:rPr>
                <w:rStyle w:val="Strong"/>
              </w:rPr>
              <w:t>9.2</w:t>
            </w:r>
            <w:r>
              <w:rPr/>
              <w:t xml:space="preserve"> Die Verjährungsfrist für Mängelansprüche am Bauwerk beträgt fünf Jahre ab Abnahme (§ 634a Abs. 1 Nr. 2 BGB).</w:t>
            </w:r>
          </w:p>
        </w:tc>
        <w:tc>
          <w:tcPr>
            <w:tcW w:w="7244" w:type="dxa"/>
            <w:tcBorders/>
            <w:vAlign w:val="center"/>
          </w:tcPr>
          <w:p>
            <w:pPr>
              <w:pStyle w:val="TableContents"/>
              <w:widowControl/>
              <w:bidi w:val="0"/>
              <w:spacing w:before="0" w:after="283"/>
              <w:rPr/>
            </w:pPr>
            <w:r>
              <w:rPr>
                <w:rStyle w:val="Strong"/>
              </w:rPr>
              <w:t>9.2</w:t>
            </w:r>
            <w:r>
              <w:rPr/>
              <w:t xml:space="preserve"> The limitation period for claims for defects in the building is five years from acceptance (§ 634a para 1 no. 2 BGB). </w:t>
            </w:r>
          </w:p>
        </w:tc>
      </w:tr>
      <w:tr>
        <w:trPr>
          <w:cantSplit/>
        </w:trPr>
        <w:tc>
          <w:tcPr>
            <w:tcW w:w="8290" w:type="dxa"/>
            <w:tcBorders/>
            <w:vAlign w:val="center"/>
          </w:tcPr>
          <w:p>
            <w:pPr>
              <w:pStyle w:val="TableContents"/>
              <w:widowControl/>
              <w:bidi w:val="0"/>
              <w:spacing w:before="0" w:after="283"/>
              <w:rPr/>
            </w:pPr>
            <w:r>
              <w:rPr>
                <w:rStyle w:val="Strong"/>
              </w:rPr>
              <w:t>9.3</w:t>
            </w:r>
            <w:r>
              <w:rPr/>
              <w:t xml:space="preserve"> Mängel sollen dem Verkäufer in Textform an die Gewährleistungsstelle des Verkäufers angezeigt werden; die Anzeige ist Obliegenheit und keine Voraussetzung für den Bestand der Mängelrechte. Der Käufer setzt dem Verkäufer zur Nacherfüllung eine angemessene Frist. Nach erfolglosem Fristablauf bleiben die gesetzlichen Rechte einschließlich Selbstvornahme und Kostenvorschuss (§ 637 BGB), Minderung, Rücktritt und Schadensersatz unberührt.</w:t>
            </w:r>
          </w:p>
        </w:tc>
        <w:tc>
          <w:tcPr>
            <w:tcW w:w="7244" w:type="dxa"/>
            <w:tcBorders/>
            <w:vAlign w:val="center"/>
          </w:tcPr>
          <w:p>
            <w:pPr>
              <w:pStyle w:val="TableContents"/>
              <w:widowControl/>
              <w:bidi w:val="0"/>
              <w:spacing w:before="0" w:after="283"/>
              <w:rPr/>
            </w:pPr>
            <w:r>
              <w:rPr>
                <w:rStyle w:val="Strong"/>
              </w:rPr>
              <w:t>9.3</w:t>
            </w:r>
            <w:r>
              <w:rPr/>
              <w:t xml:space="preserve"> Defects should be reported in text form to the Seller's warranty office; notification is an obligation in the Buyer's own interest, not a precondition for the existence of statutory defect rights. The Buyer shall allow the Seller a reasonable period to remedy the defects. After that period expires without success, statutory rights, including arranging remedial work and claiming an advance towards costs (section 637 BGB), price reduction, rescission and damages, remain unaffected.</w:t>
            </w:r>
          </w:p>
        </w:tc>
      </w:tr>
      <w:tr>
        <w:trPr>
          <w:cantSplit/>
        </w:trPr>
        <w:tc>
          <w:tcPr>
            <w:tcW w:w="8290" w:type="dxa"/>
            <w:tcBorders/>
            <w:vAlign w:val="center"/>
          </w:tcPr>
          <w:p>
            <w:pPr>
              <w:pStyle w:val="TableContents"/>
              <w:widowControl/>
              <w:bidi w:val="0"/>
              <w:spacing w:before="0" w:after="283"/>
              <w:rPr/>
            </w:pPr>
            <w:r>
              <w:rPr>
                <w:rStyle w:val="Strong"/>
              </w:rPr>
              <w:t>9.4</w:t>
            </w:r>
            <w:r>
              <w:rPr/>
              <w:t xml:space="preserve"> Bei wartungsabhängigen Bauteilen gelten die übergebenen Wartungs- und Bedienungshinweise. Verschleiß bei bestimmungsgemäßem Gebrauch ist kein Mangel. Eine Verkürzung der gesetzlichen Mängelverjährung oder eine Beweislastverschiebung zulasten des Käufers ist mit dieser Regelung nicht verbunden.</w:t>
            </w:r>
          </w:p>
        </w:tc>
        <w:tc>
          <w:tcPr>
            <w:tcW w:w="7244" w:type="dxa"/>
            <w:tcBorders/>
            <w:vAlign w:val="center"/>
          </w:tcPr>
          <w:p>
            <w:pPr>
              <w:pStyle w:val="TableContents"/>
              <w:widowControl/>
              <w:bidi w:val="0"/>
              <w:spacing w:before="0" w:after="283"/>
              <w:rPr/>
            </w:pPr>
            <w:r>
              <w:rPr>
                <w:rStyle w:val="Strong"/>
              </w:rPr>
              <w:t>9.4</w:t>
            </w:r>
            <w:r>
              <w:rPr/>
              <w:t xml:space="preserve"> In the case of maintenance-dependent components, the given maintenance and operating instructions apply. Wear during intended use is not a defect. A shortening of the statutory limitation of defects or a shift of the burden of proof at the expense of the Buyer is not associated with this regulation.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25" w:name="vormerkung"/>
            <w:bookmarkEnd w:id="25"/>
            <w:r>
              <w:rPr/>
              <w:t>§ 10 Vormerkung</w:t>
            </w:r>
          </w:p>
          <w:p>
            <w:pPr>
              <w:pStyle w:val="TableContents"/>
              <w:widowControl/>
              <w:bidi w:val="0"/>
              <w:spacing w:before="0" w:after="283"/>
              <w:rPr/>
            </w:pPr>
            <w:r>
              <w:rPr>
                <w:rStyle w:val="Strong"/>
              </w:rPr>
              <w:t>10.1</w:t>
            </w:r>
            <w:r>
              <w:rPr/>
              <w:t xml:space="preserve"> Zur Sicherung des Anspruchs des Käufers auf Eigentumsverschaffung wird eine Auflassungsvormerkung nach § 883 BGB zugunsten des Käufers im Wohnungsgrundbuch eingetragen.</w:t>
            </w:r>
          </w:p>
        </w:tc>
        <w:tc>
          <w:tcPr>
            <w:tcW w:w="7244" w:type="dxa"/>
            <w:tcBorders/>
            <w:vAlign w:val="center"/>
          </w:tcPr>
          <w:p>
            <w:pPr>
              <w:pStyle w:val="Heading1"/>
              <w:keepNext/>
              <w:widowControl/>
              <w:pBdr/>
              <w:bidi w:val="0"/>
              <w:spacing w:before="240" w:after="283"/>
              <w:rPr/>
            </w:pPr>
            <w:r>
              <w:rPr/>
              <w:t>§ 10 Priority Notice of Conveyance</w:t>
            </w:r>
          </w:p>
          <w:p>
            <w:pPr>
              <w:pStyle w:val="TableContents"/>
              <w:widowControl/>
              <w:bidi w:val="0"/>
              <w:spacing w:before="0" w:after="283"/>
              <w:rPr/>
            </w:pPr>
            <w:r>
              <w:rPr>
                <w:rStyle w:val="Strong"/>
              </w:rPr>
              <w:t>10.1</w:t>
            </w:r>
            <w:r>
              <w:rPr/>
              <w:t xml:space="preserve"> To secure the Buyer's claim to transfer of title, a priority notice of conveyance under section 883 BGB shall be registered in the Buyer's favour in the condominium Land Register.</w:t>
            </w:r>
          </w:p>
        </w:tc>
      </w:tr>
      <w:tr>
        <w:trPr>
          <w:cantSplit/>
        </w:trPr>
        <w:tc>
          <w:tcPr>
            <w:tcW w:w="8290" w:type="dxa"/>
            <w:tcBorders/>
            <w:vAlign w:val="center"/>
          </w:tcPr>
          <w:p>
            <w:pPr>
              <w:pStyle w:val="TableContents"/>
              <w:widowControl/>
              <w:bidi w:val="0"/>
              <w:spacing w:before="0" w:after="283"/>
              <w:rPr/>
            </w:pPr>
            <w:r>
              <w:rPr>
                <w:rStyle w:val="Strong"/>
              </w:rPr>
              <w:t>10.2</w:t>
            </w:r>
            <w:r>
              <w:rPr/>
              <w:t xml:space="preserve"> Der Käufer erteilt die Bewilligung zur Löschung der Vormerkung und übergibt sie der Notarin treuhänderisch. Die Notarin darf von der Bewilligung nur Gebrauch machen, wenn feststeht, dass der gesicherte Anspruch endgültig nicht mehr besteht (insbesondere nach wirksamem Rücktritt oder einvernehmlicher Aufhebung) </w:t>
            </w:r>
            <w:r>
              <w:rPr>
                <w:rStyle w:val="Strong"/>
              </w:rPr>
              <w:t>und</w:t>
            </w:r>
            <w:r>
              <w:rPr/>
              <w:t xml:space="preserve"> dem Käufer geleistete Zahlungen Zug um Zug zurückgewährt sind oder hierfür Sicherheit geleistet ist. Eine Löschung allein aufgrund einer einseitigen Verzugsbehauptung des Verkäufers ist ausgeschlossen.</w:t>
            </w:r>
          </w:p>
        </w:tc>
        <w:tc>
          <w:tcPr>
            <w:tcW w:w="7244" w:type="dxa"/>
            <w:tcBorders/>
            <w:vAlign w:val="center"/>
          </w:tcPr>
          <w:p>
            <w:pPr>
              <w:pStyle w:val="TableContents"/>
              <w:widowControl/>
              <w:bidi w:val="0"/>
              <w:spacing w:before="0" w:after="283"/>
              <w:rPr/>
            </w:pPr>
            <w:r>
              <w:rPr>
                <w:rStyle w:val="Strong"/>
              </w:rPr>
              <w:t>10.2</w:t>
            </w:r>
            <w:r>
              <w:rPr/>
              <w:t xml:space="preserve"> The Buyer gives consent to cancellation of the priority notice and entrusts that consent to the Notary. The Notary may use it only once it is established that the secured claim definitively no longer exists (in particular after effective rescission or agreed termination) </w:t>
            </w:r>
            <w:r>
              <w:rPr>
                <w:rStyle w:val="Strong"/>
              </w:rPr>
              <w:t>and</w:t>
            </w:r>
            <w:r>
              <w:rPr/>
              <w:t xml:space="preserve"> the payments made by the Buyer have been repaid concurrently or security has been provided for repayment. Cancellation solely on the basis of the Seller's unilateral allegation of default is excluded.</w:t>
            </w:r>
          </w:p>
        </w:tc>
      </w:tr>
      <w:tr>
        <w:trPr>
          <w:cantSplit/>
        </w:trPr>
        <w:tc>
          <w:tcPr>
            <w:tcW w:w="8290" w:type="dxa"/>
            <w:tcBorders/>
            <w:vAlign w:val="center"/>
          </w:tcPr>
          <w:p>
            <w:pPr>
              <w:pStyle w:val="TableContents"/>
              <w:widowControl/>
              <w:bidi w:val="0"/>
              <w:spacing w:before="0" w:after="283"/>
              <w:rPr/>
            </w:pPr>
            <w:r>
              <w:rPr>
                <w:rStyle w:val="Strong"/>
              </w:rPr>
              <w:t>10.3</w:t>
            </w:r>
            <w:r>
              <w:rPr/>
              <w:t xml:space="preserve"> Der Käufer beantragt die Löschung der Vormerkung Zug um Zug mit Vollzug der Auflassung.</w:t>
            </w:r>
          </w:p>
        </w:tc>
        <w:tc>
          <w:tcPr>
            <w:tcW w:w="7244" w:type="dxa"/>
            <w:tcBorders/>
            <w:vAlign w:val="center"/>
          </w:tcPr>
          <w:p>
            <w:pPr>
              <w:pStyle w:val="TableContents"/>
              <w:widowControl/>
              <w:bidi w:val="0"/>
              <w:spacing w:before="0" w:after="283"/>
              <w:rPr/>
            </w:pPr>
            <w:r>
              <w:rPr>
                <w:rStyle w:val="Strong"/>
              </w:rPr>
              <w:t>10.3</w:t>
            </w:r>
            <w:r>
              <w:rPr/>
              <w:t xml:space="preserve"> The Buyer requests the deletion of the priority notice of conveyance concurrently with completion of the conveyance.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26" w:name="auflassung"/>
            <w:bookmarkEnd w:id="26"/>
            <w:r>
              <w:rPr/>
              <w:t>§ 11 Auflassung</w:t>
            </w:r>
          </w:p>
          <w:p>
            <w:pPr>
              <w:pStyle w:val="TableContents"/>
              <w:widowControl/>
              <w:bidi w:val="0"/>
              <w:spacing w:before="0" w:after="283"/>
              <w:rPr/>
            </w:pPr>
            <w:r>
              <w:rPr/>
              <w:t>Verkäufer und Käufer sind über den Eigentumsübergang einig und bewilligen und beantragen die Eintragung. Die Notarin wird angewiesen, die Auflassung erst nach Zahlung aller fälligen, unstreitigen und nicht berechtigt zurückbehaltenen Kaufpreisbeträge sowie nach Vorliegen der Lastenfreistellung für den Kaufgegenstand zur Eintragung zu bringen. Berechtigt zurückbehaltene Restbeträge hindern die Umschreibung nicht, wenn sie durch eine unbefristete selbstschuldnerische Bankbürgschaft oder in anderer insolvenzfester Weise gesichert sind.</w:t>
            </w:r>
          </w:p>
        </w:tc>
        <w:tc>
          <w:tcPr>
            <w:tcW w:w="7244" w:type="dxa"/>
            <w:tcBorders/>
            <w:vAlign w:val="center"/>
          </w:tcPr>
          <w:p>
            <w:pPr>
              <w:pStyle w:val="Heading1"/>
              <w:keepNext/>
              <w:widowControl/>
              <w:pBdr/>
              <w:bidi w:val="0"/>
              <w:spacing w:before="240" w:after="283"/>
              <w:rPr/>
            </w:pPr>
            <w:r>
              <w:rPr/>
              <w:t>§ 11 Conveyance</w:t>
            </w:r>
          </w:p>
          <w:p>
            <w:pPr>
              <w:pStyle w:val="TableContents"/>
              <w:widowControl/>
              <w:bidi w:val="0"/>
              <w:spacing w:before="0" w:after="283"/>
              <w:rPr/>
            </w:pPr>
            <w:r>
              <w:rPr/>
              <w:t>The Seller and Buyer agree to transfer of title and consent to and apply for registration. The Notary is instructed to procure registration of the conveyance only after all Purchase Price amounts that are due, undisputed and not lawfully retained have been paid and release of the Purchased Property from encumbrances is secured. Lawfully retained balances do not prevent registration if secured by a bank suretyship without a fixed expiry date and enforceable directly against the bank, or in another insolvency-protected manner.</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27" w:name="vollmachten"/>
            <w:bookmarkEnd w:id="27"/>
            <w:r>
              <w:rPr/>
              <w:t>§ 12 Vollmachten</w:t>
            </w:r>
          </w:p>
          <w:p>
            <w:pPr>
              <w:pStyle w:val="TableContents"/>
              <w:widowControl/>
              <w:bidi w:val="0"/>
              <w:spacing w:before="0" w:after="283"/>
              <w:rPr/>
            </w:pPr>
            <w:r>
              <w:rPr>
                <w:rStyle w:val="Strong"/>
              </w:rPr>
              <w:t>12.1</w:t>
            </w:r>
            <w:r>
              <w:rPr/>
              <w:t xml:space="preserve"> Der Käufer bevollmächtigt den Verkäufer, die Teilungserklärung einschließlich Gemeinschaftsordnung und die Aufteilungspläne zu ändern oder zu ergänzen, soweit dies zum Vollzug der Aufteilung, zur Berichtigung offenbarer Unrichtigkeiten, zur Anpassung an behördliche Auflagen oder zur zeichnerischen Anpassung nach der Ausführungsplanung erforderlich ist. Die Vollmacht berechtigt nicht zu Änderungen, die den Miteigentumsanteil, die Lage, den Zuschnitt, den Wert, die Nutzbarkeit, die Kostenlast, die Stimmrechte oder die Sondernutzungsrechte des Käufers nachteilig berühren; solche Änderungen bedürfen seiner gesonderten Zustimmung.</w:t>
            </w:r>
          </w:p>
        </w:tc>
        <w:tc>
          <w:tcPr>
            <w:tcW w:w="7244" w:type="dxa"/>
            <w:tcBorders/>
            <w:vAlign w:val="center"/>
          </w:tcPr>
          <w:p>
            <w:pPr>
              <w:pStyle w:val="Heading1"/>
              <w:keepNext/>
              <w:widowControl/>
              <w:bidi w:val="0"/>
              <w:spacing w:before="240" w:after="283"/>
              <w:ind w:hanging="0" w:start="0" w:end="0"/>
              <w:rPr/>
            </w:pPr>
            <w:bookmarkStart w:id="28" w:name="section-12-powers-of-attorney"/>
            <w:bookmarkEnd w:id="28"/>
            <w:r>
              <w:rPr/>
              <w:t xml:space="preserve">Section 12 Powers of Attorney </w:t>
            </w:r>
          </w:p>
          <w:p>
            <w:pPr>
              <w:pStyle w:val="TableContents"/>
              <w:widowControl/>
              <w:bidi w:val="0"/>
              <w:spacing w:before="0" w:after="283"/>
              <w:rPr/>
            </w:pPr>
            <w:r>
              <w:rPr>
                <w:rStyle w:val="Strong"/>
              </w:rPr>
              <w:t>12.1</w:t>
            </w:r>
            <w:r>
              <w:rPr/>
              <w:t xml:space="preserve"> The Buyer authorises the Seller to amend or supplement the declaration of division, including Community rules, and the plans of division, insofar as this is necessary for the execution of the division, for the correction of obvious errors, for adjustment to administrative requirements or for the drawing adjustment according to the execution plan. The power of attorney shall not entitle any changes which adversely affect the Buyer’s co-ownership interest, location, shape, value, usability, cost burden, voting rights or special use rights; such amendments shall require his separate consent. </w:t>
            </w:r>
          </w:p>
        </w:tc>
      </w:tr>
      <w:tr>
        <w:trPr>
          <w:cantSplit/>
        </w:trPr>
        <w:tc>
          <w:tcPr>
            <w:tcW w:w="8290" w:type="dxa"/>
            <w:tcBorders/>
            <w:vAlign w:val="center"/>
          </w:tcPr>
          <w:p>
            <w:pPr>
              <w:pStyle w:val="TableContents"/>
              <w:widowControl/>
              <w:bidi w:val="0"/>
              <w:spacing w:before="0" w:after="283"/>
              <w:rPr/>
            </w:pPr>
            <w:r>
              <w:rPr>
                <w:rStyle w:val="Strong"/>
              </w:rPr>
              <w:t>12.2</w:t>
            </w:r>
            <w:r>
              <w:rPr/>
              <w:t xml:space="preserve"> Die Vollmacht ist von den Beschränkungen des § 181 BGB befreit und im Innenverhältnis nur im vorstehenden Rahmen und unter Wahrung der berechtigten Interessen des Käufers auszuüben. Der Verkäufer teilt dem Käufer Gebrauch und Inhalt der Änderung in Textform mit.</w:t>
            </w:r>
          </w:p>
        </w:tc>
        <w:tc>
          <w:tcPr>
            <w:tcW w:w="7244" w:type="dxa"/>
            <w:tcBorders/>
            <w:vAlign w:val="center"/>
          </w:tcPr>
          <w:p>
            <w:pPr>
              <w:pStyle w:val="TableContents"/>
              <w:widowControl/>
              <w:bidi w:val="0"/>
              <w:spacing w:before="0" w:after="283"/>
              <w:rPr/>
            </w:pPr>
            <w:r>
              <w:rPr>
                <w:rStyle w:val="Strong"/>
              </w:rPr>
              <w:t>12.2</w:t>
            </w:r>
            <w:r>
              <w:rPr/>
              <w:t xml:space="preserve"> The power of attorney is exempt from the restrictions of § 181 BGB and to exercise it internally only within the above framework and while safeguarding the legitimate interests of the Buyer. The Seller shall notify the Buyer of the use and content of the change in text form. </w:t>
            </w:r>
          </w:p>
        </w:tc>
      </w:tr>
      <w:tr>
        <w:trPr>
          <w:cantSplit/>
        </w:trPr>
        <w:tc>
          <w:tcPr>
            <w:tcW w:w="8290" w:type="dxa"/>
            <w:tcBorders/>
            <w:vAlign w:val="center"/>
          </w:tcPr>
          <w:p>
            <w:pPr>
              <w:pStyle w:val="TableContents"/>
              <w:widowControl/>
              <w:bidi w:val="0"/>
              <w:spacing w:before="0" w:after="283"/>
              <w:rPr/>
            </w:pPr>
            <w:r>
              <w:rPr>
                <w:rStyle w:val="Strong"/>
              </w:rPr>
              <w:t>12.3</w:t>
            </w:r>
            <w:r>
              <w:rPr/>
              <w:t xml:space="preserve"> Der Käufer bevollmächtigt den Verkäufer ferner, die zum Vollzug dieses Vertrages erforderlichen verfahrensrechtlichen Erklärungen gegenüber Grundbuchamt und Behörden abzugeben.</w:t>
            </w:r>
          </w:p>
        </w:tc>
        <w:tc>
          <w:tcPr>
            <w:tcW w:w="7244" w:type="dxa"/>
            <w:tcBorders/>
            <w:vAlign w:val="center"/>
          </w:tcPr>
          <w:p>
            <w:pPr>
              <w:pStyle w:val="TableContents"/>
              <w:widowControl/>
              <w:bidi w:val="0"/>
              <w:spacing w:before="0" w:after="283"/>
              <w:rPr/>
            </w:pPr>
            <w:r>
              <w:rPr>
                <w:rStyle w:val="Strong"/>
              </w:rPr>
              <w:t>12.3</w:t>
            </w:r>
            <w:r>
              <w:rPr/>
              <w:t xml:space="preserve"> The Buyer also authorizes the Seller to make the procedural declarations to the Land Registry and authorities necessary for the execution of this contract.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29" w:name="schlussbestimmungen"/>
            <w:bookmarkEnd w:id="29"/>
            <w:r>
              <w:rPr/>
              <w:t>§ 13 Schlussbestimmungen</w:t>
            </w:r>
          </w:p>
          <w:p>
            <w:pPr>
              <w:pStyle w:val="TableContents"/>
              <w:widowControl/>
              <w:bidi w:val="0"/>
              <w:spacing w:before="0" w:after="283"/>
              <w:rPr/>
            </w:pPr>
            <w:r>
              <w:rPr>
                <w:rStyle w:val="Strong"/>
              </w:rPr>
              <w:t>13.1</w:t>
            </w:r>
            <w:r>
              <w:rPr/>
              <w:t xml:space="preserve"> Mündliche Nebenabreden bestehen nicht. Änderungen bedürfen der notariellen Beurkundung, soweit gesetzlich vorgeschrieben.</w:t>
            </w:r>
          </w:p>
        </w:tc>
        <w:tc>
          <w:tcPr>
            <w:tcW w:w="7244" w:type="dxa"/>
            <w:tcBorders/>
            <w:vAlign w:val="center"/>
          </w:tcPr>
          <w:p>
            <w:pPr>
              <w:pStyle w:val="Heading1"/>
              <w:keepNext/>
              <w:widowControl/>
              <w:bidi w:val="0"/>
              <w:spacing w:before="240" w:after="283"/>
              <w:ind w:hanging="0" w:start="0" w:end="0"/>
              <w:rPr/>
            </w:pPr>
            <w:bookmarkStart w:id="30" w:name="final-provisions"/>
            <w:bookmarkEnd w:id="30"/>
            <w:r>
              <w:rPr/>
              <w:t xml:space="preserve">§ 13 Final provisions </w:t>
            </w:r>
          </w:p>
          <w:p>
            <w:pPr>
              <w:pStyle w:val="TableContents"/>
              <w:widowControl/>
              <w:bidi w:val="0"/>
              <w:spacing w:before="0" w:after="283"/>
              <w:rPr/>
            </w:pPr>
            <w:r>
              <w:rPr>
                <w:rStyle w:val="Strong"/>
              </w:rPr>
              <w:t>13.1</w:t>
            </w:r>
            <w:r>
              <w:rPr/>
              <w:t xml:space="preserve"> Oral ancillary arrangements do not exist. Changes require notarization, as required by law. </w:t>
            </w:r>
          </w:p>
        </w:tc>
      </w:tr>
      <w:tr>
        <w:trPr>
          <w:cantSplit/>
        </w:trPr>
        <w:tc>
          <w:tcPr>
            <w:tcW w:w="8290" w:type="dxa"/>
            <w:tcBorders/>
            <w:vAlign w:val="center"/>
          </w:tcPr>
          <w:p>
            <w:pPr>
              <w:pStyle w:val="TableContents"/>
              <w:widowControl/>
              <w:bidi w:val="0"/>
              <w:spacing w:before="0" w:after="283"/>
              <w:rPr/>
            </w:pPr>
            <w:r>
              <w:rPr>
                <w:rStyle w:val="Strong"/>
              </w:rPr>
              <w:t>13.2</w:t>
            </w:r>
            <w:r>
              <w:rPr/>
              <w:t xml:space="preserve"> Ist eine Bestimmung unwirksam, bleibt der Vertrag im Übrigen wirksam; an die Stelle der unwirksamen Bestimmung tritt die gesetzliche Regelung (§ 306 BGB).</w:t>
            </w:r>
          </w:p>
        </w:tc>
        <w:tc>
          <w:tcPr>
            <w:tcW w:w="7244" w:type="dxa"/>
            <w:tcBorders/>
            <w:vAlign w:val="center"/>
          </w:tcPr>
          <w:p>
            <w:pPr>
              <w:pStyle w:val="TableContents"/>
              <w:widowControl/>
              <w:bidi w:val="0"/>
              <w:spacing w:before="0" w:after="283"/>
              <w:rPr/>
            </w:pPr>
            <w:r>
              <w:rPr>
                <w:rStyle w:val="Strong"/>
              </w:rPr>
              <w:t>13.2</w:t>
            </w:r>
            <w:r>
              <w:rPr/>
              <w:t xml:space="preserve"> If a provision is invalid, the contract shall remain in effect; The ineffective provision is replaced by the statutory regulation (§ 306 BGB). </w:t>
            </w:r>
          </w:p>
        </w:tc>
      </w:tr>
      <w:tr>
        <w:trPr>
          <w:cantSplit/>
        </w:trPr>
        <w:tc>
          <w:tcPr>
            <w:tcW w:w="8290" w:type="dxa"/>
            <w:tcBorders/>
            <w:vAlign w:val="center"/>
          </w:tcPr>
          <w:p>
            <w:pPr>
              <w:pStyle w:val="TableContents"/>
              <w:widowControl/>
              <w:bidi w:val="0"/>
              <w:spacing w:before="0" w:after="283"/>
              <w:rPr/>
            </w:pPr>
            <w:r>
              <w:rPr>
                <w:rStyle w:val="Strong"/>
              </w:rPr>
              <w:t>13.3</w:t>
            </w:r>
            <w:r>
              <w:rPr/>
              <w:t xml:space="preserve"> Die Kosten dieser Urkunde und ihres Vollzugs trägt der Käufer. Der gesetzliche Verbrauchergerichtsstand bleibt unberührt; eine Abweichung von § 29c ZPO wird nicht vereinbart.</w:t>
            </w:r>
          </w:p>
        </w:tc>
        <w:tc>
          <w:tcPr>
            <w:tcW w:w="7244" w:type="dxa"/>
            <w:tcBorders/>
            <w:vAlign w:val="center"/>
          </w:tcPr>
          <w:p>
            <w:pPr>
              <w:pStyle w:val="TableContents"/>
              <w:widowControl/>
              <w:bidi w:val="0"/>
              <w:spacing w:before="0" w:after="283"/>
              <w:rPr/>
            </w:pPr>
            <w:r>
              <w:rPr>
                <w:rStyle w:val="Strong"/>
              </w:rPr>
              <w:t>13.3</w:t>
            </w:r>
            <w:r>
              <w:rPr/>
              <w:t xml:space="preserve"> The costs of this document and its execution shall be borne by the Buyer. The legal consumer jurisdiction remains unaffected; a deviation from § 29c ZPO is not agreed. </w:t>
            </w:r>
          </w:p>
        </w:tc>
      </w:tr>
      <w:tr>
        <w:trPr>
          <w:cantSplit/>
        </w:trPr>
        <w:tc>
          <w:tcPr>
            <w:tcW w:w="8290" w:type="dxa"/>
            <w:tcBorders/>
            <w:vAlign w:val="center"/>
          </w:tcPr>
          <w:p>
            <w:pPr>
              <w:pStyle w:val="TableContents"/>
              <w:widowControl/>
              <w:bidi w:val="0"/>
              <w:spacing w:before="0" w:after="283"/>
              <w:rPr/>
            </w:pPr>
            <w:r>
              <w:rPr>
                <w:rStyle w:val="Strong"/>
              </w:rPr>
              <w:t>13.4</w:t>
            </w:r>
            <w:r>
              <w:rPr/>
              <w:t xml:space="preserve"> Der Käufer trägt die auf seine Einheit entfallenden Kosten der erstmaligen Einrichtung der WEG-Verwaltung. Der erste Verwalter wird für höchstens drei Jahre bestellt (§ 26 Abs. 2 WEG). Wartungs- und Betriebsführungsverträge für die Erstbetriebsphase werden mit ordentlicher Kündigungsmöglichkeit zum Ablauf des zweiten Betriebsjahres abgeschlossen; eine längere Bindung der Gemeinschaft an Unternehmen des Verkäuferumfeldes erfolgt nicht.</w:t>
            </w:r>
          </w:p>
        </w:tc>
        <w:tc>
          <w:tcPr>
            <w:tcW w:w="7244" w:type="dxa"/>
            <w:tcBorders/>
            <w:vAlign w:val="center"/>
          </w:tcPr>
          <w:p>
            <w:pPr>
              <w:pStyle w:val="TableContents"/>
              <w:widowControl/>
              <w:bidi w:val="0"/>
              <w:spacing w:before="0" w:after="283"/>
              <w:rPr/>
            </w:pPr>
            <w:r>
              <w:rPr>
                <w:rStyle w:val="Strong"/>
              </w:rPr>
              <w:t>13.4</w:t>
            </w:r>
            <w:r>
              <w:rPr/>
              <w:t xml:space="preserve"> The Buyer bears the costs attributable to the unit of initially establishing condominium management. The first manager is appointed for no more than three years (section 26(2) WEG). Maintenance and operational management contracts for the initial operating phase shall allow ordinary termination at the end of the second operating year; the Community shall not be bound to companies connected with the Seller for a longer period.</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31" w:name="belehrungen"/>
            <w:bookmarkEnd w:id="31"/>
            <w:r>
              <w:rPr/>
              <w:t>§ 14 Belehrungen</w:t>
            </w:r>
          </w:p>
          <w:p>
            <w:pPr>
              <w:pStyle w:val="TableContents"/>
              <w:widowControl/>
              <w:bidi w:val="0"/>
              <w:spacing w:before="0" w:after="283"/>
              <w:rPr/>
            </w:pPr>
            <w:r>
              <w:rPr/>
              <w:t>Im Beurkundungstermin soll die Notarin über Inhalt und Bedeutung des Vertrages, die Eigentumsübertragung erst mit Grundbucheintragung, Auflassungsvormerkung, Belastungsvollmacht, MaBV-Fälligkeitsvoraussetzungen, die 5-%-Sicherheit nach § 650m Abs. 2 BGB, die fünfjährige Mängelverjährung und die Möglichkeit eigener technischer Beratung belehren. Sie soll auf die Grenzen ihrer unparteiischen Amtstätigkeit hinweisen; wirtschaftliche, steuerliche und bautechnische Fragen bleiben gesondert zu prüfen.</w:t>
            </w:r>
          </w:p>
        </w:tc>
        <w:tc>
          <w:tcPr>
            <w:tcW w:w="7244" w:type="dxa"/>
            <w:tcBorders/>
            <w:vAlign w:val="center"/>
          </w:tcPr>
          <w:p>
            <w:pPr>
              <w:pStyle w:val="Heading1"/>
              <w:keepNext/>
              <w:widowControl/>
              <w:pBdr/>
              <w:bidi w:val="0"/>
              <w:spacing w:before="240" w:after="283"/>
              <w:rPr/>
            </w:pPr>
            <w:r>
              <w:rPr/>
              <w:t>§ 14 Notarial Explanations</w:t>
            </w:r>
          </w:p>
          <w:p>
            <w:pPr>
              <w:pStyle w:val="TableContents"/>
              <w:widowControl/>
              <w:bidi w:val="0"/>
              <w:spacing w:before="0" w:after="283"/>
              <w:rPr/>
            </w:pPr>
            <w:r>
              <w:rPr/>
              <w:t>At the notarisation appointment, the Notary is to explain the content and significance of the contract, transfer of title only upon Land Register entry, the priority notice of conveyance, the mortgage authority, the MaBV payment conditions, the five-percent security under section 650m(2) BGB, the five-year limitation period for defect claims and the option of obtaining independent technical advice. The Notary is to explain the limits of the impartial official role; economic, tax and construction matters require separate examination.</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32" w:name="bezugsurkunden-anlagen-und-vollzugshinwe"/>
            <w:bookmarkEnd w:id="32"/>
            <w:r>
              <w:rPr/>
              <w:t>Bezugsurkunden, Anlagen und Vollzugshinweise</w:t>
            </w:r>
          </w:p>
          <w:p>
            <w:pPr>
              <w:pStyle w:val="TableContents"/>
              <w:widowControl/>
              <w:bidi w:val="0"/>
              <w:spacing w:before="0" w:after="283"/>
              <w:rPr/>
            </w:pPr>
            <w:r>
              <w:rPr>
                <w:rStyle w:val="Strong"/>
              </w:rPr>
              <w:t>Bezugsurkunde 1</w:t>
            </w:r>
            <w:r>
              <w:rPr/>
              <w:t xml:space="preserve"> — Teilungserklärung einschließlich Gemeinschaftsordnung vom 21. Oktober 2025, UR-Nr. 1502/2025, nebst 1. Nachtrag vom 09. Februar 2026, UR-Nr. 188/2026.</w:t>
            </w:r>
          </w:p>
        </w:tc>
        <w:tc>
          <w:tcPr>
            <w:tcW w:w="7244" w:type="dxa"/>
            <w:tcBorders/>
            <w:vAlign w:val="center"/>
          </w:tcPr>
          <w:p>
            <w:pPr>
              <w:pStyle w:val="Heading1"/>
              <w:keepNext/>
              <w:widowControl/>
              <w:pBdr/>
              <w:bidi w:val="0"/>
              <w:spacing w:before="240" w:after="283"/>
              <w:rPr/>
            </w:pPr>
            <w:r>
              <w:rPr/>
              <w:t>Reference Deeds, Annexes and Implementation Instructions</w:t>
            </w:r>
          </w:p>
          <w:p>
            <w:pPr>
              <w:pStyle w:val="TableContents"/>
              <w:widowControl/>
              <w:bidi w:val="0"/>
              <w:spacing w:before="0" w:after="283"/>
              <w:rPr/>
            </w:pPr>
            <w:r>
              <w:rPr>
                <w:rStyle w:val="Strong"/>
              </w:rPr>
              <w:t>Reference Deed 1</w:t>
            </w:r>
            <w:r>
              <w:rPr/>
              <w:t xml:space="preserve"> — Declaration of Division including Community Rules dated 21 October 2025, deed no. 1502/2025, with first addendum dated 9 February 2026, deed no. 188/2026.</w:t>
            </w:r>
          </w:p>
        </w:tc>
      </w:tr>
      <w:tr>
        <w:trPr>
          <w:cantSplit/>
        </w:trPr>
        <w:tc>
          <w:tcPr>
            <w:tcW w:w="8290" w:type="dxa"/>
            <w:tcBorders/>
            <w:vAlign w:val="center"/>
          </w:tcPr>
          <w:p>
            <w:pPr>
              <w:pStyle w:val="TableContents"/>
              <w:widowControl/>
              <w:bidi w:val="0"/>
              <w:spacing w:before="0" w:after="283"/>
              <w:rPr/>
            </w:pPr>
            <w:r>
              <w:rPr>
                <w:rStyle w:val="Strong"/>
              </w:rPr>
              <w:t>Anlage Baubeschreibung</w:t>
            </w:r>
            <w:r>
              <w:rPr/>
              <w:t xml:space="preserve"> — Baubeschreibung Fassung Mai 2026, Version 3.0; zur Mitbeurkundung vorgesehener Bestandteil dieser Urkunde und des geschuldeten Bausolls.</w:t>
            </w:r>
          </w:p>
        </w:tc>
        <w:tc>
          <w:tcPr>
            <w:tcW w:w="7244" w:type="dxa"/>
            <w:tcBorders/>
            <w:vAlign w:val="center"/>
          </w:tcPr>
          <w:p>
            <w:pPr>
              <w:pStyle w:val="TableContents"/>
              <w:widowControl/>
              <w:bidi w:val="0"/>
              <w:spacing w:before="0" w:after="283"/>
              <w:rPr/>
            </w:pPr>
            <w:r>
              <w:rPr>
                <w:rStyle w:val="Strong"/>
              </w:rPr>
              <w:t>Annex Building Specification</w:t>
            </w:r>
            <w:r>
              <w:rPr/>
              <w:t xml:space="preserve"> — Building Specification dated May 2026, version 3.0; intended to be notarised together with this deed as part of the contractual construction specification.</w:t>
            </w:r>
          </w:p>
        </w:tc>
      </w:tr>
      <w:tr>
        <w:trPr>
          <w:cantSplit/>
        </w:trPr>
        <w:tc>
          <w:tcPr>
            <w:tcW w:w="8290" w:type="dxa"/>
            <w:tcBorders/>
            <w:vAlign w:val="center"/>
          </w:tcPr>
          <w:p>
            <w:pPr>
              <w:pStyle w:val="TableContents"/>
              <w:widowControl/>
              <w:bidi w:val="0"/>
              <w:spacing w:before="0" w:after="283"/>
              <w:rPr/>
            </w:pPr>
            <w:r>
              <w:rPr/>
              <w:t>Die Notarin wird mit dem Vollzug beauftragt und stellt Anträge erst, wenn die erforderlichen Erklärungen und Nachweise vorliegen. Mitteilungen über den Eintritt der Fälligkeitsvoraussetzungen nach § 3 erfolgen schriftlich an beide Parteien.</w:t>
            </w:r>
          </w:p>
        </w:tc>
        <w:tc>
          <w:tcPr>
            <w:tcW w:w="7244" w:type="dxa"/>
            <w:tcBorders/>
            <w:vAlign w:val="center"/>
          </w:tcPr>
          <w:p>
            <w:pPr>
              <w:pStyle w:val="TableContents"/>
              <w:widowControl/>
              <w:bidi w:val="0"/>
              <w:spacing w:before="0" w:after="283"/>
              <w:rPr/>
            </w:pPr>
            <w:r>
              <w:rPr/>
              <w:t>The Notary is instructed to implement the contract and shall submit applications only once the necessary declarations and evidence are available. Both parties shall receive written notice when the payment conditions under section 3 have been satisfied.</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33" w:name="geschäftswert-und-kosten"/>
            <w:bookmarkEnd w:id="33"/>
            <w:r>
              <w:rPr/>
              <w:t>Geschäftswert und Kosten</w:t>
            </w:r>
          </w:p>
          <w:p>
            <w:pPr>
              <w:pStyle w:val="TableContents"/>
              <w:widowControl/>
              <w:bidi w:val="0"/>
              <w:spacing w:before="0" w:after="283"/>
              <w:rPr/>
            </w:pPr>
            <w:r>
              <w:rPr/>
              <w:t>Der Geschäftswert dieser Urkunde wird mit dem Gesamtkaufpreis von 674.000,00 EUR angegeben. Die Kosten dieser Urkunde und ihres Vollzugs trägt nach § 13.3 der Käufer.</w:t>
            </w:r>
          </w:p>
        </w:tc>
        <w:tc>
          <w:tcPr>
            <w:tcW w:w="7244" w:type="dxa"/>
            <w:tcBorders/>
            <w:vAlign w:val="center"/>
          </w:tcPr>
          <w:p>
            <w:pPr>
              <w:pStyle w:val="Heading1"/>
              <w:keepNext/>
              <w:widowControl/>
              <w:pBdr/>
              <w:bidi w:val="0"/>
              <w:spacing w:before="240" w:after="283"/>
              <w:rPr/>
            </w:pPr>
            <w:r>
              <w:rPr/>
              <w:t>Transaction Value and Costs</w:t>
            </w:r>
          </w:p>
          <w:p>
            <w:pPr>
              <w:pStyle w:val="TableContents"/>
              <w:widowControl/>
              <w:bidi w:val="0"/>
              <w:spacing w:before="0" w:after="283"/>
              <w:rPr/>
            </w:pPr>
            <w:r>
              <w:rPr/>
              <w:t>The transaction value of this deed is stated as the total Purchase Price of EUR 674,000.00. Under section 13.3 the Buyer bears the costs of this deed and its implementation.</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34" w:name="unterschriften"/>
            <w:bookmarkEnd w:id="34"/>
            <w:r>
              <w:rPr/>
              <w:t>Unterschriften</w:t>
            </w:r>
          </w:p>
          <w:p>
            <w:pPr>
              <w:pStyle w:val="TableContents"/>
              <w:widowControl/>
              <w:bidi w:val="0"/>
              <w:spacing w:before="0" w:after="283"/>
              <w:rPr/>
            </w:pPr>
            <w:r>
              <w:rPr/>
              <w:t>Verlesung, Genehmigung und Unterzeichnung dieser Niederschrift einschließlich der Anlage Baubeschreibung stehen noch aus. Die nachstehenden Unterschriftsfelder bleiben im Entwurf frei.</w:t>
            </w:r>
          </w:p>
        </w:tc>
        <w:tc>
          <w:tcPr>
            <w:tcW w:w="7244" w:type="dxa"/>
            <w:tcBorders/>
            <w:vAlign w:val="center"/>
          </w:tcPr>
          <w:p>
            <w:pPr>
              <w:pStyle w:val="Heading1"/>
              <w:keepNext/>
              <w:widowControl/>
              <w:bidi w:val="0"/>
              <w:spacing w:before="240" w:after="283"/>
              <w:ind w:hanging="0" w:start="0" w:end="0"/>
              <w:rPr/>
            </w:pPr>
            <w:bookmarkStart w:id="35" w:name="signatures"/>
            <w:bookmarkEnd w:id="35"/>
            <w:r>
              <w:rPr/>
              <w:t xml:space="preserve">Signatures </w:t>
            </w:r>
          </w:p>
          <w:p>
            <w:pPr>
              <w:pStyle w:val="TableContents"/>
              <w:widowControl/>
              <w:bidi w:val="0"/>
              <w:spacing w:before="0" w:after="283"/>
              <w:rPr/>
            </w:pPr>
            <w:r>
              <w:rPr/>
              <w:t>Reading aloud, approval and signing of this record, including the annexed Building Specification, have not yet taken place. The signature fields below remain blank in this draft.</w:t>
            </w:r>
          </w:p>
        </w:tc>
      </w:tr>
      <w:tr>
        <w:trPr>
          <w:cantSplit/>
        </w:trPr>
        <w:tc>
          <w:tcPr>
            <w:tcW w:w="8290" w:type="dxa"/>
            <w:tcBorders/>
            <w:vAlign w:val="center"/>
          </w:tcPr>
          <w:p>
            <w:pPr>
              <w:pStyle w:val="TableContents"/>
              <w:widowControl/>
              <w:bidi w:val="0"/>
              <w:spacing w:before="0" w:after="283"/>
              <w:rPr/>
            </w:pPr>
            <w:r>
              <w:rPr/>
            </w:r>
          </w:p>
        </w:tc>
        <w:tc>
          <w:tcPr>
            <w:tcW w:w="7244" w:type="dxa"/>
            <w:tcBorders/>
            <w:vAlign w:val="center"/>
          </w:tcPr>
          <w:p>
            <w:pPr>
              <w:pStyle w:val="TableContents"/>
              <w:widowControl/>
              <w:bidi w:val="0"/>
              <w:spacing w:before="0" w:after="283"/>
              <w:rPr/>
            </w:pPr>
            <w:r>
              <w:rPr/>
            </w:r>
          </w:p>
        </w:tc>
      </w:tr>
      <w:tr>
        <w:trPr>
          <w:cantSplit/>
        </w:trPr>
        <w:tc>
          <w:tcPr>
            <w:tcW w:w="8290" w:type="dxa"/>
            <w:tcBorders/>
            <w:vAlign w:val="center"/>
          </w:tcPr>
          <w:p>
            <w:pPr>
              <w:pStyle w:val="TableContents"/>
              <w:widowControl/>
              <w:bidi w:val="0"/>
              <w:spacing w:before="0" w:after="283"/>
              <w:rPr/>
            </w:pPr>
            <w:r>
              <w:rPr/>
            </w:r>
          </w:p>
        </w:tc>
        <w:tc>
          <w:tcPr>
            <w:tcW w:w="7244" w:type="dxa"/>
            <w:tcBorders/>
            <w:vAlign w:val="center"/>
          </w:tcPr>
          <w:p>
            <w:pPr>
              <w:pStyle w:val="TableContents"/>
              <w:widowControl/>
              <w:bidi w:val="0"/>
              <w:spacing w:before="0" w:after="283"/>
              <w:rPr/>
            </w:pPr>
            <w:r>
              <w:rPr/>
            </w:r>
          </w:p>
        </w:tc>
      </w:tr>
      <w:tr>
        <w:trPr>
          <w:cantSplit/>
        </w:trPr>
        <w:tc>
          <w:tcPr>
            <w:tcW w:w="8290" w:type="dxa"/>
            <w:tcBorders/>
            <w:vAlign w:val="center"/>
          </w:tcPr>
          <w:p>
            <w:pPr>
              <w:pStyle w:val="TableContents"/>
              <w:keepNext/>
              <w:widowControl/>
              <w:bidi w:val="0"/>
              <w:spacing w:before="0" w:after="283"/>
              <w:rPr/>
            </w:pPr>
            <w:r>
              <w:rPr/>
              <w:t>——————————————————————————</w:t>
            </w:r>
          </w:p>
          <w:p>
            <w:pPr>
              <w:pStyle w:val="TableContents"/>
              <w:widowControl/>
              <w:bidi w:val="0"/>
              <w:spacing w:before="0" w:after="283"/>
              <w:rPr/>
            </w:pPr>
            <w:r>
              <w:rPr/>
              <w:t>Gisbert Tönnemann-Loose (für Verkäufer)</w:t>
            </w:r>
          </w:p>
        </w:tc>
        <w:tc>
          <w:tcPr>
            <w:tcW w:w="7244" w:type="dxa"/>
            <w:tcBorders/>
            <w:vAlign w:val="center"/>
          </w:tcPr>
          <w:p>
            <w:pPr>
              <w:pStyle w:val="TableContents"/>
              <w:keepNext/>
              <w:widowControl/>
              <w:bidi w:val="0"/>
              <w:spacing w:before="0" w:after="283"/>
              <w:rPr/>
            </w:pPr>
            <w:r>
              <w:rPr/>
              <w:t xml:space="preserve">—————————————————————————— </w:t>
            </w:r>
          </w:p>
          <w:p>
            <w:pPr>
              <w:pStyle w:val="TableContents"/>
              <w:widowControl/>
              <w:bidi w:val="0"/>
              <w:spacing w:before="0" w:after="283"/>
              <w:rPr/>
            </w:pPr>
            <w:r>
              <w:rPr/>
              <w:t>Gisbert Tönnemann-Loose (for the Seller)</w:t>
            </w:r>
          </w:p>
        </w:tc>
      </w:tr>
      <w:tr>
        <w:trPr>
          <w:cantSplit/>
        </w:trPr>
        <w:tc>
          <w:tcPr>
            <w:tcW w:w="8290" w:type="dxa"/>
            <w:tcBorders/>
            <w:vAlign w:val="center"/>
          </w:tcPr>
          <w:p>
            <w:pPr>
              <w:pStyle w:val="TableContents"/>
              <w:widowControl/>
              <w:bidi w:val="0"/>
              <w:spacing w:before="0" w:after="283"/>
              <w:rPr/>
            </w:pPr>
            <w:r>
              <w:rPr/>
            </w:r>
          </w:p>
        </w:tc>
        <w:tc>
          <w:tcPr>
            <w:tcW w:w="7244" w:type="dxa"/>
            <w:tcBorders/>
            <w:vAlign w:val="center"/>
          </w:tcPr>
          <w:p>
            <w:pPr>
              <w:pStyle w:val="TableContents"/>
              <w:widowControl/>
              <w:bidi w:val="0"/>
              <w:spacing w:before="0" w:after="283"/>
              <w:rPr/>
            </w:pPr>
            <w:r>
              <w:rPr/>
            </w:r>
          </w:p>
        </w:tc>
      </w:tr>
      <w:tr>
        <w:trPr>
          <w:cantSplit/>
        </w:trPr>
        <w:tc>
          <w:tcPr>
            <w:tcW w:w="8290" w:type="dxa"/>
            <w:tcBorders/>
            <w:vAlign w:val="center"/>
          </w:tcPr>
          <w:p>
            <w:pPr>
              <w:pStyle w:val="TableContents"/>
              <w:widowControl/>
              <w:bidi w:val="0"/>
              <w:spacing w:before="0" w:after="283"/>
              <w:rPr/>
            </w:pPr>
            <w:r>
              <w:rPr/>
            </w:r>
          </w:p>
        </w:tc>
        <w:tc>
          <w:tcPr>
            <w:tcW w:w="7244" w:type="dxa"/>
            <w:tcBorders/>
            <w:vAlign w:val="center"/>
          </w:tcPr>
          <w:p>
            <w:pPr>
              <w:pStyle w:val="TableContents"/>
              <w:widowControl/>
              <w:bidi w:val="0"/>
              <w:spacing w:before="0" w:after="283"/>
              <w:rPr/>
            </w:pPr>
            <w:r>
              <w:rPr/>
            </w:r>
          </w:p>
        </w:tc>
      </w:tr>
      <w:tr>
        <w:trPr>
          <w:cantSplit/>
        </w:trPr>
        <w:tc>
          <w:tcPr>
            <w:tcW w:w="8290" w:type="dxa"/>
            <w:tcBorders/>
            <w:vAlign w:val="center"/>
          </w:tcPr>
          <w:p>
            <w:pPr>
              <w:pStyle w:val="TableContents"/>
              <w:keepNext/>
              <w:widowControl/>
              <w:bidi w:val="0"/>
              <w:spacing w:before="0" w:after="283"/>
              <w:rPr/>
            </w:pPr>
            <w:r>
              <w:rPr/>
              <w:t>——————————————————————————</w:t>
            </w:r>
          </w:p>
          <w:p>
            <w:pPr>
              <w:pStyle w:val="TableContents"/>
              <w:widowControl/>
              <w:bidi w:val="0"/>
              <w:spacing w:before="0" w:after="283"/>
              <w:rPr/>
            </w:pPr>
            <w:r>
              <w:rPr/>
              <w:t>Dr. Henrike Salentin-Voßkamp (Käufer)</w:t>
            </w:r>
          </w:p>
        </w:tc>
        <w:tc>
          <w:tcPr>
            <w:tcW w:w="7244" w:type="dxa"/>
            <w:tcBorders/>
            <w:vAlign w:val="center"/>
          </w:tcPr>
          <w:p>
            <w:pPr>
              <w:pStyle w:val="TableContents"/>
              <w:keepNext/>
              <w:widowControl/>
              <w:bidi w:val="0"/>
              <w:spacing w:before="0" w:after="283"/>
              <w:rPr/>
            </w:pPr>
            <w:r>
              <w:rPr/>
              <w:t xml:space="preserve">—————————————————————————— </w:t>
            </w:r>
          </w:p>
          <w:p>
            <w:pPr>
              <w:pStyle w:val="TableContents"/>
              <w:widowControl/>
              <w:bidi w:val="0"/>
              <w:spacing w:before="0" w:after="283"/>
              <w:rPr/>
            </w:pPr>
            <w:r>
              <w:rPr/>
              <w:t xml:space="preserve">Dr. Henrike Salentin-Voßkamp (Buyer) </w:t>
            </w:r>
          </w:p>
        </w:tc>
      </w:tr>
      <w:tr>
        <w:trPr>
          <w:cantSplit/>
        </w:trPr>
        <w:tc>
          <w:tcPr>
            <w:tcW w:w="8290" w:type="dxa"/>
            <w:tcBorders/>
            <w:vAlign w:val="center"/>
          </w:tcPr>
          <w:p>
            <w:pPr>
              <w:pStyle w:val="TableContents"/>
              <w:widowControl/>
              <w:bidi w:val="0"/>
              <w:spacing w:before="0" w:after="283"/>
              <w:rPr/>
            </w:pPr>
            <w:r>
              <w:rPr/>
            </w:r>
          </w:p>
        </w:tc>
        <w:tc>
          <w:tcPr>
            <w:tcW w:w="7244" w:type="dxa"/>
            <w:tcBorders/>
            <w:vAlign w:val="center"/>
          </w:tcPr>
          <w:p>
            <w:pPr>
              <w:pStyle w:val="TableContents"/>
              <w:widowControl/>
              <w:bidi w:val="0"/>
              <w:spacing w:before="0" w:after="283"/>
              <w:rPr/>
            </w:pPr>
            <w:r>
              <w:rPr/>
            </w:r>
          </w:p>
        </w:tc>
      </w:tr>
      <w:tr>
        <w:trPr>
          <w:cantSplit/>
        </w:trPr>
        <w:tc>
          <w:tcPr>
            <w:tcW w:w="8290" w:type="dxa"/>
            <w:tcBorders/>
            <w:vAlign w:val="center"/>
          </w:tcPr>
          <w:p>
            <w:pPr>
              <w:pStyle w:val="TableContents"/>
              <w:widowControl/>
              <w:bidi w:val="0"/>
              <w:spacing w:before="0" w:after="283"/>
              <w:rPr/>
            </w:pPr>
            <w:r>
              <w:rPr/>
            </w:r>
          </w:p>
        </w:tc>
        <w:tc>
          <w:tcPr>
            <w:tcW w:w="7244" w:type="dxa"/>
            <w:tcBorders/>
            <w:vAlign w:val="center"/>
          </w:tcPr>
          <w:p>
            <w:pPr>
              <w:pStyle w:val="TableContents"/>
              <w:widowControl/>
              <w:bidi w:val="0"/>
              <w:spacing w:before="0" w:after="283"/>
              <w:rPr/>
            </w:pPr>
            <w:r>
              <w:rPr/>
            </w:r>
          </w:p>
        </w:tc>
      </w:tr>
      <w:tr>
        <w:trPr>
          <w:cantSplit/>
        </w:trPr>
        <w:tc>
          <w:tcPr>
            <w:tcW w:w="8290" w:type="dxa"/>
            <w:tcBorders/>
            <w:vAlign w:val="center"/>
          </w:tcPr>
          <w:p>
            <w:pPr>
              <w:pStyle w:val="TableContents"/>
              <w:keepNext/>
              <w:widowControl/>
              <w:bidi w:val="0"/>
              <w:spacing w:before="0" w:after="283"/>
              <w:rPr/>
            </w:pPr>
            <w:r>
              <w:rPr/>
              <w:t>——————————————————————————</w:t>
            </w:r>
          </w:p>
          <w:p>
            <w:pPr>
              <w:pStyle w:val="TableContents"/>
              <w:widowControl/>
              <w:bidi w:val="0"/>
              <w:spacing w:before="0" w:after="283"/>
              <w:rPr/>
            </w:pPr>
            <w:r>
              <w:rPr/>
              <w:t>Dr. Cornelia Brakelmann-Stüve, Notarin</w:t>
            </w:r>
          </w:p>
        </w:tc>
        <w:tc>
          <w:tcPr>
            <w:tcW w:w="7244" w:type="dxa"/>
            <w:tcBorders/>
            <w:vAlign w:val="center"/>
          </w:tcPr>
          <w:p>
            <w:pPr>
              <w:pStyle w:val="TableContents"/>
              <w:keepNext/>
              <w:widowControl/>
              <w:bidi w:val="0"/>
              <w:spacing w:before="0" w:after="283"/>
              <w:rPr/>
            </w:pPr>
            <w:r>
              <w:rPr/>
              <w:t xml:space="preserve">—————————————————————————— </w:t>
            </w:r>
          </w:p>
          <w:p>
            <w:pPr>
              <w:pStyle w:val="TableContents"/>
              <w:widowControl/>
              <w:bidi w:val="0"/>
              <w:spacing w:before="0" w:after="283"/>
              <w:rPr/>
            </w:pPr>
            <w:r>
              <w:rPr/>
              <w:t xml:space="preserve">Dr Cornelia Brakelmann-Stüve, Notary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36" w:name="anlage-baubeschreibung"/>
            <w:bookmarkEnd w:id="36"/>
            <w:r>
              <w:rPr/>
              <w:t>Anlage: Baubeschreibung</w:t>
            </w:r>
          </w:p>
          <w:p>
            <w:pPr>
              <w:pStyle w:val="TableContents"/>
              <w:widowControl/>
              <w:bidi w:val="0"/>
              <w:spacing w:before="0" w:after="283"/>
              <w:rPr/>
            </w:pPr>
            <w:r>
              <w:rPr>
                <w:rStyle w:val="Strong"/>
              </w:rPr>
              <w:t>ENTWURF</w:t>
            </w:r>
          </w:p>
        </w:tc>
        <w:tc>
          <w:tcPr>
            <w:tcW w:w="7244" w:type="dxa"/>
            <w:tcBorders/>
            <w:vAlign w:val="center"/>
          </w:tcPr>
          <w:p>
            <w:pPr>
              <w:pStyle w:val="Heading1"/>
              <w:keepNext/>
              <w:widowControl/>
              <w:bidi w:val="0"/>
              <w:spacing w:before="240" w:after="283"/>
              <w:ind w:hanging="0" w:start="0" w:end="0"/>
              <w:rPr/>
            </w:pPr>
            <w:bookmarkStart w:id="37" w:name="annex-building-specification"/>
            <w:bookmarkEnd w:id="37"/>
            <w:r>
              <w:rPr/>
              <w:t xml:space="preserve">Annex: Building Specification </w:t>
            </w:r>
          </w:p>
          <w:p>
            <w:pPr>
              <w:pStyle w:val="TableContents"/>
              <w:widowControl/>
              <w:bidi w:val="0"/>
              <w:spacing w:before="0" w:after="283"/>
              <w:rPr/>
            </w:pPr>
            <w:r>
              <w:rPr>
                <w:rStyle w:val="Strong"/>
              </w:rPr>
              <w:t>DRAFT</w:t>
            </w:r>
          </w:p>
        </w:tc>
      </w:tr>
      <w:tr>
        <w:trPr>
          <w:cantSplit/>
        </w:trPr>
        <w:tc>
          <w:tcPr>
            <w:tcW w:w="8290" w:type="dxa"/>
            <w:tcBorders/>
            <w:vAlign w:val="center"/>
          </w:tcPr>
          <w:p>
            <w:pPr>
              <w:pStyle w:val="TableContents"/>
              <w:widowControl/>
              <w:bidi w:val="0"/>
              <w:spacing w:before="0" w:after="283"/>
              <w:rPr/>
            </w:pPr>
            <w:r>
              <w:rPr/>
              <w:t>Bauvorhaben: Wohnquartier „Marewald Höfe”, Gemarkung Eilbek, Flur 12, Flurstück 344/9</w:t>
            </w:r>
          </w:p>
        </w:tc>
        <w:tc>
          <w:tcPr>
            <w:tcW w:w="7244" w:type="dxa"/>
            <w:tcBorders/>
            <w:vAlign w:val="center"/>
          </w:tcPr>
          <w:p>
            <w:pPr>
              <w:pStyle w:val="TableContents"/>
              <w:widowControl/>
              <w:bidi w:val="0"/>
              <w:spacing w:before="0" w:after="283"/>
              <w:rPr/>
            </w:pPr>
            <w:r>
              <w:rPr/>
              <w:t xml:space="preserve">Construction project: residential quarter “Marewald Höfe”, Eilbek district, cadastral section 12, parcel 344/9 </w:t>
            </w:r>
          </w:p>
        </w:tc>
      </w:tr>
      <w:tr>
        <w:trPr>
          <w:cantSplit/>
        </w:trPr>
        <w:tc>
          <w:tcPr>
            <w:tcW w:w="8290" w:type="dxa"/>
            <w:tcBorders/>
            <w:vAlign w:val="center"/>
          </w:tcPr>
          <w:p>
            <w:pPr>
              <w:pStyle w:val="TableContents"/>
              <w:widowControl/>
              <w:bidi w:val="0"/>
              <w:spacing w:before="0" w:after="283"/>
              <w:rPr/>
            </w:pPr>
            <w:r>
              <w:rPr/>
              <w:t>Bauträgerin: Marewald Wohnbau GmbH &amp; Co. KG, Mundsburger Damm 5, 22087 Hamburg</w:t>
            </w:r>
          </w:p>
        </w:tc>
        <w:tc>
          <w:tcPr>
            <w:tcW w:w="7244" w:type="dxa"/>
            <w:tcBorders/>
            <w:vAlign w:val="center"/>
          </w:tcPr>
          <w:p>
            <w:pPr>
              <w:pStyle w:val="TableContents"/>
              <w:widowControl/>
              <w:bidi w:val="0"/>
              <w:spacing w:before="0" w:after="283"/>
              <w:rPr/>
            </w:pPr>
            <w:r>
              <w:rPr/>
              <w:t xml:space="preserve">Developer: Marewald Wohnbau GmbH &amp; Co. KG, Mundsburger Damm 5, 22087 Hamburg </w:t>
            </w:r>
          </w:p>
        </w:tc>
      </w:tr>
      <w:tr>
        <w:trPr>
          <w:cantSplit/>
        </w:trPr>
        <w:tc>
          <w:tcPr>
            <w:tcW w:w="8290" w:type="dxa"/>
            <w:tcBorders/>
            <w:vAlign w:val="center"/>
          </w:tcPr>
          <w:p>
            <w:pPr>
              <w:pStyle w:val="TableContents"/>
              <w:widowControl/>
              <w:bidi w:val="0"/>
              <w:spacing w:before="0" w:after="283"/>
              <w:rPr/>
            </w:pPr>
            <w:r>
              <w:rPr/>
              <w:t>Fassung: Mai 2026 — Version 3.0</w:t>
            </w:r>
          </w:p>
        </w:tc>
        <w:tc>
          <w:tcPr>
            <w:tcW w:w="7244" w:type="dxa"/>
            <w:tcBorders/>
            <w:vAlign w:val="center"/>
          </w:tcPr>
          <w:p>
            <w:pPr>
              <w:pStyle w:val="TableContents"/>
              <w:widowControl/>
              <w:bidi w:val="0"/>
              <w:spacing w:before="0" w:after="283"/>
              <w:rPr/>
            </w:pPr>
            <w:r>
              <w:rPr/>
              <w:t xml:space="preserve">Version May 2026 — Version 3.0 </w:t>
            </w:r>
          </w:p>
        </w:tc>
      </w:tr>
      <w:tr>
        <w:trPr>
          <w:cantSplit/>
        </w:trPr>
        <w:tc>
          <w:tcPr>
            <w:tcW w:w="8290" w:type="dxa"/>
            <w:tcBorders/>
            <w:vAlign w:val="center"/>
          </w:tcPr>
          <w:p>
            <w:pPr>
              <w:pStyle w:val="TableContents"/>
              <w:widowControl/>
              <w:bidi w:val="0"/>
              <w:spacing w:before="0" w:after="283"/>
              <w:rPr/>
            </w:pPr>
            <w:r>
              <w:rPr/>
              <w:t>Bezug: Haus C, Wohnung C-2.14 (2. Obergeschoss) nebst Kellerabteil K-C14, Balkon B-C14 und Tiefgaragenstellplatz TG-58</w:t>
            </w:r>
          </w:p>
        </w:tc>
        <w:tc>
          <w:tcPr>
            <w:tcW w:w="7244" w:type="dxa"/>
            <w:tcBorders/>
            <w:vAlign w:val="center"/>
          </w:tcPr>
          <w:p>
            <w:pPr>
              <w:pStyle w:val="TableContents"/>
              <w:widowControl/>
              <w:bidi w:val="0"/>
              <w:spacing w:before="0" w:after="283"/>
              <w:rPr/>
            </w:pPr>
            <w:r>
              <w:rPr/>
              <w:t xml:space="preserve">Reference: House C, apartment C-2.14 (2nd floor) with basement compartment K-C14, balcony B-C14 and underground parking space TG-58 </w:t>
            </w:r>
          </w:p>
        </w:tc>
      </w:tr>
      <w:tr>
        <w:trPr>
          <w:cantSplit/>
        </w:trPr>
        <w:tc>
          <w:tcPr>
            <w:tcW w:w="8290" w:type="dxa"/>
            <w:tcBorders/>
            <w:vAlign w:val="center"/>
          </w:tcPr>
          <w:p>
            <w:pPr>
              <w:pStyle w:val="Heading2"/>
              <w:keepNext/>
              <w:widowControl/>
              <w:bidi w:val="0"/>
              <w:spacing w:before="200" w:after="120"/>
              <w:ind w:hanging="0" w:start="0" w:end="0"/>
              <w:rPr/>
            </w:pPr>
            <w:bookmarkStart w:id="38" w:name="vorbemerkungen-zur-baubeschreibung"/>
            <w:bookmarkEnd w:id="38"/>
            <w:r>
              <w:rPr/>
              <w:t>Vorbemerkungen zur Baubeschreibung</w:t>
            </w:r>
          </w:p>
          <w:p>
            <w:pPr>
              <w:pStyle w:val="TableContents"/>
              <w:widowControl/>
              <w:bidi w:val="0"/>
              <w:spacing w:before="0" w:after="283"/>
              <w:rPr/>
            </w:pPr>
            <w:r>
              <w:rPr>
                <w:rStyle w:val="Strong"/>
              </w:rPr>
              <w:t>V.1</w:t>
            </w:r>
            <w:r>
              <w:rPr/>
              <w:t xml:space="preserve"> Diese Baubeschreibung soll mit dem Kaufvertrag beurkundet werden und beschreibt das Bausoll für die aufgeführten Gewerke. Wo sie konkrete Werte, Klassen oder Fabrikatsfamilien nennt, sind diese verbindlich; wo sie „gleichwertig” zulässt, ist die Gleichwertigkeit am genannten Kennwert zu messen. Unvollständige oder unklare Angaben werden nach § 5.5 des Vertrages ausgelegt.</w:t>
            </w:r>
          </w:p>
        </w:tc>
        <w:tc>
          <w:tcPr>
            <w:tcW w:w="7244" w:type="dxa"/>
            <w:tcBorders/>
            <w:vAlign w:val="center"/>
          </w:tcPr>
          <w:p>
            <w:pPr>
              <w:pStyle w:val="Heading2"/>
              <w:keepNext/>
              <w:widowControl/>
              <w:bidi w:val="0"/>
              <w:spacing w:before="200" w:after="120"/>
              <w:ind w:hanging="0" w:start="0" w:end="0"/>
              <w:rPr/>
            </w:pPr>
            <w:bookmarkStart w:id="39" w:name="preliminary-remarks-on-the-building-spec"/>
            <w:bookmarkEnd w:id="39"/>
            <w:r>
              <w:rPr/>
              <w:t xml:space="preserve">Preliminary remarks on the Building Specification </w:t>
            </w:r>
          </w:p>
          <w:p>
            <w:pPr>
              <w:pStyle w:val="TableContents"/>
              <w:widowControl/>
              <w:bidi w:val="0"/>
              <w:spacing w:before="0" w:after="283"/>
              <w:rPr/>
            </w:pPr>
            <w:r>
              <w:rPr>
                <w:rStyle w:val="Strong"/>
              </w:rPr>
              <w:t>V.1</w:t>
            </w:r>
            <w:r>
              <w:rPr/>
              <w:t xml:space="preserve"> This Building Specification is intended to be notarised together with the purchase contract and describes the contractual requirements for the listed trades. Specific values, classes and product families are binding; where an equivalent is permitted, equivalence must be assessed against the stated parameter. Incomplete or unclear descriptions are interpreted in accordance with section 5.5 of the contract.</w:t>
            </w:r>
          </w:p>
        </w:tc>
      </w:tr>
      <w:tr>
        <w:trPr>
          <w:cantSplit/>
        </w:trPr>
        <w:tc>
          <w:tcPr>
            <w:tcW w:w="8290" w:type="dxa"/>
            <w:tcBorders/>
            <w:vAlign w:val="center"/>
          </w:tcPr>
          <w:p>
            <w:pPr>
              <w:pStyle w:val="TableContents"/>
              <w:widowControl/>
              <w:bidi w:val="0"/>
              <w:spacing w:before="0" w:after="283"/>
              <w:rPr/>
            </w:pPr>
            <w:r>
              <w:rPr>
                <w:rStyle w:val="Strong"/>
              </w:rPr>
              <w:t>V.2</w:t>
            </w:r>
            <w:r>
              <w:rPr/>
              <w:t xml:space="preserve"> Benannte Fabrikate sind beispielhaft; der Verkäufer darf gleichwertige Produkte einsetzen, wenn der genannte Mindeststandard (Maß, Klasse, Kennwert) eingehalten wird. Ein Anspruch auf ein bestimmtes Fabrikat besteht nur, wenn es ausdrücklich als verbindlich bezeichnet ist.</w:t>
            </w:r>
          </w:p>
        </w:tc>
        <w:tc>
          <w:tcPr>
            <w:tcW w:w="7244" w:type="dxa"/>
            <w:tcBorders/>
            <w:vAlign w:val="center"/>
          </w:tcPr>
          <w:p>
            <w:pPr>
              <w:pStyle w:val="TableContents"/>
              <w:widowControl/>
              <w:bidi w:val="0"/>
              <w:spacing w:before="0" w:after="283"/>
              <w:rPr/>
            </w:pPr>
            <w:r>
              <w:rPr>
                <w:rStyle w:val="Strong"/>
              </w:rPr>
              <w:t>V.2</w:t>
            </w:r>
            <w:r>
              <w:rPr/>
              <w:t xml:space="preserve"> The named products are exemplary; the Seller may use equivalent products if the minimum standard mentioned (measurement, class, characteristic) is complied with. A claim to a particular make exists only if it is expressly designated as binding. </w:t>
            </w:r>
          </w:p>
        </w:tc>
      </w:tr>
      <w:tr>
        <w:trPr>
          <w:cantSplit/>
        </w:trPr>
        <w:tc>
          <w:tcPr>
            <w:tcW w:w="8290" w:type="dxa"/>
            <w:tcBorders/>
            <w:vAlign w:val="center"/>
          </w:tcPr>
          <w:p>
            <w:pPr>
              <w:pStyle w:val="TableContents"/>
              <w:widowControl/>
              <w:bidi w:val="0"/>
              <w:spacing w:before="0" w:after="283"/>
              <w:rPr/>
            </w:pPr>
            <w:r>
              <w:rPr>
                <w:rStyle w:val="Strong"/>
              </w:rPr>
              <w:t>V.3</w:t>
            </w:r>
            <w:r>
              <w:rPr/>
              <w:t xml:space="preserve"> Maßangaben in Plänen sind, soweit nicht als verbindlich bezeichnet, ca.-Angaben; geringfügige, bauphysikalisch oder statisch bedingte Verschiebungen von Schächten, Unterzügen und abgehängten Decken bleiben vorbehalten und sind kein Mangel, solange die genannten Kennwerte und die Nutzbarkeit erhalten bleiben.</w:t>
            </w:r>
          </w:p>
        </w:tc>
        <w:tc>
          <w:tcPr>
            <w:tcW w:w="7244" w:type="dxa"/>
            <w:tcBorders/>
            <w:vAlign w:val="center"/>
          </w:tcPr>
          <w:p>
            <w:pPr>
              <w:pStyle w:val="TableContents"/>
              <w:widowControl/>
              <w:bidi w:val="0"/>
              <w:spacing w:before="0" w:after="283"/>
              <w:rPr/>
            </w:pPr>
            <w:r>
              <w:rPr>
                <w:rStyle w:val="Strong"/>
              </w:rPr>
              <w:t>V.3</w:t>
            </w:r>
            <w:r>
              <w:rPr/>
              <w:t xml:space="preserve"> Dimensions in plans are approximate unless stated to be binding; minor shifts of shafts, downstand beams and suspended ceilings required for building-physics or structural reasons are reserved and do not constitute defects provided that the specified parameters and usability are maintained.</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40" w:name="allgemeines-konstruktion"/>
            <w:bookmarkEnd w:id="40"/>
            <w:r>
              <w:rPr/>
              <w:t>1 Allgemeines, Konstruktion</w:t>
            </w:r>
          </w:p>
          <w:p>
            <w:pPr>
              <w:pStyle w:val="TableContents"/>
              <w:widowControl/>
              <w:bidi w:val="0"/>
              <w:spacing w:before="0" w:after="283"/>
              <w:rPr/>
            </w:pPr>
            <w:r>
              <w:rPr>
                <w:rStyle w:val="Strong"/>
              </w:rPr>
              <w:t>1.1</w:t>
            </w:r>
            <w:r>
              <w:rPr/>
              <w:t xml:space="preserve"> Haus C wird in Massivbauweise (Stahlbeton/Mauerwerk) mit Flachdach errichtet. Die Wohnung C-2.14 liegt im 2. Obergeschoss.</w:t>
            </w:r>
          </w:p>
        </w:tc>
        <w:tc>
          <w:tcPr>
            <w:tcW w:w="7244" w:type="dxa"/>
            <w:tcBorders/>
            <w:vAlign w:val="center"/>
          </w:tcPr>
          <w:p>
            <w:pPr>
              <w:pStyle w:val="Heading1"/>
              <w:keepNext/>
              <w:widowControl/>
              <w:bidi w:val="0"/>
              <w:spacing w:before="240" w:after="283"/>
              <w:ind w:hanging="0" w:start="0" w:end="0"/>
              <w:rPr/>
            </w:pPr>
            <w:bookmarkStart w:id="41" w:name="general-construction"/>
            <w:bookmarkEnd w:id="41"/>
            <w:r>
              <w:rPr/>
              <w:t xml:space="preserve">1 General, construction </w:t>
            </w:r>
          </w:p>
          <w:p>
            <w:pPr>
              <w:pStyle w:val="TableContents"/>
              <w:widowControl/>
              <w:bidi w:val="0"/>
              <w:spacing w:before="0" w:after="283"/>
              <w:rPr/>
            </w:pPr>
            <w:r>
              <w:rPr>
                <w:rStyle w:val="Strong"/>
              </w:rPr>
              <w:t>1.1</w:t>
            </w:r>
            <w:r>
              <w:rPr/>
              <w:t xml:space="preserve"> House C shall be built in solid construction (reinforced concrete/masonry) with a flat roof. Apartment C-2.14 is on the second upper floor.</w:t>
            </w:r>
          </w:p>
        </w:tc>
      </w:tr>
      <w:tr>
        <w:trPr>
          <w:cantSplit/>
        </w:trPr>
        <w:tc>
          <w:tcPr>
            <w:tcW w:w="8290" w:type="dxa"/>
            <w:tcBorders/>
            <w:vAlign w:val="center"/>
          </w:tcPr>
          <w:p>
            <w:pPr>
              <w:pStyle w:val="TableContents"/>
              <w:widowControl/>
              <w:bidi w:val="0"/>
              <w:spacing w:before="0" w:after="283"/>
              <w:rPr/>
            </w:pPr>
            <w:r>
              <w:rPr>
                <w:rStyle w:val="Strong"/>
              </w:rPr>
              <w:t>1.2</w:t>
            </w:r>
            <w:r>
              <w:rPr/>
              <w:t xml:space="preserve"> Die Ausstattung entspricht der Linie „Marewald Komfort C”. Soweit einzelne Festlegungen offenbleiben, gilt der Auslegungsmaßstab nach Abschnitt V und § 5.5 des Vertrages.</w:t>
            </w:r>
          </w:p>
        </w:tc>
        <w:tc>
          <w:tcPr>
            <w:tcW w:w="7244" w:type="dxa"/>
            <w:tcBorders/>
            <w:vAlign w:val="center"/>
          </w:tcPr>
          <w:p>
            <w:pPr>
              <w:pStyle w:val="TableContents"/>
              <w:widowControl/>
              <w:bidi w:val="0"/>
              <w:spacing w:before="0" w:after="283"/>
              <w:rPr/>
            </w:pPr>
            <w:r>
              <w:rPr>
                <w:rStyle w:val="Strong"/>
              </w:rPr>
              <w:t>1.2</w:t>
            </w:r>
            <w:r>
              <w:rPr/>
              <w:t xml:space="preserve"> The equipment corresponds to the line “Marewald Komfort C”. Insofar as individual provisions remain open, the interpretation standard according to Section V and § 5.5 of the contract applies. </w:t>
            </w:r>
          </w:p>
        </w:tc>
      </w:tr>
      <w:tr>
        <w:trPr>
          <w:cantSplit/>
        </w:trPr>
        <w:tc>
          <w:tcPr>
            <w:tcW w:w="8290" w:type="dxa"/>
            <w:tcBorders/>
            <w:vAlign w:val="center"/>
          </w:tcPr>
          <w:p>
            <w:pPr>
              <w:pStyle w:val="Heading1"/>
              <w:keepNext/>
              <w:widowControl/>
              <w:bidi w:val="0"/>
              <w:spacing w:before="240" w:after="283"/>
              <w:ind w:hanging="0" w:start="0" w:end="0"/>
              <w:rPr/>
            </w:pPr>
            <w:bookmarkStart w:id="42" w:name="baugrund-gründung-abdichtung"/>
            <w:bookmarkEnd w:id="42"/>
            <w:r>
              <w:rPr/>
              <w:t>2 Baugrund, Gründung, Abdichtung</w:t>
            </w:r>
          </w:p>
          <w:p>
            <w:pPr>
              <w:pStyle w:val="TableContents"/>
              <w:widowControl/>
              <w:bidi w:val="0"/>
              <w:spacing w:before="0" w:after="283"/>
              <w:rPr/>
            </w:pPr>
            <w:r>
              <w:rPr>
                <w:rStyle w:val="Strong"/>
              </w:rPr>
              <w:t>2.1</w:t>
            </w:r>
            <w:r>
              <w:rPr/>
              <w:t xml:space="preserve"> Gründung und Abdichtung erfolgen nach dem geprüften Standsicherheitsnachweis und dem Abdichtungskonzept. Erdberührte Bauteile werden nach der einschlägigen Abdichtungsnorm gegen die nach Baugrundgutachten maßgebliche Wassereinwirkung abgedichtet (mindestens gegen Bodenfeuchte und nichtstauendes Sickerwasser; bei drückendem Wasser als wasserundurchlässige Konstruktion).</w:t>
            </w:r>
          </w:p>
        </w:tc>
        <w:tc>
          <w:tcPr>
            <w:tcW w:w="7244" w:type="dxa"/>
            <w:tcBorders/>
            <w:vAlign w:val="center"/>
          </w:tcPr>
          <w:p>
            <w:pPr>
              <w:pStyle w:val="Heading1"/>
              <w:keepNext/>
              <w:widowControl/>
              <w:bidi w:val="0"/>
              <w:spacing w:before="240" w:after="283"/>
              <w:ind w:hanging="0" w:start="0" w:end="0"/>
              <w:rPr/>
            </w:pPr>
            <w:bookmarkStart w:id="43" w:name="building-ground-foundation-sealing"/>
            <w:bookmarkEnd w:id="43"/>
            <w:r>
              <w:rPr/>
              <w:t xml:space="preserve">2 Building ground, foundation, sealing </w:t>
            </w:r>
          </w:p>
          <w:p>
            <w:pPr>
              <w:pStyle w:val="TableContents"/>
              <w:widowControl/>
              <w:bidi w:val="0"/>
              <w:spacing w:before="0" w:after="283"/>
              <w:rPr/>
            </w:pPr>
            <w:r>
              <w:rPr>
                <w:rStyle w:val="Strong"/>
              </w:rPr>
              <w:t>2.1</w:t>
            </w:r>
            <w:r>
              <w:rPr/>
              <w:t xml:space="preserve"> Foundations and waterproofing shall comply with the checked structural-stability calculations and waterproofing design. Components in contact with the ground shall be waterproofed under the applicable standard against the water exposure identified in the geotechnical report (at least ground moisture and non-accumulating seepage water; for water under hydrostatic pressure, as a watertight structure).</w:t>
            </w:r>
          </w:p>
        </w:tc>
      </w:tr>
      <w:tr>
        <w:trPr>
          <w:cantSplit/>
        </w:trPr>
        <w:tc>
          <w:tcPr>
            <w:tcW w:w="8290" w:type="dxa"/>
            <w:tcBorders/>
            <w:vAlign w:val="center"/>
          </w:tcPr>
          <w:p>
            <w:pPr>
              <w:pStyle w:val="Heading1"/>
              <w:keepNext/>
              <w:widowControl/>
              <w:bidi w:val="0"/>
              <w:spacing w:before="240" w:after="283"/>
              <w:ind w:hanging="0" w:start="0" w:end="0"/>
              <w:rPr/>
            </w:pPr>
            <w:bookmarkStart w:id="44" w:name="fassade-wärmedämmung"/>
            <w:bookmarkEnd w:id="44"/>
            <w:r>
              <w:rPr/>
              <w:t>3 Fassade, Wärmedämmung</w:t>
            </w:r>
          </w:p>
          <w:p>
            <w:pPr>
              <w:pStyle w:val="TableContents"/>
              <w:widowControl/>
              <w:bidi w:val="0"/>
              <w:spacing w:before="0" w:after="283"/>
              <w:rPr/>
            </w:pPr>
            <w:r>
              <w:rPr>
                <w:rStyle w:val="Strong"/>
              </w:rPr>
              <w:t>3.1</w:t>
            </w:r>
            <w:r>
              <w:rPr/>
              <w:t xml:space="preserve"> Die Außenwände erhalten ein Wärmedämmverbundsystem oder eine vorgehängte Fassade nach Fassadenkonzept Haus C. Der wärmeschutztechnische Standard entspricht mindestens den GEG-Anforderungen zum Bauantrag (§ 5.10 des Vertrages).</w:t>
            </w:r>
          </w:p>
        </w:tc>
        <w:tc>
          <w:tcPr>
            <w:tcW w:w="7244" w:type="dxa"/>
            <w:tcBorders/>
            <w:vAlign w:val="center"/>
          </w:tcPr>
          <w:p>
            <w:pPr>
              <w:pStyle w:val="Heading1"/>
              <w:keepNext/>
              <w:widowControl/>
              <w:bidi w:val="0"/>
              <w:spacing w:before="240" w:after="283"/>
              <w:ind w:hanging="0" w:start="0" w:end="0"/>
              <w:rPr/>
            </w:pPr>
            <w:bookmarkStart w:id="45" w:name="facade-thermal-insulation"/>
            <w:bookmarkEnd w:id="45"/>
            <w:r>
              <w:rPr/>
              <w:t xml:space="preserve">3 Facade, thermal insulation </w:t>
            </w:r>
          </w:p>
          <w:p>
            <w:pPr>
              <w:pStyle w:val="TableContents"/>
              <w:widowControl/>
              <w:bidi w:val="0"/>
              <w:spacing w:before="0" w:after="283"/>
              <w:rPr/>
            </w:pPr>
            <w:r>
              <w:rPr>
                <w:rStyle w:val="Strong"/>
              </w:rPr>
              <w:t>3.1</w:t>
            </w:r>
            <w:r>
              <w:rPr/>
              <w:t xml:space="preserve"> The outer walls receive a thermal insulation composite system or a suspended facade according to the facade concept House C. The thermal protection standard meets at least the GEG requirements for the building application (§ 5.10 of the contract). </w:t>
            </w:r>
          </w:p>
        </w:tc>
      </w:tr>
      <w:tr>
        <w:trPr>
          <w:cantSplit/>
        </w:trPr>
        <w:tc>
          <w:tcPr>
            <w:tcW w:w="8290" w:type="dxa"/>
            <w:tcBorders/>
            <w:vAlign w:val="center"/>
          </w:tcPr>
          <w:p>
            <w:pPr>
              <w:pStyle w:val="Heading1"/>
              <w:keepNext/>
              <w:widowControl/>
              <w:bidi w:val="0"/>
              <w:spacing w:before="240" w:after="283"/>
              <w:ind w:hanging="0" w:start="0" w:end="0"/>
              <w:rPr/>
            </w:pPr>
            <w:bookmarkStart w:id="46" w:name="fenster-außentüren"/>
            <w:bookmarkEnd w:id="46"/>
            <w:r>
              <w:rPr/>
              <w:t>4 Fenster, Außentüren</w:t>
            </w:r>
          </w:p>
          <w:p>
            <w:pPr>
              <w:pStyle w:val="TableContents"/>
              <w:widowControl/>
              <w:bidi w:val="0"/>
              <w:spacing w:before="0" w:after="283"/>
              <w:rPr/>
            </w:pPr>
            <w:r>
              <w:rPr>
                <w:rStyle w:val="Strong"/>
              </w:rPr>
              <w:t>4.1</w:t>
            </w:r>
            <w:r>
              <w:rPr/>
              <w:t xml:space="preserve"> Fenster der Wohnung C-2.14 werden als Kunststoff- oder Kunststoff-Aluminium-Fenster mit Dreischeiben-Isolierverglasung (Uw ≤ 1,0 W/(m²·K)) ausgeführt. Mindestens die Schlafraumfenster erhalten außenliegenden Sonnenschutz; Profil, Öffnungsart und Farbton bestimmt der Verkäufer im Rahmen des Fassadenkonzepts.</w:t>
            </w:r>
          </w:p>
        </w:tc>
        <w:tc>
          <w:tcPr>
            <w:tcW w:w="7244" w:type="dxa"/>
            <w:tcBorders/>
            <w:vAlign w:val="center"/>
          </w:tcPr>
          <w:p>
            <w:pPr>
              <w:pStyle w:val="Heading1"/>
              <w:keepNext/>
              <w:widowControl/>
              <w:bidi w:val="0"/>
              <w:spacing w:before="240" w:after="283"/>
              <w:ind w:hanging="0" w:start="0" w:end="0"/>
              <w:rPr/>
            </w:pPr>
            <w:bookmarkStart w:id="47" w:name="windows-exterior-doors"/>
            <w:bookmarkEnd w:id="47"/>
            <w:r>
              <w:rPr/>
              <w:t xml:space="preserve">4 windows, exterior doors </w:t>
            </w:r>
          </w:p>
          <w:p>
            <w:pPr>
              <w:pStyle w:val="TableContents"/>
              <w:widowControl/>
              <w:bidi w:val="0"/>
              <w:spacing w:before="0" w:after="283"/>
              <w:rPr/>
            </w:pPr>
            <w:r>
              <w:rPr>
                <w:rStyle w:val="Strong"/>
              </w:rPr>
              <w:t>4.1</w:t>
            </w:r>
            <w:r>
              <w:rPr/>
              <w:t xml:space="preserve"> Windows of apartment C-2.14 are designed as plastic or plastic aluminum windows with three-pane insulating glazing (Uw ≤ 1.0 W/(m2·K)). At least the bedroom windows shall be provided with external sun protection; Profile, opening type and colour shade are determined by the Seller within the framework of the facade concept. </w:t>
            </w:r>
          </w:p>
        </w:tc>
      </w:tr>
      <w:tr>
        <w:trPr>
          <w:cantSplit/>
        </w:trPr>
        <w:tc>
          <w:tcPr>
            <w:tcW w:w="8290" w:type="dxa"/>
            <w:tcBorders/>
            <w:vAlign w:val="center"/>
          </w:tcPr>
          <w:p>
            <w:pPr>
              <w:pStyle w:val="Heading1"/>
              <w:keepNext/>
              <w:widowControl/>
              <w:bidi w:val="0"/>
              <w:spacing w:before="240" w:after="283"/>
              <w:ind w:hanging="0" w:start="0" w:end="0"/>
              <w:rPr/>
            </w:pPr>
            <w:bookmarkStart w:id="48" w:name="innenwände-putz-estrich"/>
            <w:bookmarkEnd w:id="48"/>
            <w:r>
              <w:rPr/>
              <w:t>5 Innenwände, Putz, Estrich</w:t>
            </w:r>
          </w:p>
          <w:p>
            <w:pPr>
              <w:pStyle w:val="TableContents"/>
              <w:widowControl/>
              <w:bidi w:val="0"/>
              <w:spacing w:before="0" w:after="283"/>
              <w:rPr/>
            </w:pPr>
            <w:r>
              <w:rPr>
                <w:rStyle w:val="Strong"/>
              </w:rPr>
              <w:t>5.1</w:t>
            </w:r>
            <w:r>
              <w:rPr/>
              <w:t xml:space="preserve"> Wohnungstrennwände und Wände zum Treppenhaus werden nach Schallschutzanforderung (Abschnitt 11) ausgeführt. Innenwände werden verputzt oder in Trockenbau hergestellt und malerfertig vorbereitet; ein Anstrich der Wohnräume ist nicht enthalten. In den Wohnräumen wird ein schwimmender Estrich auf Trittschalldämmung eingebracht.</w:t>
            </w:r>
          </w:p>
        </w:tc>
        <w:tc>
          <w:tcPr>
            <w:tcW w:w="7244" w:type="dxa"/>
            <w:tcBorders/>
            <w:vAlign w:val="center"/>
          </w:tcPr>
          <w:p>
            <w:pPr>
              <w:pStyle w:val="Heading1"/>
              <w:keepNext/>
              <w:widowControl/>
              <w:bidi w:val="0"/>
              <w:spacing w:before="240" w:after="283"/>
              <w:ind w:hanging="0" w:start="0" w:end="0"/>
              <w:rPr/>
            </w:pPr>
            <w:bookmarkStart w:id="49" w:name="interior-walls-plaster-screed"/>
            <w:bookmarkEnd w:id="49"/>
            <w:r>
              <w:rPr/>
              <w:t xml:space="preserve">5 Interior walls, plaster, screed </w:t>
            </w:r>
          </w:p>
          <w:p>
            <w:pPr>
              <w:pStyle w:val="TableContents"/>
              <w:widowControl/>
              <w:bidi w:val="0"/>
              <w:spacing w:before="0" w:after="283"/>
              <w:rPr/>
            </w:pPr>
            <w:r>
              <w:rPr>
                <w:rStyle w:val="Strong"/>
              </w:rPr>
              <w:t>5.1</w:t>
            </w:r>
            <w:r>
              <w:rPr/>
              <w:t xml:space="preserve"> Walls separating apartments and walls adjoining stairwells shall meet the sound-insulation requirements in section 11. Internal walls shall be plastered or constructed as drywall and prepared ready for painting; painting of the living areas is not included. A floating screed over impact-sound insulation shall be installed in living rooms.</w:t>
            </w:r>
          </w:p>
        </w:tc>
      </w:tr>
      <w:tr>
        <w:trPr>
          <w:cantSplit/>
        </w:trPr>
        <w:tc>
          <w:tcPr>
            <w:tcW w:w="8290" w:type="dxa"/>
            <w:tcBorders/>
            <w:vAlign w:val="center"/>
          </w:tcPr>
          <w:p>
            <w:pPr>
              <w:pStyle w:val="Heading1"/>
              <w:keepNext/>
              <w:widowControl/>
              <w:bidi w:val="0"/>
              <w:spacing w:before="240" w:after="283"/>
              <w:ind w:hanging="0" w:start="0" w:end="0"/>
              <w:rPr/>
            </w:pPr>
            <w:bookmarkStart w:id="50" w:name="bodenbeläge-fliesen"/>
            <w:bookmarkEnd w:id="50"/>
            <w:r>
              <w:rPr/>
              <w:t>6 Bodenbeläge, Fliesen</w:t>
            </w:r>
          </w:p>
          <w:p>
            <w:pPr>
              <w:pStyle w:val="TableContents"/>
              <w:widowControl/>
              <w:bidi w:val="0"/>
              <w:spacing w:before="0" w:after="283"/>
              <w:rPr/>
            </w:pPr>
            <w:r>
              <w:rPr>
                <w:rStyle w:val="Strong"/>
              </w:rPr>
              <w:t>6.1</w:t>
            </w:r>
            <w:r>
              <w:rPr/>
              <w:t xml:space="preserve"> Wohn- und Schlafräume erhalten Mehrschicht-Parkett oder Design-Vinyl der Serie MK-Boden (Nutzungsklasse mindestens 23/31). Bad und Gäste-WC erhalten Feinsteinzeugfliesen der Serie MK-Bad (Formate 30 × 60 cm oder 60 × 60 cm). Die Auswahl erfolgt in der Bemusterung aus diesen Serien.</w:t>
            </w:r>
          </w:p>
        </w:tc>
        <w:tc>
          <w:tcPr>
            <w:tcW w:w="7244" w:type="dxa"/>
            <w:tcBorders/>
            <w:vAlign w:val="center"/>
          </w:tcPr>
          <w:p>
            <w:pPr>
              <w:pStyle w:val="Heading1"/>
              <w:keepNext/>
              <w:widowControl/>
              <w:bidi w:val="0"/>
              <w:spacing w:before="240" w:after="283"/>
              <w:ind w:hanging="0" w:start="0" w:end="0"/>
              <w:rPr/>
            </w:pPr>
            <w:bookmarkStart w:id="51" w:name="floor-coverings-tiles"/>
            <w:bookmarkEnd w:id="51"/>
            <w:r>
              <w:rPr/>
              <w:t xml:space="preserve">6 Floor coverings, tiles </w:t>
            </w:r>
          </w:p>
          <w:p>
            <w:pPr>
              <w:pStyle w:val="TableContents"/>
              <w:widowControl/>
              <w:bidi w:val="0"/>
              <w:spacing w:before="0" w:after="283"/>
              <w:rPr/>
            </w:pPr>
            <w:r>
              <w:rPr>
                <w:rStyle w:val="Strong"/>
              </w:rPr>
              <w:t>6.1</w:t>
            </w:r>
            <w:r>
              <w:rPr/>
              <w:t xml:space="preserve"> Living rooms and bedrooms shall receive engineered parquet or design vinyl from the MK-Boden range (use class at least 23/31). Bathrooms and guest WCs shall receive porcelain stoneware tiles from the MK-Bad range (30 × 60 cm or 60 × 60 cm). Selections are made from these ranges during the finishes-selection appointment.</w:t>
            </w:r>
          </w:p>
        </w:tc>
      </w:tr>
      <w:tr>
        <w:trPr>
          <w:cantSplit/>
        </w:trPr>
        <w:tc>
          <w:tcPr>
            <w:tcW w:w="8290" w:type="dxa"/>
            <w:tcBorders/>
            <w:vAlign w:val="center"/>
          </w:tcPr>
          <w:p>
            <w:pPr>
              <w:pStyle w:val="Heading1"/>
              <w:keepNext/>
              <w:widowControl/>
              <w:bidi w:val="0"/>
              <w:spacing w:before="240" w:after="283"/>
              <w:ind w:hanging="0" w:start="0" w:end="0"/>
              <w:rPr/>
            </w:pPr>
            <w:bookmarkStart w:id="52" w:name="innentüren-wohnungseingangstür"/>
            <w:bookmarkEnd w:id="52"/>
            <w:r>
              <w:rPr/>
              <w:t>7 Innentüren, Wohnungseingangstür</w:t>
            </w:r>
          </w:p>
          <w:p>
            <w:pPr>
              <w:pStyle w:val="TableContents"/>
              <w:widowControl/>
              <w:bidi w:val="0"/>
              <w:spacing w:before="0" w:after="283"/>
              <w:rPr/>
            </w:pPr>
            <w:r>
              <w:rPr>
                <w:rStyle w:val="Strong"/>
              </w:rPr>
              <w:t>7.1</w:t>
            </w:r>
            <w:r>
              <w:rPr/>
              <w:t xml:space="preserve"> Innentüren als glatte Zimmertüren (CPL- oder Lackoberfläche). Die Wohnungseingangstür wird als einbruchhemmende Tür mindestens der Widerstandsklasse RC 2 mit Mehrfachverriegelung und Spion ausgeführt.</w:t>
            </w:r>
          </w:p>
        </w:tc>
        <w:tc>
          <w:tcPr>
            <w:tcW w:w="7244" w:type="dxa"/>
            <w:tcBorders/>
            <w:vAlign w:val="center"/>
          </w:tcPr>
          <w:p>
            <w:pPr>
              <w:pStyle w:val="Heading1"/>
              <w:keepNext/>
              <w:widowControl/>
              <w:bidi w:val="0"/>
              <w:spacing w:before="240" w:after="283"/>
              <w:ind w:hanging="0" w:start="0" w:end="0"/>
              <w:rPr/>
            </w:pPr>
            <w:bookmarkStart w:id="53" w:name="interior-doors-apartment-entrance-door"/>
            <w:bookmarkEnd w:id="53"/>
            <w:r>
              <w:rPr/>
              <w:t xml:space="preserve">7 Interior doors, apartment entrance door </w:t>
            </w:r>
          </w:p>
          <w:p>
            <w:pPr>
              <w:pStyle w:val="TableContents"/>
              <w:widowControl/>
              <w:bidi w:val="0"/>
              <w:spacing w:before="0" w:after="283"/>
              <w:rPr/>
            </w:pPr>
            <w:r>
              <w:rPr>
                <w:rStyle w:val="Strong"/>
              </w:rPr>
              <w:t>7.1</w:t>
            </w:r>
            <w:r>
              <w:rPr/>
              <w:t xml:space="preserve"> Internal doors shall be flush doors with CPL or painted finishes. The apartment entrance door shall be burglary-resistant to at least resistance class RC 2, with multipoint locking and a peephole.</w:t>
            </w:r>
          </w:p>
        </w:tc>
      </w:tr>
      <w:tr>
        <w:trPr>
          <w:cantSplit/>
        </w:trPr>
        <w:tc>
          <w:tcPr>
            <w:tcW w:w="8290" w:type="dxa"/>
            <w:tcBorders/>
            <w:vAlign w:val="center"/>
          </w:tcPr>
          <w:p>
            <w:pPr>
              <w:pStyle w:val="Heading1"/>
              <w:keepNext/>
              <w:widowControl/>
              <w:bidi w:val="0"/>
              <w:spacing w:before="240" w:after="283"/>
              <w:ind w:hanging="0" w:start="0" w:end="0"/>
              <w:rPr/>
            </w:pPr>
            <w:bookmarkStart w:id="54" w:name="sanitär-heizung-lüftung"/>
            <w:bookmarkEnd w:id="54"/>
            <w:r>
              <w:rPr/>
              <w:t>8 Sanitär, Heizung, Lüftung</w:t>
            </w:r>
          </w:p>
          <w:p>
            <w:pPr>
              <w:pStyle w:val="TableContents"/>
              <w:widowControl/>
              <w:bidi w:val="0"/>
              <w:spacing w:before="0" w:after="283"/>
              <w:rPr/>
            </w:pPr>
            <w:r>
              <w:rPr>
                <w:rStyle w:val="Strong"/>
              </w:rPr>
              <w:t>8.1</w:t>
            </w:r>
            <w:r>
              <w:rPr/>
              <w:t xml:space="preserve"> Bad und Gäste-WC werden mit weißen Sanitärobjekten der Serie MK-Sanitär (Waschtisch, Wand-WC, bodengleiche Dusche, in C-2.14 zusätzlich Badewanne nach Ausführungsplan) und verchromten Einhebelmischern ausgestattet.</w:t>
            </w:r>
          </w:p>
        </w:tc>
        <w:tc>
          <w:tcPr>
            <w:tcW w:w="7244" w:type="dxa"/>
            <w:tcBorders/>
            <w:vAlign w:val="center"/>
          </w:tcPr>
          <w:p>
            <w:pPr>
              <w:pStyle w:val="Heading1"/>
              <w:keepNext/>
              <w:widowControl/>
              <w:bidi w:val="0"/>
              <w:spacing w:before="240" w:after="283"/>
              <w:ind w:hanging="0" w:start="0" w:end="0"/>
              <w:rPr/>
            </w:pPr>
            <w:bookmarkStart w:id="55" w:name="sanitary-heating-ventilation"/>
            <w:bookmarkEnd w:id="55"/>
            <w:r>
              <w:rPr/>
              <w:t xml:space="preserve">8 Sanitary, heating, ventilation </w:t>
            </w:r>
          </w:p>
          <w:p>
            <w:pPr>
              <w:pStyle w:val="TableContents"/>
              <w:widowControl/>
              <w:bidi w:val="0"/>
              <w:spacing w:before="0" w:after="283"/>
              <w:rPr/>
            </w:pPr>
            <w:r>
              <w:rPr>
                <w:rStyle w:val="Strong"/>
              </w:rPr>
              <w:t>8.1</w:t>
            </w:r>
            <w:r>
              <w:rPr/>
              <w:t xml:space="preserve"> Bathrooms and guest WCs shall have white sanitary fixtures from the MK-Sanitär range (washbasin, wall-hung WC, level-access shower and, in C-2.14, an additional bathtub as shown in the detailed construction plan), with chrome-plated single-lever mixer taps.</w:t>
            </w:r>
          </w:p>
        </w:tc>
      </w:tr>
      <w:tr>
        <w:trPr>
          <w:cantSplit/>
        </w:trPr>
        <w:tc>
          <w:tcPr>
            <w:tcW w:w="8290" w:type="dxa"/>
            <w:tcBorders/>
            <w:vAlign w:val="center"/>
          </w:tcPr>
          <w:p>
            <w:pPr>
              <w:pStyle w:val="TableContents"/>
              <w:widowControl/>
              <w:bidi w:val="0"/>
              <w:spacing w:before="0" w:after="283"/>
              <w:rPr/>
            </w:pPr>
            <w:r>
              <w:rPr>
                <w:rStyle w:val="Strong"/>
              </w:rPr>
              <w:t>8.2</w:t>
            </w:r>
            <w:r>
              <w:rPr/>
              <w:t xml:space="preserve"> Beheizung und Warmwasser erfolgen über die zentrale Quartiersversorgung (Wärmepumpe mit Spitzenlastkessel) und Fußbodenheizung in allen Aufenthaltsräumen. Innenliegende Bäder erhalten eine mechanische Entlüftung; eine bestimmte kontrollierte Wohnraumlüftung mit Wärmerückgewinnung wird nur geschuldet, soweit der GEG-Nachweis sie erfordert.</w:t>
            </w:r>
          </w:p>
        </w:tc>
        <w:tc>
          <w:tcPr>
            <w:tcW w:w="7244" w:type="dxa"/>
            <w:tcBorders/>
            <w:vAlign w:val="center"/>
          </w:tcPr>
          <w:p>
            <w:pPr>
              <w:pStyle w:val="TableContents"/>
              <w:widowControl/>
              <w:bidi w:val="0"/>
              <w:spacing w:before="0" w:after="283"/>
              <w:rPr/>
            </w:pPr>
            <w:r>
              <w:rPr>
                <w:rStyle w:val="Strong"/>
              </w:rPr>
              <w:t>8.2</w:t>
            </w:r>
            <w:r>
              <w:rPr/>
              <w:t xml:space="preserve"> Heating and hot water shall be supplied by the central district system (heat pump with peak-load boiler), with underfloor heating in all habitable rooms. Internal bathrooms shall have mechanical extract ventilation; a specific controlled residential ventilation system with heat recovery is owed only insofar as required by the GEG compliance calculation.</w:t>
            </w:r>
          </w:p>
        </w:tc>
      </w:tr>
      <w:tr>
        <w:trPr>
          <w:cantSplit/>
        </w:trPr>
        <w:tc>
          <w:tcPr>
            <w:tcW w:w="8290" w:type="dxa"/>
            <w:tcBorders/>
            <w:vAlign w:val="center"/>
          </w:tcPr>
          <w:p>
            <w:pPr>
              <w:pStyle w:val="Heading1"/>
              <w:keepNext/>
              <w:widowControl/>
              <w:bidi w:val="0"/>
              <w:spacing w:before="240" w:after="283"/>
              <w:ind w:hanging="0" w:start="0" w:end="0"/>
              <w:rPr/>
            </w:pPr>
            <w:bookmarkStart w:id="56" w:name="elektro-medien"/>
            <w:bookmarkEnd w:id="56"/>
            <w:r>
              <w:rPr/>
              <w:t>9 Elektro, Medien</w:t>
            </w:r>
          </w:p>
          <w:p>
            <w:pPr>
              <w:pStyle w:val="TableContents"/>
              <w:widowControl/>
              <w:bidi w:val="0"/>
              <w:spacing w:before="0" w:after="283"/>
              <w:rPr/>
            </w:pPr>
            <w:r>
              <w:rPr>
                <w:rStyle w:val="Strong"/>
              </w:rPr>
              <w:t>9.1</w:t>
            </w:r>
            <w:r>
              <w:rPr/>
              <w:t xml:space="preserve"> Die Elektroinstallation entspricht mindestens der Ausstattungsklasse 2 nach DIN 18015-2. Die Wohnung erhält einen Multimedia-Anschluss im Wohnbereich; eine bestimmte Bandbreite oder ein bestimmter Anbieter wird nicht geschuldet. Zusätzliche Elektropunkte sind Sonderwunsch.</w:t>
            </w:r>
          </w:p>
        </w:tc>
        <w:tc>
          <w:tcPr>
            <w:tcW w:w="7244" w:type="dxa"/>
            <w:tcBorders/>
            <w:vAlign w:val="center"/>
          </w:tcPr>
          <w:p>
            <w:pPr>
              <w:pStyle w:val="Heading1"/>
              <w:keepNext/>
              <w:widowControl/>
              <w:bidi w:val="0"/>
              <w:spacing w:before="240" w:after="283"/>
              <w:ind w:hanging="0" w:start="0" w:end="0"/>
              <w:rPr/>
            </w:pPr>
            <w:bookmarkStart w:id="57" w:name="electric-media"/>
            <w:bookmarkEnd w:id="57"/>
            <w:r>
              <w:rPr/>
              <w:t xml:space="preserve">9 Electric, Media </w:t>
            </w:r>
          </w:p>
          <w:p>
            <w:pPr>
              <w:pStyle w:val="TableContents"/>
              <w:widowControl/>
              <w:bidi w:val="0"/>
              <w:spacing w:before="0" w:after="283"/>
              <w:rPr/>
            </w:pPr>
            <w:r>
              <w:rPr>
                <w:rStyle w:val="Strong"/>
              </w:rPr>
              <w:t>9.1</w:t>
            </w:r>
            <w:r>
              <w:rPr/>
              <w:t xml:space="preserve"> The electrical installation corresponds at least to equipment class 2 according to DIN 18015-2. The apartment receives a multimedia connection in the living area; a certain bandwidth or a certain provider is not owed. Additional electric points are special request. </w:t>
            </w:r>
          </w:p>
        </w:tc>
      </w:tr>
      <w:tr>
        <w:trPr>
          <w:cantSplit/>
        </w:trPr>
        <w:tc>
          <w:tcPr>
            <w:tcW w:w="8290" w:type="dxa"/>
            <w:tcBorders/>
            <w:vAlign w:val="center"/>
          </w:tcPr>
          <w:p>
            <w:pPr>
              <w:pStyle w:val="Heading1"/>
              <w:keepNext/>
              <w:widowControl/>
              <w:bidi w:val="0"/>
              <w:spacing w:before="240" w:after="283"/>
              <w:ind w:hanging="0" w:start="0" w:end="0"/>
              <w:rPr/>
            </w:pPr>
            <w:bookmarkStart w:id="58" w:name="tiefgarage-stellplatz"/>
            <w:bookmarkEnd w:id="58"/>
            <w:r>
              <w:rPr/>
              <w:t>10 Tiefgarage, Stellplatz</w:t>
            </w:r>
          </w:p>
          <w:p>
            <w:pPr>
              <w:pStyle w:val="TableContents"/>
              <w:widowControl/>
              <w:bidi w:val="0"/>
              <w:spacing w:before="0" w:after="283"/>
              <w:rPr/>
            </w:pPr>
            <w:r>
              <w:rPr>
                <w:rStyle w:val="Strong"/>
              </w:rPr>
              <w:t>10.1</w:t>
            </w:r>
            <w:r>
              <w:rPr/>
              <w:t xml:space="preserve"> Die Tiefgarage wird in Stahlbeton mit maschineller Be- und Entlüftung, Bodenbeschichtung, Entwässerung und der nach Brandschutzkonzept erforderlichen Ausstattung hergestellt. Der Stellplatz TG-58 hält mindestens die bauordnungsrechtlich erforderlichen Mindestmaße ein.</w:t>
            </w:r>
          </w:p>
        </w:tc>
        <w:tc>
          <w:tcPr>
            <w:tcW w:w="7244" w:type="dxa"/>
            <w:tcBorders/>
            <w:vAlign w:val="center"/>
          </w:tcPr>
          <w:p>
            <w:pPr>
              <w:pStyle w:val="Heading1"/>
              <w:keepNext/>
              <w:widowControl/>
              <w:bidi w:val="0"/>
              <w:spacing w:before="240" w:after="283"/>
              <w:ind w:hanging="0" w:start="0" w:end="0"/>
              <w:rPr/>
            </w:pPr>
            <w:bookmarkStart w:id="59" w:name="underground-parking-space"/>
            <w:bookmarkEnd w:id="59"/>
            <w:r>
              <w:rPr/>
              <w:t xml:space="preserve">10 underground parking space </w:t>
            </w:r>
          </w:p>
          <w:p>
            <w:pPr>
              <w:pStyle w:val="TableContents"/>
              <w:widowControl/>
              <w:bidi w:val="0"/>
              <w:spacing w:before="0" w:after="283"/>
              <w:rPr/>
            </w:pPr>
            <w:r>
              <w:rPr>
                <w:rStyle w:val="Strong"/>
              </w:rPr>
              <w:t>10.1</w:t>
            </w:r>
            <w:r>
              <w:rPr/>
              <w:t xml:space="preserve"> The underground garage is produced in reinforced concrete with mechanical ventilation, floor coating, drainage and the equipment required according to the fire protection concept. The parking space TG-58 meets at least the minimum dimensions required by building code law. </w:t>
            </w:r>
          </w:p>
        </w:tc>
      </w:tr>
      <w:tr>
        <w:trPr>
          <w:cantSplit/>
        </w:trPr>
        <w:tc>
          <w:tcPr>
            <w:tcW w:w="8290" w:type="dxa"/>
            <w:tcBorders/>
            <w:vAlign w:val="center"/>
          </w:tcPr>
          <w:p>
            <w:pPr>
              <w:pStyle w:val="Heading1"/>
              <w:keepNext/>
              <w:widowControl/>
              <w:bidi w:val="0"/>
              <w:spacing w:before="240" w:after="283"/>
              <w:ind w:hanging="0" w:start="0" w:end="0"/>
              <w:rPr/>
            </w:pPr>
            <w:bookmarkStart w:id="60" w:name="schallschutz-verbindliche-mindestwerte"/>
            <w:bookmarkEnd w:id="60"/>
            <w:r>
              <w:rPr/>
              <w:t>11 Schallschutz (verbindliche Mindestwerte)</w:t>
            </w:r>
          </w:p>
          <w:p>
            <w:pPr>
              <w:pStyle w:val="TableContents"/>
              <w:widowControl/>
              <w:bidi w:val="0"/>
              <w:spacing w:before="0" w:after="283"/>
              <w:rPr/>
            </w:pPr>
            <w:r>
              <w:rPr>
                <w:rStyle w:val="Strong"/>
              </w:rPr>
              <w:t>11.1</w:t>
            </w:r>
            <w:r>
              <w:rPr/>
              <w:t xml:space="preserve"> Geschuldet ist mindestens der Schallschutz nach DIN 4109-1 mit folgenden verbindlichen Mindest-Kennwerten für die Wohnung C-2.14:</w:t>
            </w:r>
          </w:p>
        </w:tc>
        <w:tc>
          <w:tcPr>
            <w:tcW w:w="7244" w:type="dxa"/>
            <w:tcBorders/>
            <w:vAlign w:val="center"/>
          </w:tcPr>
          <w:p>
            <w:pPr>
              <w:pStyle w:val="Heading1"/>
              <w:keepNext/>
              <w:widowControl/>
              <w:bidi w:val="0"/>
              <w:spacing w:before="240" w:after="283"/>
              <w:ind w:hanging="0" w:start="0" w:end="0"/>
              <w:rPr/>
            </w:pPr>
            <w:bookmarkStart w:id="61" w:name="soundproofing-mandatory-minimum-values"/>
            <w:bookmarkEnd w:id="61"/>
            <w:r>
              <w:rPr/>
              <w:t xml:space="preserve">11 Soundproofing (mandatory minimum values) </w:t>
            </w:r>
          </w:p>
          <w:p>
            <w:pPr>
              <w:pStyle w:val="TableContents"/>
              <w:widowControl/>
              <w:bidi w:val="0"/>
              <w:spacing w:before="0" w:after="283"/>
              <w:rPr/>
            </w:pPr>
            <w:r>
              <w:rPr>
                <w:rStyle w:val="Strong"/>
              </w:rPr>
              <w:t>11.1</w:t>
            </w:r>
            <w:r>
              <w:rPr/>
              <w:t xml:space="preserve"> At least the noise protection according to DIN 4109-1 with the following mandatory minimum parameters for the apartment C-2.14 is owed: </w:t>
            </w:r>
          </w:p>
        </w:tc>
      </w:tr>
      <w:tr>
        <w:trPr>
          <w:cantSplit/>
        </w:trPr>
        <w:tc>
          <w:tcPr>
            <w:tcW w:w="8290" w:type="dxa"/>
            <w:tcBorders/>
            <w:vAlign w:val="center"/>
          </w:tcPr>
          <w:p>
            <w:pPr>
              <w:pStyle w:val="TableContents"/>
              <w:widowControl/>
              <w:numPr>
                <w:ilvl w:val="0"/>
                <w:numId w:val="10"/>
              </w:numPr>
              <w:tabs>
                <w:tab w:val="clear" w:pos="1134"/>
                <w:tab w:val="left" w:pos="709" w:leader="none"/>
              </w:tabs>
              <w:bidi w:val="0"/>
              <w:spacing w:before="0" w:after="0"/>
              <w:ind w:hanging="283" w:start="709"/>
              <w:rPr/>
            </w:pPr>
            <w:r>
              <w:rPr/>
              <w:t xml:space="preserve">Luftschalldämmung gegenüber fremden Wohnungen und dem Treppenhaus: bewertetes Bau-Schalldämm-Maß R′w ≥ 54 dB; </w:t>
            </w:r>
          </w:p>
          <w:p>
            <w:pPr>
              <w:pStyle w:val="TableContents"/>
              <w:widowControl/>
              <w:numPr>
                <w:ilvl w:val="0"/>
                <w:numId w:val="10"/>
              </w:numPr>
              <w:tabs>
                <w:tab w:val="clear" w:pos="1134"/>
                <w:tab w:val="left" w:pos="709" w:leader="none"/>
              </w:tabs>
              <w:bidi w:val="0"/>
              <w:spacing w:before="0" w:after="0"/>
              <w:ind w:hanging="283" w:start="709"/>
              <w:rPr/>
            </w:pPr>
            <w:r>
              <w:rPr/>
              <w:t xml:space="preserve">Trittschallschutz von fremden Wohnungen/Treppenhaus: bewerteter Norm-Trittschallpegel L′n,w ≤ 50 dB; </w:t>
            </w:r>
          </w:p>
          <w:p>
            <w:pPr>
              <w:pStyle w:val="TableContents"/>
              <w:widowControl/>
              <w:numPr>
                <w:ilvl w:val="0"/>
                <w:numId w:val="10"/>
              </w:numPr>
              <w:tabs>
                <w:tab w:val="clear" w:pos="1134"/>
                <w:tab w:val="left" w:pos="709" w:leader="none"/>
              </w:tabs>
              <w:bidi w:val="0"/>
              <w:spacing w:before="0" w:after="283"/>
              <w:ind w:hanging="283" w:start="709"/>
              <w:rPr/>
            </w:pPr>
            <w:r>
              <w:rPr/>
              <w:t xml:space="preserve">Schallschutz gegenüber haustechnischen Anlagen (Aufzug, Lüftung, Wasserinstallation): nach DIN 4109-1. </w:t>
            </w:r>
          </w:p>
        </w:tc>
        <w:tc>
          <w:tcPr>
            <w:tcW w:w="7244" w:type="dxa"/>
            <w:tcBorders/>
            <w:vAlign w:val="center"/>
          </w:tcPr>
          <w:p>
            <w:pPr>
              <w:pStyle w:val="TableContents"/>
              <w:widowControl/>
              <w:numPr>
                <w:ilvl w:val="0"/>
                <w:numId w:val="11"/>
              </w:numPr>
              <w:tabs>
                <w:tab w:val="clear" w:pos="1134"/>
                <w:tab w:val="left" w:pos="709" w:leader="none"/>
              </w:tabs>
              <w:bidi w:val="0"/>
              <w:spacing w:before="0" w:after="0"/>
              <w:ind w:hanging="283" w:start="709"/>
              <w:rPr/>
            </w:pPr>
            <w:r>
              <w:rPr/>
              <w:t>Airborne sound insulation from other apartments and the stairwell: weighted apparent sound reduction index R′w ≥ 54 dB;</w:t>
            </w:r>
          </w:p>
          <w:p>
            <w:pPr>
              <w:pStyle w:val="TableContents"/>
              <w:widowControl/>
              <w:numPr>
                <w:ilvl w:val="0"/>
                <w:numId w:val="11"/>
              </w:numPr>
              <w:tabs>
                <w:tab w:val="clear" w:pos="1134"/>
                <w:tab w:val="left" w:pos="709" w:leader="none"/>
              </w:tabs>
              <w:bidi w:val="0"/>
              <w:spacing w:before="0" w:after="0"/>
              <w:ind w:hanging="283" w:start="709"/>
              <w:rPr/>
            </w:pPr>
            <w:r>
              <w:rPr/>
              <w:t>Impact sound insulation from other apartments/the stairwell: weighted normalised impact sound pressure level L′n,w ≤ 50 dB;</w:t>
            </w:r>
          </w:p>
          <w:p>
            <w:pPr>
              <w:pStyle w:val="TableContents"/>
              <w:widowControl/>
              <w:numPr>
                <w:ilvl w:val="0"/>
                <w:numId w:val="11"/>
              </w:numPr>
              <w:tabs>
                <w:tab w:val="clear" w:pos="1134"/>
                <w:tab w:val="left" w:pos="709" w:leader="none"/>
              </w:tabs>
              <w:bidi w:val="0"/>
              <w:spacing w:before="0" w:after="283"/>
              <w:ind w:hanging="283" w:start="709"/>
              <w:rPr/>
            </w:pPr>
            <w:r>
              <w:rPr/>
              <w:t>Sound insulation from building-services installations (lift, ventilation, water installation): in accordance with DIN 4109-1.</w:t>
            </w:r>
          </w:p>
        </w:tc>
      </w:tr>
      <w:tr>
        <w:trPr>
          <w:cantSplit/>
        </w:trPr>
        <w:tc>
          <w:tcPr>
            <w:tcW w:w="8290" w:type="dxa"/>
            <w:tcBorders/>
            <w:vAlign w:val="center"/>
          </w:tcPr>
          <w:p>
            <w:pPr>
              <w:pStyle w:val="TableContents"/>
              <w:widowControl/>
              <w:bidi w:val="0"/>
              <w:spacing w:before="0" w:after="283"/>
              <w:rPr/>
            </w:pPr>
            <w:r>
              <w:rPr>
                <w:rStyle w:val="Strong"/>
              </w:rPr>
              <w:t>11.2</w:t>
            </w:r>
            <w:r>
              <w:rPr/>
              <w:t xml:space="preserve"> Ein erhöhter Schallschutz (z. B. nach VDI 4100 oder Beiblatt 2 zu DIN 4109) wird </w:t>
            </w:r>
            <w:r>
              <w:rPr>
                <w:rStyle w:val="Strong"/>
              </w:rPr>
              <w:t>nicht</w:t>
            </w:r>
            <w:r>
              <w:rPr/>
              <w:t xml:space="preserve"> geschuldet, soweit er nicht hier mit Kennwert vereinbart ist.</w:t>
            </w:r>
          </w:p>
        </w:tc>
        <w:tc>
          <w:tcPr>
            <w:tcW w:w="7244" w:type="dxa"/>
            <w:tcBorders/>
            <w:vAlign w:val="center"/>
          </w:tcPr>
          <w:p>
            <w:pPr>
              <w:pStyle w:val="TableContents"/>
              <w:widowControl/>
              <w:bidi w:val="0"/>
              <w:spacing w:before="0" w:after="283"/>
              <w:rPr/>
            </w:pPr>
            <w:r>
              <w:rPr>
                <w:rStyle w:val="Strong"/>
              </w:rPr>
              <w:t>11.2</w:t>
            </w:r>
            <w:r>
              <w:rPr/>
              <w:t xml:space="preserve"> Increased sound insulation (e.g. according to VDI 4100 or Addendum 2 to DIN 4109) is not due, unless agreed here with the characteristic value. </w:t>
            </w:r>
          </w:p>
        </w:tc>
      </w:tr>
      <w:tr>
        <w:trPr>
          <w:cantSplit/>
        </w:trPr>
        <w:tc>
          <w:tcPr>
            <w:tcW w:w="8290" w:type="dxa"/>
            <w:tcBorders/>
            <w:vAlign w:val="center"/>
          </w:tcPr>
          <w:p>
            <w:pPr>
              <w:pStyle w:val="Heading1"/>
              <w:keepNext/>
              <w:widowControl/>
              <w:bidi w:val="0"/>
              <w:spacing w:before="240" w:after="283"/>
              <w:ind w:hanging="0" w:start="0" w:end="0"/>
              <w:rPr/>
            </w:pPr>
            <w:bookmarkStart w:id="62" w:name="brand--wärme--feuchteschutz"/>
            <w:bookmarkEnd w:id="62"/>
            <w:r>
              <w:rPr/>
              <w:t>12 Brand-, Wärme-, Feuchteschutz</w:t>
            </w:r>
          </w:p>
          <w:p>
            <w:pPr>
              <w:pStyle w:val="TableContents"/>
              <w:widowControl/>
              <w:bidi w:val="0"/>
              <w:spacing w:before="0" w:after="283"/>
              <w:rPr/>
            </w:pPr>
            <w:r>
              <w:rPr>
                <w:rStyle w:val="Strong"/>
              </w:rPr>
              <w:t>12.1</w:t>
            </w:r>
            <w:r>
              <w:rPr/>
              <w:t xml:space="preserve"> Brand-, Wärme- und Feuchteschutz werden im öffentlich-rechtlich erforderlichen Umfang nachgewiesen und ausgeführt. Die hierfür erforderlichen Nachweise werden nach § 650n BGB übergeben.</w:t>
            </w:r>
          </w:p>
        </w:tc>
        <w:tc>
          <w:tcPr>
            <w:tcW w:w="7244" w:type="dxa"/>
            <w:tcBorders/>
            <w:vAlign w:val="center"/>
          </w:tcPr>
          <w:p>
            <w:pPr>
              <w:pStyle w:val="Heading1"/>
              <w:keepNext/>
              <w:widowControl/>
              <w:bidi w:val="0"/>
              <w:spacing w:before="240" w:after="283"/>
              <w:ind w:hanging="0" w:start="0" w:end="0"/>
              <w:rPr/>
            </w:pPr>
            <w:bookmarkStart w:id="63" w:name="fire-heat-and-moisture-protection"/>
            <w:bookmarkEnd w:id="63"/>
            <w:r>
              <w:rPr/>
              <w:t xml:space="preserve">12 Fire, heat and moisture protection </w:t>
            </w:r>
          </w:p>
          <w:p>
            <w:pPr>
              <w:pStyle w:val="TableContents"/>
              <w:widowControl/>
              <w:bidi w:val="0"/>
              <w:spacing w:before="0" w:after="283"/>
              <w:rPr/>
            </w:pPr>
            <w:r>
              <w:rPr>
                <w:rStyle w:val="Strong"/>
              </w:rPr>
              <w:t>12.1</w:t>
            </w:r>
            <w:r>
              <w:rPr/>
              <w:t xml:space="preserve"> Fire, heat and moisture protection are proven and carried out to the extent required by public law. The proofs required for this are handed over in accordance with § 650n BGB. </w:t>
            </w:r>
          </w:p>
        </w:tc>
      </w:tr>
      <w:tr>
        <w:trPr>
          <w:cantSplit/>
        </w:trPr>
        <w:tc>
          <w:tcPr>
            <w:tcW w:w="8290" w:type="dxa"/>
            <w:tcBorders/>
            <w:vAlign w:val="center"/>
          </w:tcPr>
          <w:p>
            <w:pPr>
              <w:pStyle w:val="Heading1"/>
              <w:keepNext/>
              <w:widowControl/>
              <w:bidi w:val="0"/>
              <w:spacing w:before="240" w:after="283"/>
              <w:ind w:hanging="0" w:start="0" w:end="0"/>
              <w:rPr/>
            </w:pPr>
            <w:bookmarkStart w:id="64" w:name="außenanlagen-balkon"/>
            <w:bookmarkEnd w:id="64"/>
            <w:r>
              <w:rPr/>
              <w:t>13 Außenanlagen, Balkon</w:t>
            </w:r>
          </w:p>
          <w:p>
            <w:pPr>
              <w:pStyle w:val="TableContents"/>
              <w:widowControl/>
              <w:bidi w:val="0"/>
              <w:spacing w:before="0" w:after="283"/>
              <w:rPr/>
            </w:pPr>
            <w:r>
              <w:rPr>
                <w:rStyle w:val="Strong"/>
              </w:rPr>
              <w:t>13.1</w:t>
            </w:r>
            <w:r>
              <w:rPr/>
              <w:t xml:space="preserve"> Innenhof, Wege, Pflanzflächen, Fahrradräume und Spielfläche werden nach dem Freiflächenkonzept hergestellt; ihre Fertigstellung kann witterungsbedingt nach dem Bezug der Wohnung liegen, ist aber Teil der vollständigen Fertigstellung (§ 3.2, 7. Rate). Der Balkon B-C14 erhält einen Plattenbelag auf Stelzlagern und eine Entwässerung nach Ausführungsplan.</w:t>
            </w:r>
          </w:p>
        </w:tc>
        <w:tc>
          <w:tcPr>
            <w:tcW w:w="7244" w:type="dxa"/>
            <w:tcBorders/>
            <w:vAlign w:val="center"/>
          </w:tcPr>
          <w:p>
            <w:pPr>
              <w:pStyle w:val="Heading1"/>
              <w:keepNext/>
              <w:widowControl/>
              <w:bidi w:val="0"/>
              <w:spacing w:before="240" w:after="283"/>
              <w:ind w:hanging="0" w:start="0" w:end="0"/>
              <w:rPr/>
            </w:pPr>
            <w:bookmarkStart w:id="65" w:name="outdoor-facilities-balcony"/>
            <w:bookmarkEnd w:id="65"/>
            <w:r>
              <w:rPr/>
              <w:t xml:space="preserve">13 outdoor facilities, balcony </w:t>
            </w:r>
          </w:p>
          <w:p>
            <w:pPr>
              <w:pStyle w:val="TableContents"/>
              <w:widowControl/>
              <w:bidi w:val="0"/>
              <w:spacing w:before="0" w:after="283"/>
              <w:rPr/>
            </w:pPr>
            <w:r>
              <w:rPr>
                <w:rStyle w:val="Strong"/>
              </w:rPr>
              <w:t>13.1</w:t>
            </w:r>
            <w:r>
              <w:rPr/>
              <w:t xml:space="preserve"> The courtyard, paths, planted areas, bicycle rooms and play area shall be constructed in accordance with the landscaping plan; weather may mean that they are completed after the apartment is occupied, but they form part of full completion (section 3.2, seventh instalment). Balcony B-C14 shall have paving slabs on pedestal supports and drainage as shown in the detailed construction plan.</w:t>
            </w:r>
          </w:p>
        </w:tc>
      </w:tr>
      <w:tr>
        <w:trPr>
          <w:cantSplit/>
        </w:trPr>
        <w:tc>
          <w:tcPr>
            <w:tcW w:w="8290" w:type="dxa"/>
            <w:tcBorders/>
            <w:vAlign w:val="center"/>
          </w:tcPr>
          <w:p>
            <w:pPr>
              <w:pStyle w:val="Heading1"/>
              <w:keepNext/>
              <w:widowControl/>
              <w:bidi w:val="0"/>
              <w:spacing w:before="240" w:after="283"/>
              <w:ind w:hanging="0" w:start="0" w:end="0"/>
              <w:rPr/>
            </w:pPr>
            <w:bookmarkStart w:id="66" w:name="wohnfläche-bemusterung"/>
            <w:bookmarkEnd w:id="66"/>
            <w:r>
              <w:rPr/>
              <w:t>14 Wohnfläche, Bemusterung</w:t>
            </w:r>
          </w:p>
          <w:p>
            <w:pPr>
              <w:pStyle w:val="TableContents"/>
              <w:widowControl/>
              <w:bidi w:val="0"/>
              <w:spacing w:before="0" w:after="283"/>
              <w:rPr/>
            </w:pPr>
            <w:r>
              <w:rPr>
                <w:rStyle w:val="Strong"/>
              </w:rPr>
              <w:t>14.1</w:t>
            </w:r>
            <w:r>
              <w:rPr/>
              <w:t xml:space="preserve"> Die Wohnfläche der Wohnung C-2.14 beträgt ca. 84,6 m² nach Wohnflächenverordnung; maßgeblich ist die nach Fertigstellung tatsächlich erbrachte Ausführung mit der Anpassungsregel des § 5.9 des Vertrages.</w:t>
            </w:r>
          </w:p>
        </w:tc>
        <w:tc>
          <w:tcPr>
            <w:tcW w:w="7244" w:type="dxa"/>
            <w:tcBorders/>
            <w:vAlign w:val="center"/>
          </w:tcPr>
          <w:p>
            <w:pPr>
              <w:pStyle w:val="Heading1"/>
              <w:keepNext/>
              <w:widowControl/>
              <w:bidi w:val="0"/>
              <w:spacing w:before="240" w:after="283"/>
              <w:ind w:hanging="0" w:start="0" w:end="0"/>
              <w:rPr/>
            </w:pPr>
            <w:bookmarkStart w:id="67" w:name="residential-floor-area-and-selection-of-"/>
            <w:bookmarkEnd w:id="67"/>
            <w:r>
              <w:rPr/>
              <w:t xml:space="preserve">14 Residential Floor Area and Selection of Finishes </w:t>
            </w:r>
          </w:p>
          <w:p>
            <w:pPr>
              <w:pStyle w:val="TableContents"/>
              <w:widowControl/>
              <w:bidi w:val="0"/>
              <w:spacing w:before="0" w:after="283"/>
              <w:rPr/>
            </w:pPr>
            <w:r>
              <w:rPr>
                <w:rStyle w:val="Strong"/>
              </w:rPr>
              <w:t>14.1</w:t>
            </w:r>
            <w:r>
              <w:rPr/>
              <w:t xml:space="preserve"> The living space of apartment C-2.14 is approximately 84.6 m2 according to the Living Space Ordinance; The decisive factor is the execution actually performed after completion with the adjustment rule of § 5.9 of the contract. </w:t>
            </w:r>
          </w:p>
        </w:tc>
      </w:tr>
      <w:tr>
        <w:trPr>
          <w:cantSplit/>
        </w:trPr>
        <w:tc>
          <w:tcPr>
            <w:tcW w:w="8290" w:type="dxa"/>
            <w:tcBorders/>
            <w:vAlign w:val="center"/>
          </w:tcPr>
          <w:p>
            <w:pPr>
              <w:pStyle w:val="TableContents"/>
              <w:widowControl/>
              <w:bidi w:val="0"/>
              <w:spacing w:before="0" w:after="283"/>
              <w:rPr/>
            </w:pPr>
            <w:r>
              <w:rPr>
                <w:rStyle w:val="Strong"/>
              </w:rPr>
              <w:t>14.2</w:t>
            </w:r>
            <w:r>
              <w:rPr/>
              <w:t xml:space="preserve"> Die Bemusterung erfolgt aus den Serien MK-Boden, MK-Bad, MK-Sanitär und MK-Tür. Drei Beratungsstunden sind im Kaufpreis enthalten; weiterer Aufwand wird nach § 3.5 des Vertrages vergütet. Auswahlen außerhalb dieser Serien sind Sonderwünsche.</w:t>
            </w:r>
          </w:p>
        </w:tc>
        <w:tc>
          <w:tcPr>
            <w:tcW w:w="7244" w:type="dxa"/>
            <w:tcBorders/>
            <w:vAlign w:val="center"/>
          </w:tcPr>
          <w:p>
            <w:pPr>
              <w:pStyle w:val="TableContents"/>
              <w:widowControl/>
              <w:bidi w:val="0"/>
              <w:spacing w:before="0" w:after="283"/>
              <w:rPr/>
            </w:pPr>
            <w:r>
              <w:rPr>
                <w:rStyle w:val="Strong"/>
              </w:rPr>
              <w:t>14.2</w:t>
            </w:r>
            <w:r>
              <w:rPr/>
              <w:t xml:space="preserve"> Finishes are selected from the MK-Boden, MK-Bad, MK-Sanitär and MK-Tür ranges. Three consultation hours are included in the Purchase Price; further time is charged under section 3.5 of the contract. Selections outside these ranges constitute special requests.</w:t>
            </w:r>
          </w:p>
        </w:tc>
      </w:tr>
      <w:tr>
        <w:trPr>
          <w:cantSplit/>
        </w:trPr>
        <w:tc>
          <w:tcPr>
            <w:tcW w:w="8290" w:type="dxa"/>
            <w:tcBorders/>
            <w:vAlign w:val="center"/>
          </w:tcPr>
          <w:p>
            <w:pPr>
              <w:pStyle w:val="Heading1"/>
              <w:keepNext/>
              <w:widowControl/>
              <w:bidi w:val="0"/>
              <w:spacing w:before="240" w:after="283"/>
              <w:ind w:hanging="0" w:start="0" w:end="0"/>
              <w:rPr/>
            </w:pPr>
            <w:bookmarkStart w:id="68" w:name="schlussbestimmungen-der-baubeschreibung"/>
            <w:bookmarkEnd w:id="68"/>
            <w:r>
              <w:rPr/>
              <w:t>Schlussbestimmungen der Baubeschreibung</w:t>
            </w:r>
          </w:p>
          <w:p>
            <w:pPr>
              <w:pStyle w:val="TableContents"/>
              <w:widowControl/>
              <w:bidi w:val="0"/>
              <w:spacing w:before="0" w:after="283"/>
              <w:rPr/>
            </w:pPr>
            <w:r>
              <w:rPr/>
              <w:t>Diese Baubeschreibung ist zur Mitbeurkundung mit dem Kaufvertrag vorgesehen. Bei Widersprüchen zwischen Baubeschreibung, Plänen und Vertragstext gilt die für den Käufer günstigere Auslegung, soweit sich aus dem Vertrag nichts Eindeutiges ergibt (§ 305c Abs. 2 BGB).</w:t>
            </w:r>
          </w:p>
        </w:tc>
        <w:tc>
          <w:tcPr>
            <w:tcW w:w="7244" w:type="dxa"/>
            <w:tcBorders/>
            <w:vAlign w:val="center"/>
          </w:tcPr>
          <w:p>
            <w:pPr>
              <w:pStyle w:val="Heading1"/>
              <w:keepNext/>
              <w:widowControl/>
              <w:bidi w:val="0"/>
              <w:spacing w:before="240" w:after="283"/>
              <w:ind w:hanging="0" w:start="0" w:end="0"/>
              <w:rPr/>
            </w:pPr>
            <w:bookmarkStart w:id="69" w:name="final-provisions-of-the-building-specifi"/>
            <w:bookmarkEnd w:id="69"/>
            <w:r>
              <w:rPr/>
              <w:t xml:space="preserve">Final Provisions of the Building Specification </w:t>
            </w:r>
          </w:p>
          <w:p>
            <w:pPr>
              <w:pStyle w:val="TableContents"/>
              <w:widowControl/>
              <w:bidi w:val="0"/>
              <w:spacing w:before="0" w:after="283"/>
              <w:rPr/>
            </w:pPr>
            <w:r>
              <w:rPr/>
              <w:t>This Building Specification is intended to be notarised together with the purchase contract. In the event of inconsistencies between the Building Specification, plans and contract text, the interpretation more favourable to the Buyer applies unless the contract clearly provides otherwise (section 305c(2) BGB).</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8290" w:type="dxa"/>
            <w:tcBorders/>
            <w:vAlign w:val="center"/>
          </w:tcPr>
          <w:p>
            <w:pPr>
              <w:pStyle w:val="Heading1"/>
              <w:keepNext/>
              <w:widowControl/>
              <w:bidi w:val="0"/>
              <w:spacing w:before="240" w:after="283"/>
              <w:ind w:hanging="0" w:start="0" w:end="0"/>
              <w:rPr/>
            </w:pPr>
            <w:bookmarkStart w:id="70" w:name="sprachvorrang"/>
            <w:bookmarkEnd w:id="70"/>
            <w:r>
              <w:rPr/>
              <w:t>Sprachvorrang</w:t>
            </w:r>
          </w:p>
          <w:p>
            <w:pPr>
              <w:pStyle w:val="TableContents"/>
              <w:widowControl/>
              <w:bidi w:val="0"/>
              <w:spacing w:before="0" w:after="283"/>
              <w:rPr/>
            </w:pPr>
            <w:r>
              <w:rPr>
                <w:rStyle w:val="Strong"/>
              </w:rPr>
              <w:t>SV.1</w:t>
            </w:r>
            <w:r>
              <w:rPr/>
              <w:t xml:space="preserve"> Bei Konflikten, Auslegungszweifeln, Abweichungen, Übersetzungsungenauigkeiten oder sonstigen Widersprüchen zwischen der deutschen und der englischen Sprachfassung ist ausschließlich die deutsche Sprachfassung maßgeblich. Die englische Sprachfassung tritt in jedem Fall hinter die deutsche Sprachfassung zurück und dient allein als Verständnishilfe.</w:t>
            </w:r>
          </w:p>
        </w:tc>
        <w:tc>
          <w:tcPr>
            <w:tcW w:w="7244" w:type="dxa"/>
            <w:tcBorders/>
            <w:vAlign w:val="center"/>
          </w:tcPr>
          <w:p>
            <w:pPr>
              <w:pStyle w:val="Heading1"/>
              <w:keepNext/>
              <w:widowControl/>
              <w:bidi w:val="0"/>
              <w:spacing w:before="240" w:after="283"/>
              <w:ind w:hanging="0" w:start="0" w:end="0"/>
              <w:rPr/>
            </w:pPr>
            <w:bookmarkStart w:id="71" w:name="language-precedence"/>
            <w:bookmarkEnd w:id="71"/>
            <w:r>
              <w:rPr/>
              <w:t xml:space="preserve">Language Precedence </w:t>
            </w:r>
          </w:p>
          <w:p>
            <w:pPr>
              <w:pStyle w:val="TableContents"/>
              <w:widowControl/>
              <w:bidi w:val="0"/>
              <w:spacing w:before="0" w:after="283"/>
              <w:rPr/>
            </w:pPr>
            <w:r>
              <w:rPr>
                <w:rStyle w:val="Strong"/>
              </w:rPr>
              <w:t>SV.1</w:t>
            </w:r>
            <w:r>
              <w:rPr/>
              <w:t xml:space="preserve"> In the event of conflicts, doubts of interpretation, deviations, translation inaccuracies or any other inconsistencies between the German and English language versions, only the German language version shall be authoritative. The English language version shall in all cases be subordinate to the German language version and serves solely as a comprehension aid.</w:t>
            </w:r>
          </w:p>
        </w:tc>
      </w:tr>
    </w:tbl>
    <w:p>
      <w:pPr>
        <w:pStyle w:val="BodyText"/>
        <w:bidi w:val="0"/>
        <w:spacing w:before="0" w:after="283"/>
        <w:rPr/>
      </w:pPr>
      <w:r>
        <w:rPr/>
      </w:r>
    </w:p>
    <w:sectPr>
      <w:headerReference xmlns:ns0="http://schemas.openxmlformats.org/officeDocument/2006/relationships" w:type="default" ns0:id="rId6"/>
      <w:type w:val="nextPage"/>
      <w:pgSz w:orient="landscape" w:w="16838" w:h="11906"/>
      <w:pgMar w:left="794" w:right="794" w:gutter="0" w:header="340" w:top="1020" w:footer="340" w:bottom="850"/>
      <w:pgNumType w:fmt="decimal"/>
      <w:formProt w:val="false"/>
      <w:textDirection w:val="lrTb"/>
      <w:docGrid w:type="default" w:linePitch="600" w:charSpace="4751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altName w:val="Georgia"/>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8"/>
      </w:rPr>
      <w:t>ENTWURF /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3">
    <w:lvl w:ilvl="0">
      <w:start w:val="1"/>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4">
    <w:lvl w:ilvl="0">
      <w:start w:val="2"/>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5">
    <w:lvl w:ilvl="0">
      <w:start w:val="2"/>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6">
    <w:lvl w:ilvl="0">
      <w:start w:val="3"/>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7">
    <w:lvl w:ilvl="0">
      <w:start w:val="3"/>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8">
    <w:lvl w:ilvl="0">
      <w:start w:val="4"/>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9">
    <w:lvl w:ilvl="0">
      <w:start w:val="4"/>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69"/>
    </w:pPr>
    <w:rPr>
      <w:rFonts w:ascii="Times New Roman" w:hAnsi="Times New Roman" w:eastAsia="DejaVu Serif;Georgia;serif" w:cs="DejaVu Serif;Georgia;serif"/>
      <w:color w:val="000000"/>
      <w:sz w:val="20"/>
      <w:szCs w:val="17"/>
      <w:lang w:val="en-US" w:eastAsia="zh-CN" w:bidi="hi-IN"/>
    </w:rPr>
  </w:style>
  <w:style w:type="paragraph" w:styleId="Heading1">
    <w:name w:val="heading 1"/>
    <w:basedOn w:val="Heading"/>
    <w:next w:val="BodyText"/>
    <w:qFormat/>
    <w:pPr>
      <w:keepNext w:val="true"/>
    </w:pPr>
    <w:rPr>
      <w:b/>
      <w:bCs/>
      <w:color w:val="000000"/>
      <w:sz w:val="23"/>
      <w:szCs w:val="23"/>
    </w:rPr>
  </w:style>
  <w:style w:type="paragraph" w:styleId="Heading2">
    <w:name w:val="heading 2"/>
    <w:basedOn w:val="Heading"/>
    <w:next w:val="BodyText"/>
    <w:qFormat/>
    <w:pPr>
      <w:keepNext w:val="true"/>
      <w:numPr>
        <w:ilvl w:val="0"/>
        <w:numId w:val="0"/>
      </w:numPr>
      <w:spacing w:before="200" w:after="120"/>
      <w:outlineLvl w:val="1"/>
    </w:pPr>
    <w:rPr>
      <w:rFonts w:ascii="Liberation Serif" w:hAnsi="Liberation Serif" w:eastAsia="Linux Libertine G" w:cs="Noto Sans"/>
      <w:b/>
      <w:bCs/>
      <w:color w:val="000000"/>
      <w:sz w:val="20"/>
      <w:szCs w:val="20"/>
    </w:rPr>
  </w:style>
  <w:style w:type="paragraph" w:styleId="Heading3">
    <w:name w:val="heading 3"/>
    <w:basedOn w:val="Heading"/>
    <w:next w:val="BodyText"/>
    <w:qFormat/>
    <w:pPr>
      <w:keepNext w:val="true"/>
      <w:numPr>
        <w:ilvl w:val="0"/>
        <w:numId w:val="0"/>
      </w:numPr>
      <w:spacing w:before="140" w:after="120"/>
      <w:outlineLvl w:val="2"/>
    </w:pPr>
    <w:rPr>
      <w:rFonts w:ascii="Liberation Serif" w:hAnsi="Liberation Serif" w:eastAsia="Linux Libertine G" w:cs="Noto Sans"/>
      <w:b/>
      <w:bCs/>
      <w:color w:val="000000"/>
      <w:sz w:val="18"/>
      <w:szCs w:val="1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spacing w:before="0" w:after="283"/>
    </w:pPr>
    <w:rPr>
      <w:color w:val="000000"/>
      <w:sz w:val="12"/>
    </w:rPr>
  </w:style>
  <w:style w:type="paragraph" w:styleId="BodyText">
    <w:name w:val="Body Text"/>
    <w:basedOn w:val="Normal"/>
    <w:pPr>
      <w:spacing w:before="0" w:after="283"/>
    </w:pPr>
    <w:rPr>
      <w:color w:val="000000"/>
    </w:rPr>
  </w:style>
  <w:style w:type="paragraph" w:styleId="EnvelopeReturn">
    <w:name w:val="envelope return"/>
    <w:basedOn w:val="Normal"/>
    <w:pPr/>
    <w:rPr>
      <w:i/>
      <w:color w:val="000000"/>
    </w:rPr>
  </w:style>
  <w:style w:type="paragraph" w:styleId="TableContents">
    <w:name w:val="Table Contents"/>
    <w:basedOn w:val="BodyText"/>
    <w:qFormat/>
    <w:pPr/>
    <w:rPr>
      <w:color w:val="000000"/>
    </w:rPr>
  </w:style>
  <w:style w:type="paragraph" w:styleId="Heading">
    <w:name w:val="Heading"/>
    <w:basedOn w:val="Normal"/>
    <w:next w:val="BodyText"/>
    <w:qFormat/>
    <w:pPr>
      <w:keepNext w:val="true"/>
      <w:spacing w:before="240" w:after="283"/>
    </w:pPr>
    <w:rPr>
      <w:rFonts w:ascii="Liberation Sans" w:hAnsi="Liberation Sans"/>
      <w:color w:val="000000"/>
      <w:sz w:val="28"/>
      <w:szCs w:val="28"/>
    </w:rPr>
  </w:style>
  <w:style w:type="paragraph" w:styleId="Index">
    <w:name w:val="Index"/>
    <w:basedOn w:val="Normal"/>
    <w:qFormat/>
    <w:pPr>
      <w:suppressLineNumbers/>
    </w:pPr>
    <w:rPr>
      <w:rFonts w:cs="Noto Sans"/>
      <w:color w:val="000000"/>
    </w:rPr>
  </w:style>
  <w:style w:type="paragraph" w:styleId="Caption">
    <w:name w:val="caption"/>
    <w:basedOn w:val="Normal"/>
    <w:qFormat/>
    <w:pPr>
      <w:suppressLineNumbers/>
      <w:spacing w:before="120" w:after="120"/>
    </w:pPr>
    <w:rPr>
      <w:rFonts w:cs="Noto Sans"/>
      <w:i/>
      <w:iCs/>
      <w:color w:val="000000"/>
      <w:sz w:val="24"/>
      <w:szCs w:val="24"/>
    </w:rPr>
  </w:style>
  <w:style w:type="paragraph" w:styleId="List">
    <w:name w:val="List"/>
    <w:basedOn w:val="BodyText"/>
    <w:pPr/>
    <w:rPr>
      <w:rFonts w:cs="Noto Sans"/>
      <w:color w:val="000000"/>
    </w:rPr>
  </w:style>
  <w:style w:type="paragraph" w:styleId="BlockQuotation">
    <w:name w:val="Block Quotation"/>
    <w:basedOn w:val="Normal"/>
    <w:qFormat/>
    <w:pPr>
      <w:spacing w:before="0" w:after="283"/>
      <w:ind w:hanging="0" w:start="567" w:end="567"/>
    </w:pPr>
    <w:rPr>
      <w:color w:val="000000"/>
    </w:rPr>
  </w:style>
  <w:style w:type="paragraph" w:styleId="BodyTextdoc-note">
    <w:name w:val="Body Text.doc-note"/>
    <w:basedOn w:val="BodyText"/>
    <w:qFormat/>
    <w:pPr/>
    <w:rPr>
      <w:color w:val="000000"/>
      <w:sz w:val="17"/>
      <w:szCs w:val="17"/>
    </w:rPr>
  </w:style>
  <w:style w:type="paragraph" w:styleId="Heading1doc-title">
    <w:name w:val="Heading 1.doc-title"/>
    <w:basedOn w:val="Heading1"/>
    <w:qFormat/>
    <w:pPr/>
    <w:rPr>
      <w:color w:val="000000"/>
      <w:spacing w:val="0"/>
      <w:sz w:val="32"/>
      <w:szCs w:val="32"/>
    </w:rPr>
  </w:style>
  <w:style w:type="paragraph" w:styleId="TableHeading">
    <w:name w:val="Table Heading"/>
    <w:basedOn w:val="TableContents"/>
    <w:qFormat/>
    <w:pPr>
      <w:suppressLineNumbers/>
      <w:jc w:val="center"/>
    </w:pPr>
    <w:rPr>
      <w:b/>
      <w:bCs/>
      <w:color w:val="000000"/>
    </w:rPr>
  </w:style>
  <w:style w:type="paragraph" w:customStyle="1" w:styleId="Title">
    <w:name w:val="Title"/>
    <w:rPr>
      <w:rFonts w:ascii="Times New Roman" w:hAnsi="Times New Roman"/>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ages>1</Pages>
  <Words>9726</Words>
  <Characters>60560</Characters>
  <CharactersWithSpaces>69978</CharactersWithSpaces>
  <Paragraphs>413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btv-source-sha256:51418ae0399cdaf5583a0d8b814a166ae107ef266512acab04636d667cbd1820</dc:description>
  <cp:keywords>btv-source-sha256:51418ae0399cdaf5583a0d8b814a166ae107ef266512acab04636d667cbd1820</cp:keywords>
  <dc:language>en-US</dc:language>
  <cp:lastModifiedBy/>
  <cp:revision>0</cp:revision>
  <dc:subject/>
  <dc:title>Bauträgervertrag Entwurf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btv-source-sha256">
    <vt:lpwstr>51418ae0399cdaf5583a0d8b814a166ae107ef266512acab04636d667cbd1820</vt:lpwstr>
  </property>
</Properties>
</file>