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7442026-bs"/>
    <w:p>
      <w:pPr>
        <w:pStyle w:val="Heading1"/>
      </w:pPr>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Prokurist für die</w:t>
      </w:r>
    </w:p>
    <w:p>
      <w:pPr>
        <w:pStyle w:val="BodyText"/>
      </w:pPr>
      <w:r>
        <w:rPr>
          <w:b/>
          <w:bCs/>
        </w:rPr>
        <w:t xml:space="preserve">Marewald Wohnbau GmbH &amp; Co. KG</w:t>
      </w:r>
    </w:p>
    <w:p>
      <w:pPr>
        <w:pStyle w:val="BodyText"/>
      </w:pPr>
      <w:r>
        <w:t xml:space="preserve">(Amtsgericht Hamburg, HRA 121 540; Komplementärin: Marewald Verwaltungs GmbH, Amtsgericht Hamburg, HRB 158 994),</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nicht Vertragsbestandteil.</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p>
      <w:r>
        <w:br w:type="page"/>
      </w:r>
    </w:p>
    <w:bookmarkEnd w:id="15"/>
    <w:bookmarkStart w:id="16" w:name="kaufpreiszahlung-fälligkeit-sicherheiten"/>
    <w:p>
      <w:pPr>
        <w:pStyle w:val="Heading1"/>
      </w:pPr>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nach Wahl des Verkäufers durch Einbehalt des Käufers von der ersten Rate oder durch unbefristete, selbstschuldnerische Bürgschaft eines im Inland zum Geschäftsbetrieb befugten Kreditinstituts geleistet werden. Die Sicherheit ist zurückzugeben, wenn die Sondereigentumseinheit abgenommen ist, das für den Kaufgegenstand maßgebliche Gemeinschaftseigentum zur Abnahme angeboten wurde und keine wesentlichen, rechtzeitige oder mangelfreie Herstellung betreffenden Mängel mehr offen sind. In Höhe noch nicht beseitigter wesentlicher Mängel bleibt die Sicherheit bestehen.</w:t>
      </w:r>
    </w:p>
    <w:p>
      <w:pPr>
        <w:pStyle w:val="BodyText"/>
      </w:pPr>
      <w:r>
        <w:rPr>
          <w:b/>
          <w:bCs/>
        </w:rPr>
        <w:t xml:space="preserve">3.4</w:t>
      </w:r>
      <w:r>
        <w:t xml:space="preserve"> </w:t>
      </w:r>
      <w:r>
        <w:t xml:space="preserve">Reservierungsentgelt. Ein vor Beurkundung gezahltes Reservierungsentgelt von 5.000,00 EUR wird mit der ersten Kaufpreisrate verrechnet. Kommt der Vertrag aus vom Käufer nicht zu vertretenden Gründen nicht zustande, wird das Entgelt erstattet.</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p>
      <w:r>
        <w:br w:type="page"/>
      </w:r>
    </w:p>
    <w:bookmarkEnd w:id="17"/>
    <w:bookmarkStart w:id="18" w:name="baupflicht-baubeschreibung-termine"/>
    <w:p>
      <w:pPr>
        <w:pStyle w:val="Heading1"/>
      </w:pPr>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keine Beschaffenheitsvereinbarung.</w:t>
      </w:r>
    </w:p>
    <w:p>
      <w:pPr>
        <w:pStyle w:val="BodyText"/>
      </w:pPr>
      <w:r>
        <w:rPr>
          <w:b/>
          <w:bCs/>
        </w:rPr>
        <w:t xml:space="preserve">5.5</w:t>
      </w:r>
      <w:r>
        <w:t xml:space="preserve"> </w:t>
      </w:r>
      <w:r>
        <w:t xml:space="preserve">Enthält die Baubeschreibung zu notwendigen Leistungen keine oder unbestimmte Angaben, schuldet der Verkäufer eine Ausführung mittlerer Art und Güte, die der Ausstattungslinie „Marewald Komfort C” entspricht und die anerkannten Regeln der Technik einhält.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Wohnfläche beträgt ca. 84,6 m² (Berechnung nach Wohnflächenverordnung). Weicht die tatsächliche Wohnfläche um mehr als 3 % nach unten ab, wird der Kaufpreis im Verhältnis der Mehrabweichung angepasst; weitergehende gesetzliche Rechte bleiben unberührt.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p>
      <w:r>
        <w:br w:type="page"/>
      </w:r>
    </w:p>
    <w:bookmarkEnd w:id="18"/>
    <w:bookmarkStart w:id="19" w:name="besitzübergang-abnahme"/>
    <w:p>
      <w:pPr>
        <w:pStyle w:val="Heading1"/>
      </w:pPr>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p>
      <w:r>
        <w:br w:type="page"/>
      </w:r>
    </w:p>
    <w:bookmarkEnd w:id="19"/>
    <w:bookmarkStart w:id="20" w:name="erschließungs--und-anschlusskosten"/>
    <w:p>
      <w:pPr>
        <w:pStyle w:val="Heading1"/>
      </w:pPr>
      <w:r>
        <w:t xml:space="preserve">§ 7 Erschließungs- und Anschlusskosten</w:t>
      </w:r>
    </w:p>
    <w:p>
      <w:pPr>
        <w:pStyle w:val="FirstParagraph"/>
      </w:pPr>
      <w:r>
        <w:rPr>
          <w:b/>
          <w:bCs/>
        </w:rPr>
        <w:t xml:space="preserve">7.1</w:t>
      </w:r>
      <w:r>
        <w:t xml:space="preserve"> </w:t>
      </w:r>
      <w:r>
        <w:t xml:space="preserve">Die Kosten der erstmaligen Erschließung und der Anschlüsse an Ver- und Entsorgungsanlagen trägt der Käufer anteilig nach seinem Miteigentumsanteil, soweit sie nicht bereits im Kaufpreis enthalten sind.</w:t>
      </w:r>
    </w:p>
    <w:p>
      <w:pPr>
        <w:pStyle w:val="BodyText"/>
      </w:pPr>
      <w:r>
        <w:rPr>
          <w:b/>
          <w:bCs/>
        </w:rPr>
        <w:t xml:space="preserve">7.2</w:t>
      </w:r>
      <w:r>
        <w:t xml:space="preserve"> </w:t>
      </w:r>
      <w:r>
        <w:t xml:space="preserve">Der Verkäufer schätzt die auf den Käufer entfallenden Erschließungs- und Anschlusskosten auf voraussichtlich 9.000,00 EUR bis 14.000,00 EUR. Die Schätzung beruht auf den derzeit bekannten Bescheiden und Satzungen; maßgeblich ist die spätere behördliche Abrechnung.</w:t>
      </w:r>
    </w:p>
    <w:p>
      <w:r>
        <w:br w:type="page"/>
      </w:r>
    </w:p>
    <w:bookmarkEnd w:id="20"/>
    <w:bookmarkStart w:id="21" w:name="X95a8d91ab13c2e8761b739cae98aa801cad362c"/>
    <w:p>
      <w:pPr>
        <w:pStyle w:val="Heading1"/>
      </w:pPr>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p>
      <w:r>
        <w:br w:type="page"/>
      </w:r>
    </w:p>
    <w:bookmarkEnd w:id="21"/>
    <w:bookmarkStart w:id="22" w:name="mängelrechte-verjährung"/>
    <w:p>
      <w:pPr>
        <w:pStyle w:val="Heading1"/>
      </w:pPr>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ausgenommen Vorsatz und arglistig verschwiegene Mängel.</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p>
      <w:r>
        <w:br w:type="page"/>
      </w:r>
    </w:p>
    <w:bookmarkEnd w:id="26"/>
    <w:bookmarkStart w:id="27" w:name="belehrungen"/>
    <w:p>
      <w:pPr>
        <w:pStyle w:val="Heading1"/>
      </w:pPr>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p>
      <w:r>
        <w:br w:type="page"/>
      </w:r>
    </w:p>
    <w:bookmarkEnd w:id="29"/>
    <w:bookmarkStart w:id="30" w:name="unterschriften"/>
    <w:p>
      <w:pPr>
        <w:pStyle w:val="Heading1"/>
      </w:pPr>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p>
      <w:r>
        <w:br w:type="page"/>
      </w:r>
    </w:p>
    <w:bookmarkEnd w:id="30"/>
    <w:bookmarkStart w:id="32" w:name="anlage-baubeschreibung"/>
    <w:p>
      <w:pPr>
        <w:pStyle w:val="Heading1"/>
      </w:pPr>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p>
      <w:r>
        <w:br w:type="page"/>
      </w:r>
    </w:p>
    <w:bookmarkEnd w:id="31"/>
    <w:bookmarkEnd w:id="32"/>
    <w:bookmarkStart w:id="33" w:name="allgemeines-konstruktion"/>
    <w:p>
      <w:pPr>
        <w:pStyle w:val="Heading1"/>
      </w:pPr>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mittlere Art und Güte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2026-07-10T22:57:49Z</dcterms:created>
  <dcterms:modified xsi:type="dcterms:W3CDTF">2026-07-10T22:57:49Z</dcterms:modified>
</cp:coreProperties>
</file>

<file path=docProps/custom.xml><?xml version="1.0" encoding="utf-8"?>
<Properties xmlns="http://schemas.openxmlformats.org/officeDocument/2006/custom-properties" xmlns:vt="http://schemas.openxmlformats.org/officeDocument/2006/docPropsVTypes"/>
</file>