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p>
      <w:r>
        <w:br w:type="page"/>
      </w:r>
    </w:p>
    <w:bookmarkEnd w:id="9"/>
    <w:bookmarkStart w:id="11" w:name="ur-nr.-1882026-kq"/>
    <w:p>
      <w:pPr>
        <w:pStyle w:val="Heading1"/>
      </w:pPr>
      <w:r>
        <w:t xml:space="preserve">UR-Nr. 188/2026 KQ</w:t>
      </w:r>
    </w:p>
    <w:bookmarkStart w:id="10" w:name="verhandelt"/>
    <w:p>
      <w:pPr>
        <w:pStyle w:val="Heading2"/>
      </w:pPr>
      <w:r>
        <w:t xml:space="preserve">Verhandelt</w:t>
      </w:r>
    </w:p>
    <w:p>
      <w:pPr>
        <w:pStyle w:val="FirstParagraph"/>
      </w:pPr>
      <w:r>
        <w:t xml:space="preserve">zu Berlin, am 14. März 2026</w:t>
      </w:r>
    </w:p>
    <w:p>
      <w:pPr>
        <w:pStyle w:val="BodyText"/>
      </w:pPr>
      <w:r>
        <w:t xml:space="preserve">Vor mir, dem unterzeichnenden Notar im Bezirk des Kammergerichts</w:t>
      </w:r>
    </w:p>
    <w:p>
      <w:pPr>
        <w:pStyle w:val="BodyText"/>
      </w:pPr>
      <w:r>
        <w:rPr>
          <w:b/>
          <w:bCs/>
        </w:rPr>
        <w:t xml:space="preserve">Dr. Adalbert von Sickingen-Querfurt</w:t>
      </w:r>
    </w:p>
    <w:p>
      <w:pPr>
        <w:pStyle w:val="BodyText"/>
      </w:pPr>
      <w:r>
        <w:t xml:space="preserve">Kurfürstendamm 211, 10719 Berlin</w:t>
      </w:r>
    </w:p>
    <w:p>
      <w:pPr>
        <w:pStyle w:val="BodyText"/>
      </w:pPr>
      <w:r>
        <w:t xml:space="preserve">erschienen heute:</w:t>
      </w:r>
    </w:p>
    <w:p>
      <w:pPr>
        <w:pStyle w:val="BodyText"/>
      </w:pPr>
      <w:r>
        <w:t xml:space="preserve">Frau</w:t>
      </w:r>
      <w:r>
        <w:t xml:space="preserve"> </w:t>
      </w:r>
      <w:r>
        <w:rPr>
          <w:b/>
          <w:bCs/>
        </w:rPr>
        <w:t xml:space="preserve">Roswitha Quendel-Bingenheimer</w:t>
      </w:r>
      <w:r>
        <w:t xml:space="preserve">, geboren am 11.08.1971,</w:t>
      </w:r>
    </w:p>
    <w:p>
      <w:pPr>
        <w:pStyle w:val="BodyText"/>
      </w:pPr>
      <w:r>
        <w:t xml:space="preserve">geschäftsansässig: Schloßstraße 88, 12163 Berlin,</w:t>
      </w:r>
    </w:p>
    <w:p>
      <w:pPr>
        <w:pStyle w:val="BodyText"/>
      </w:pPr>
      <w:r>
        <w:t xml:space="preserve">dem Notar von Person bekannt,</w:t>
      </w:r>
    </w:p>
    <w:p>
      <w:pPr>
        <w:pStyle w:val="BodyText"/>
      </w:pPr>
      <w:r>
        <w:t xml:space="preserve">handelnd nachfolgend nicht im eigenen Namen, sondern als Bevollmächtigte für die</w:t>
      </w:r>
    </w:p>
    <w:p>
      <w:pPr>
        <w:pStyle w:val="BodyText"/>
      </w:pPr>
      <w:r>
        <w:rPr>
          <w:b/>
          <w:bCs/>
        </w:rPr>
        <w:t xml:space="preserve">Hohenwartshofen Quartiersentwicklung GmbH &amp; Co. KG</w:t>
      </w:r>
    </w:p>
    <w:p>
      <w:pPr>
        <w:pStyle w:val="BodyText"/>
      </w:pPr>
      <w:r>
        <w:t xml:space="preserve">(vormals firmierend unter Hohenwartshofen-Drewitz Immobilien GmbH &amp; Co. KG; Amtsgericht Charlottenburg, HRA 52188 B; Komplementärin: Hohenwartshofen Verwaltungs GmbH, Amtsgericht Charlottenburg, HRB 187 552 B),</w:t>
      </w:r>
    </w:p>
    <w:p>
      <w:pPr>
        <w:pStyle w:val="BodyText"/>
      </w:pPr>
      <w:r>
        <w:t xml:space="preserve">Geschäftsanschrift: Schloßstraße 88, 12163 Berlin,</w:t>
      </w:r>
    </w:p>
    <w:p>
      <w:pPr>
        <w:pStyle w:val="BodyText"/>
      </w:pPr>
      <w:r>
        <w:t xml:space="preserve">— nachstehend auch „Verkäufer” genannt —,</w:t>
      </w:r>
    </w:p>
    <w:p>
      <w:pPr>
        <w:pStyle w:val="BodyText"/>
      </w:pPr>
      <w:r>
        <w:t xml:space="preserve">aufgrund notariell beglaubigter Vollmacht vom 22.10.2025, UR-Nr. 1402/2025 W des Notars Egmont Wachtelborn, Berlin. Das Original der Vollmacht lag bei Beurkundung vor; eine Fotokopie derselben wird in beglaubigter Fotokopie als Anhang a zu dieser Urkunde genommen.</w:t>
      </w:r>
    </w:p>
    <w:p>
      <w:pPr>
        <w:pStyle w:val="BodyText"/>
      </w:pPr>
      <w:r>
        <w:t xml:space="preserve">Herr</w:t>
      </w:r>
      <w:r>
        <w:t xml:space="preserve"> </w:t>
      </w:r>
      <w:r>
        <w:rPr>
          <w:b/>
          <w:bCs/>
        </w:rPr>
        <w:t xml:space="preserve">Dr. Eberwein Übelacker-Strohmeyer</w:t>
      </w:r>
      <w:r>
        <w:t xml:space="preserve">, geboren am 03.02.1968,</w:t>
      </w:r>
    </w:p>
    <w:p>
      <w:pPr>
        <w:pStyle w:val="BodyText"/>
      </w:pPr>
      <w:r>
        <w:t xml:space="preserve">wohnhaft: Königin-Luise-Straße 47, 14195 Berlin,</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des Notars erklärten die Erschienene zu 1. auf Rechnung des von ihr Vertretenen und der Erschienene zu 2. auf eigene Rechnung zu handeln.</w:t>
      </w:r>
    </w:p>
    <w:p>
      <w:pPr>
        <w:pStyle w:val="BodyText"/>
      </w:pPr>
      <w:r>
        <w:t xml:space="preserve">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p>
      <w:pPr>
        <w:pStyle w:val="BodyText"/>
      </w:pPr>
      <w:r>
        <w:t xml:space="preserve">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beabsichtigt, nach derzeitiger Planung auf dem Grundstück</w:t>
      </w:r>
    </w:p>
    <w:p>
      <w:pPr>
        <w:pStyle w:val="BlockText"/>
      </w:pPr>
      <w:r>
        <w:t xml:space="preserve">Gemarkung Kannenberg-Niederwall, Flur 7, Flurstück 218/4, Gebäude- und Freifläche, „Am Birkenpfuhl”, mit einer grundbuchlichen Größe von insgesamt 11.840 m², nachstehend auch das „Grundstück” genannt,</w:t>
      </w:r>
    </w:p>
    <w:p>
      <w:pPr>
        <w:pStyle w:val="FirstParagraph"/>
      </w:pPr>
      <w:r>
        <w:t xml:space="preserve">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p>
      <w:pPr>
        <w:pStyle w:val="BodyText"/>
      </w:pPr>
      <w:r>
        <w:t xml:space="preserve">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p>
      <w:pPr>
        <w:pStyle w:val="BodyText"/>
      </w:pPr>
      <w:r>
        <w:t xml:space="preserve">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p>
      <w:pPr>
        <w:pStyle w:val="BodyText"/>
      </w:pPr>
      <w:r>
        <w:rPr>
          <w:b/>
          <w:bCs/>
        </w:rPr>
        <w:t xml:space="preserve">0.2</w:t>
      </w:r>
      <w:r>
        <w:t xml:space="preserve"> </w:t>
      </w:r>
      <w:r>
        <w:t xml:space="preserve">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p>
      <w:pPr>
        <w:pStyle w:val="BodyText"/>
      </w:pPr>
      <w:r>
        <w:t xml:space="preserve">— nachfolgend zusammen auch „Teilungserklärung” und/oder zusammen „Bezugsurkunde 1” genannt —.</w:t>
      </w:r>
    </w:p>
    <w:p>
      <w:pPr>
        <w:pStyle w:val="BodyText"/>
      </w:pPr>
      <w:r>
        <w:t xml:space="preserve">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p>
      <w:pPr>
        <w:pStyle w:val="BodyText"/>
      </w:pPr>
      <w:r>
        <w:t xml:space="preserve">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p>
      <w:pPr>
        <w:pStyle w:val="BodyText"/>
      </w:pPr>
      <w:r>
        <w:rPr>
          <w:b/>
          <w:bCs/>
        </w:rPr>
        <w:t xml:space="preserve">0.3</w:t>
      </w:r>
      <w:r>
        <w:t xml:space="preserve"> </w:t>
      </w:r>
      <w:r>
        <w:t xml:space="preserve">Gegenstand dieses Vertrages sind der in § 1 beschriebene Kaufgegenstand sowie die in § 5 beschriebene Herstellungsverpflichtung.</w:t>
      </w:r>
    </w:p>
    <w:p>
      <w:pPr>
        <w:pStyle w:val="BodyText"/>
      </w:pPr>
      <w:r>
        <w:rPr>
          <w:b/>
          <w:bCs/>
        </w:rPr>
        <w:t xml:space="preserve">0.4</w:t>
      </w:r>
      <w:r>
        <w:t xml:space="preserve"> </w:t>
      </w:r>
      <w:r>
        <w:t xml:space="preserve">Die Abgeschlossenheitsbescheinigung zur Teilungserklärung liegt vor.</w:t>
      </w:r>
    </w:p>
    <w:p>
      <w:pPr>
        <w:pStyle w:val="BodyText"/>
      </w:pPr>
      <w:r>
        <w:rPr>
          <w:b/>
          <w:bCs/>
        </w:rPr>
        <w:t xml:space="preserve">0.5</w:t>
      </w:r>
      <w:r>
        <w:t xml:space="preserve"> </w:t>
      </w:r>
      <w:r>
        <w:t xml:space="preserve">Nach Auskunft des Verkäufers liegen die erforderlichen Baugenehmigungen des Landkreises Potsdam-Mittelmark vor; eine Baugenehmigung für Haus 4, in dem die hier verkaufte Wohnung liegt, wird in Kürze erwartet.</w:t>
      </w:r>
    </w:p>
    <w:p>
      <w:pPr>
        <w:pStyle w:val="BodyText"/>
      </w:pPr>
      <w:r>
        <w:rPr>
          <w:b/>
          <w:bCs/>
        </w:rPr>
        <w:t xml:space="preserve">0.6</w:t>
      </w:r>
      <w:r>
        <w:t xml:space="preserve"> </w:t>
      </w:r>
      <w:r>
        <w:t xml:space="preserve">Der Verkäufer weist darauf hin, dass die Erschließung des Grundstücks teilweise noch nicht abgeschlossen ist.</w:t>
      </w:r>
    </w:p>
    <w:p>
      <w:pPr>
        <w:pStyle w:val="BodyText"/>
      </w:pPr>
      <w:r>
        <w:rPr>
          <w:b/>
          <w:bCs/>
        </w:rPr>
        <w:t xml:space="preserve">0.7</w:t>
      </w:r>
      <w:r>
        <w:t xml:space="preserve"> </w:t>
      </w:r>
      <w:r>
        <w:t xml:space="preserve">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p>
      <w:r>
        <w:br w:type="page"/>
      </w:r>
    </w:p>
    <w:bookmarkEnd w:id="12"/>
    <w:bookmarkEnd w:id="13"/>
    <w:bookmarkStart w:id="14" w:name="kaufgegenstand"/>
    <w:p>
      <w:pPr>
        <w:pStyle w:val="Heading1"/>
      </w:pPr>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Potsdam für Kannenberg-Niederwall, Blatt 18 442, eingetragenen Wohnungseigentums:</w:t>
      </w:r>
    </w:p>
    <w:p>
      <w:pPr>
        <w:pStyle w:val="BlockText"/>
      </w:pPr>
      <w:r>
        <w:t xml:space="preserve">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p>
      <w:pPr>
        <w:pStyle w:val="FirstParagraph"/>
      </w:pPr>
      <w:r>
        <w:rPr>
          <w:b/>
          <w:bCs/>
        </w:rPr>
        <w:t xml:space="preserve">1.2</w:t>
      </w:r>
      <w:r>
        <w:t xml:space="preserve"> </w:t>
      </w:r>
      <w:r>
        <w:t xml:space="preserve">Die Sondereigentumseinheit und das dort näher bezeichnete Sondernutzungsrecht an dem Tiefgaragenstellplatz Nr. TG-127 nebst den unter § 5 dieses Vertrages beschriebenen Bauleistungen werden nachfolgend zusammen als „Kaufgegenstand” bezeichnet.</w:t>
      </w:r>
    </w:p>
    <w:p>
      <w:pPr>
        <w:pStyle w:val="BodyText"/>
      </w:pPr>
      <w:r>
        <w:rPr>
          <w:b/>
          <w:bCs/>
        </w:rPr>
        <w:t xml:space="preserve">1.3</w:t>
      </w:r>
      <w:r>
        <w:t xml:space="preserve"> </w:t>
      </w:r>
      <w:r>
        <w:t xml:space="preserve">Der Notar hat das Grundbuch gemäß § 1.1 — ohne die Grundakten — elektronisch am heutigen Tage eingesehen.</w:t>
      </w:r>
    </w:p>
    <w:p>
      <w:pPr>
        <w:pStyle w:val="BodyText"/>
      </w:pPr>
      <w:r>
        <w:t xml:space="preserve">In Abteilung II sind eingetragen: beschränkte persönliche Dienstbarkeiten zugunsten der Stadtwerke Kannenberg GmbH, der ENBW Netze AG sowie der Gemeinde Kannenberg-Niederwall. Diese Lasten werden vom Käufer übernommen und sind im Kaufpreis nicht abgegolten.</w:t>
      </w:r>
    </w:p>
    <w:p>
      <w:pPr>
        <w:pStyle w:val="BodyText"/>
      </w:pPr>
      <w:r>
        <w:t xml:space="preserve">In Abteilung III ist eine Gesamtgrundschuld in Höhe von 92 800 000,00 EUR zugunsten der Pommersche Hypotheken-Bank AG eingetragen.</w:t>
      </w:r>
    </w:p>
    <w:p>
      <w:r>
        <w:br w:type="page"/>
      </w:r>
    </w:p>
    <w:bookmarkEnd w:id="14"/>
    <w:bookmarkStart w:id="15" w:name="kaufpreis"/>
    <w:p>
      <w:pPr>
        <w:pStyle w:val="Heading1"/>
      </w:pPr>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789.500,00 EUR</w:t>
      </w:r>
    </w:p>
    <w:p>
      <w:pPr>
        <w:pStyle w:val="FirstParagraph"/>
      </w:pPr>
      <w:r>
        <w:t xml:space="preserve">zzgl. eines Aufpreises für den Tiefgaragenstellplatz von 38 500,00 EUR. Der Gesamtkaufpreis beträgt damit 828 000,00 EUR.</w:t>
      </w:r>
    </w:p>
    <w:p>
      <w:pPr>
        <w:pStyle w:val="BodyText"/>
      </w:pPr>
      <w:r>
        <w:rPr>
          <w:b/>
          <w:bCs/>
        </w:rPr>
        <w:t xml:space="preserve">2.2</w:t>
      </w:r>
      <w:r>
        <w:t xml:space="preserve"> </w:t>
      </w:r>
      <w:r>
        <w:t xml:space="preserve">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p>
      <w:pPr>
        <w:pStyle w:val="BodyText"/>
      </w:pPr>
      <w:r>
        <w:rPr>
          <w:b/>
          <w:bCs/>
        </w:rPr>
        <w:t xml:space="preserve">2.3</w:t>
      </w:r>
      <w:r>
        <w:t xml:space="preserve"> </w:t>
      </w:r>
      <w:r>
        <w:t xml:space="preserve">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p>
      <w:r>
        <w:br w:type="page"/>
      </w:r>
    </w:p>
    <w:bookmarkEnd w:id="15"/>
    <w:bookmarkStart w:id="16" w:name="kaufpreiszahlung-fälligkeit"/>
    <w:p>
      <w:pPr>
        <w:pStyle w:val="Heading1"/>
      </w:pPr>
      <w:r>
        <w:t xml:space="preserve">§ 3 Kaufpreiszahlung, Fälligkeit</w:t>
      </w:r>
    </w:p>
    <w:p>
      <w:pPr>
        <w:pStyle w:val="FirstParagraph"/>
      </w:pPr>
      <w:r>
        <w:rPr>
          <w:b/>
          <w:bCs/>
        </w:rPr>
        <w:t xml:space="preserve">3.1</w:t>
      </w:r>
      <w:r>
        <w:t xml:space="preserve"> </w:t>
      </w:r>
      <w:r>
        <w:t xml:space="preserve">Die Kaufpreiszahlungen sind frühestens fällig und zahlbar, wenn</w:t>
      </w:r>
    </w:p>
    <w:p>
      <w:pPr>
        <w:pStyle w:val="BodyText"/>
      </w:pPr>
      <w:r>
        <w:t xml:space="preserve">3.1.1 der Notar den Parteien schriftlich mitgeteilt hat, dass</w:t>
      </w:r>
    </w:p>
    <w:p>
      <w:pPr>
        <w:numPr>
          <w:ilvl w:val="0"/>
          <w:numId w:val="1001"/>
        </w:numPr>
      </w:pPr>
      <w:r>
        <w:t xml:space="preserve">der Vertrag rechtswirksam zustande gekommen ist,</w:t>
      </w:r>
    </w:p>
    <w:p>
      <w:pPr>
        <w:numPr>
          <w:ilvl w:val="0"/>
          <w:numId w:val="1001"/>
        </w:numPr>
      </w:pPr>
      <w:r>
        <w:t xml:space="preserve">die Eintragung der Auflassungsvormerkung zugunsten des Käufers im Grundbuch eingetragen oder eintragungsbereit beantragt ist,</w:t>
      </w:r>
    </w:p>
    <w:p>
      <w:pPr>
        <w:numPr>
          <w:ilvl w:val="0"/>
          <w:numId w:val="1001"/>
        </w:numPr>
      </w:pPr>
      <w:r>
        <w:t xml:space="preserve">die Lastenfreistellungserklärung der Pommersche Hypotheken-Bank AG für den Kaufgegenstand vorliegt oder die Vorlage zugesichert ist,</w:t>
      </w:r>
    </w:p>
    <w:p>
      <w:pPr>
        <w:pStyle w:val="FirstParagraph"/>
      </w:pPr>
      <w:r>
        <w:t xml:space="preserve">3.1.2 sowie die Baugenehmigung für Haus 4 vorliegt oder, wenn eine Baugenehmigung nicht oder nicht rechtzeitig erforderlich ist, mit dem Bau begonnen werden darf.</w:t>
      </w:r>
    </w:p>
    <w:p>
      <w:pPr>
        <w:pStyle w:val="BodyText"/>
      </w:pPr>
      <w:r>
        <w:rPr>
          <w:b/>
          <w:bCs/>
        </w:rPr>
        <w:t xml:space="preserve">3.2</w:t>
      </w:r>
      <w:r>
        <w:t xml:space="preserve"> </w:t>
      </w:r>
      <w:r>
        <w:t xml:space="preserve">Der Käufer hat den Kaufpreis nach folgendem Ratenplan zu zahlen, wobei der Verkäufer die Raten entsprechend dem tatsächlichen Bauablauf in sieben Teilbeträgen anfordern wird: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Stichmonat</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Herstellung der Dachflächen und Dachrinnen, Ausführung der Rohinstallation der Heizungs-, Sanitär- und Elektroanlagen sowie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w:t>
            </w:r>
          </w:p>
        </w:tc>
        <w:tc>
          <w:tcPr/>
          <w:p>
            <w:pPr>
              <w:pStyle w:val="Compact"/>
            </w:pPr>
            <w:r>
              <w:t xml:space="preserve">3,5 %</w:t>
            </w:r>
          </w:p>
        </w:tc>
      </w:tr>
    </w:tbl>
    <w:p>
      <w:pPr>
        <w:pStyle w:val="BodyText"/>
      </w:pPr>
      <w:r>
        <w:t xml:space="preserve">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p>
      <w:pPr>
        <w:pStyle w:val="BodyText"/>
      </w:pPr>
      <w:r>
        <w:t xml:space="preserve">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p>
      <w:pPr>
        <w:pStyle w:val="BodyText"/>
      </w:pPr>
      <w:r>
        <w:t xml:space="preserve">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p>
      <w:pPr>
        <w:pStyle w:val="BodyText"/>
      </w:pPr>
      <w:r>
        <w:rPr>
          <w:b/>
          <w:bCs/>
        </w:rPr>
        <w:t xml:space="preserve">3.3</w:t>
      </w:r>
      <w:r>
        <w:t xml:space="preserve"> </w:t>
      </w:r>
      <w:r>
        <w:t xml:space="preserve">Sicherungsmechanik</w:t>
      </w:r>
    </w:p>
    <w:p>
      <w:pPr>
        <w:pStyle w:val="BodyText"/>
      </w:pPr>
      <w:r>
        <w:t xml:space="preserve">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p>
      <w:pPr>
        <w:pStyle w:val="BodyText"/>
      </w:pPr>
      <w:r>
        <w:rPr>
          <w:b/>
          <w:bCs/>
        </w:rPr>
        <w:t xml:space="preserve">3.4</w:t>
      </w:r>
      <w:r>
        <w:t xml:space="preserve"> </w:t>
      </w:r>
      <w:r>
        <w:t xml:space="preserve">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p>
      <w:pPr>
        <w:pStyle w:val="BodyText"/>
      </w:pPr>
      <w:r>
        <w:rPr>
          <w:b/>
          <w:bCs/>
        </w:rPr>
        <w:t xml:space="preserve">3.5</w:t>
      </w:r>
      <w:r>
        <w:t xml:space="preserve"> </w:t>
      </w:r>
      <w:r>
        <w:t xml:space="preserve">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p>
      <w:r>
        <w:br w:type="page"/>
      </w:r>
    </w:p>
    <w:bookmarkEnd w:id="16"/>
    <w:bookmarkStart w:id="17" w:name="Xacd27a9a0599f387afb098c717c3b96c90edba0"/>
    <w:p>
      <w:pPr>
        <w:pStyle w:val="Heading1"/>
      </w:pPr>
      <w:r>
        <w:t xml:space="preserve">§ 4 Belastungsvollmacht, Kaufpreisfinanzierung</w:t>
      </w:r>
    </w:p>
    <w:p>
      <w:pPr>
        <w:pStyle w:val="FirstParagraph"/>
      </w:pPr>
      <w:r>
        <w:rPr>
          <w:b/>
          <w:bCs/>
        </w:rPr>
        <w:t xml:space="preserve">4.1</w:t>
      </w:r>
      <w:r>
        <w:t xml:space="preserve"> </w:t>
      </w:r>
      <w:r>
        <w:t xml:space="preserve">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p>
      <w:pPr>
        <w:pStyle w:val="BodyText"/>
      </w:pPr>
      <w:r>
        <w:rPr>
          <w:b/>
          <w:bCs/>
        </w:rPr>
        <w:t xml:space="preserve">4.2</w:t>
      </w:r>
      <w:r>
        <w:t xml:space="preserve"> </w:t>
      </w:r>
      <w:r>
        <w:t xml:space="preserve">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p>
      <w:pPr>
        <w:pStyle w:val="BodyText"/>
      </w:pPr>
      <w:r>
        <w:rPr>
          <w:b/>
          <w:bCs/>
        </w:rPr>
        <w:t xml:space="preserve">4.3</w:t>
      </w:r>
      <w:r>
        <w:t xml:space="preserve"> </w:t>
      </w:r>
      <w:r>
        <w:t xml:space="preserve">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p>
      <w:r>
        <w:br w:type="page"/>
      </w:r>
    </w:p>
    <w:bookmarkEnd w:id="17"/>
    <w:bookmarkStart w:id="18" w:name="baupflicht-baubeschreibung"/>
    <w:p>
      <w:pPr>
        <w:pStyle w:val="Heading1"/>
      </w:pPr>
      <w:r>
        <w:t xml:space="preserve">§ 5 Baupflicht, Baubeschreibung</w:t>
      </w:r>
    </w:p>
    <w:p>
      <w:pPr>
        <w:pStyle w:val="FirstParagraph"/>
      </w:pPr>
      <w:r>
        <w:rPr>
          <w:b/>
          <w:bCs/>
        </w:rPr>
        <w:t xml:space="preserve">5.1</w:t>
      </w:r>
      <w:r>
        <w:t xml:space="preserve"> </w:t>
      </w:r>
      <w:r>
        <w:t xml:space="preserve">Der Verkäufer verpflichtet sich, den Kaufgegenstand nach Maßgabe der Baubeschreibung in der Fassung Februar 2026, Version 7.2, der Bezugsurkunden und der diesem Vertrag zugrunde liegenden Pläne herzustellen.</w:t>
      </w:r>
    </w:p>
    <w:p>
      <w:pPr>
        <w:pStyle w:val="BodyText"/>
      </w:pPr>
      <w:r>
        <w:rPr>
          <w:b/>
          <w:bCs/>
        </w:rPr>
        <w:t xml:space="preserve">5.2</w:t>
      </w:r>
      <w:r>
        <w:t xml:space="preserve"> </w:t>
      </w:r>
      <w:r>
        <w:t xml:space="preserve">Planung, Projektsteuerung und Objektüberwachung</w:t>
      </w:r>
    </w:p>
    <w:p>
      <w:pPr>
        <w:pStyle w:val="BodyText"/>
      </w:pPr>
      <w:r>
        <w:t xml:space="preserve">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p>
      <w:pPr>
        <w:pStyle w:val="BodyText"/>
      </w:pPr>
      <w:r>
        <w:t xml:space="preserve">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p>
      <w:pPr>
        <w:pStyle w:val="BodyText"/>
      </w:pPr>
      <w:r>
        <w:rPr>
          <w:b/>
          <w:bCs/>
        </w:rPr>
        <w:t xml:space="preserve">5.3</w:t>
      </w:r>
      <w:r>
        <w:t xml:space="preserve"> </w:t>
      </w:r>
      <w:r>
        <w:t xml:space="preserve">Soweit die Baubeschreibung Wahlmöglichkeiten bei Material, Farbe oder Form vorsieht, erhält der Käufer im Rahmen einer Bemusterung die Möglichkeit, sofern der Baufortschritt es noch zulässt, eine entsprechende Auswahl zu treffen.</w:t>
      </w:r>
    </w:p>
    <w:p>
      <w:pPr>
        <w:pStyle w:val="BodyText"/>
      </w:pPr>
      <w:r>
        <w:t xml:space="preserve">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p>
      <w:pPr>
        <w:pStyle w:val="BodyText"/>
      </w:pPr>
      <w:r>
        <w:t xml:space="preserve">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p>
      <w:pPr>
        <w:pStyle w:val="BodyText"/>
      </w:pPr>
      <w:r>
        <w:rPr>
          <w:b/>
          <w:bCs/>
        </w:rPr>
        <w:t xml:space="preserve">5.4</w:t>
      </w:r>
      <w:r>
        <w:t xml:space="preserve"> </w:t>
      </w:r>
      <w:r>
        <w:t xml:space="preserve">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p>
      <w:pPr>
        <w:pStyle w:val="BodyText"/>
      </w:pPr>
      <w:r>
        <w:rPr>
          <w:b/>
          <w:bCs/>
        </w:rPr>
        <w:t xml:space="preserve">5.5</w:t>
      </w:r>
      <w:r>
        <w:t xml:space="preserve"> </w:t>
      </w:r>
      <w:r>
        <w:t xml:space="preserve">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p>
      <w:pPr>
        <w:pStyle w:val="BodyText"/>
      </w:pPr>
      <w:r>
        <w:rPr>
          <w:b/>
          <w:bCs/>
        </w:rPr>
        <w:t xml:space="preserve">5.6</w:t>
      </w:r>
      <w:r>
        <w:t xml:space="preserve"> </w:t>
      </w:r>
      <w:r>
        <w:t xml:space="preserve">Der Verkäufer hat die Leistungen nach den anerkannten Regeln der Technik</w:t>
      </w:r>
      <w:r>
        <w:t xml:space="preserve"> </w:t>
      </w:r>
      <w:r>
        <w:rPr>
          <w:b/>
          <w:bCs/>
        </w:rPr>
        <w:t xml:space="preserve">zum Tag der Erteilung der Baugenehmigung</w:t>
      </w:r>
      <w:r>
        <w:t xml:space="preserve"> </w:t>
      </w:r>
      <w:r>
        <w:t xml:space="preserve">zu errichten. Spätere Änderungen der anerkannten Regeln der Technik wirken sich auf die geschuldete Leistung nicht aus.</w:t>
      </w:r>
    </w:p>
    <w:p>
      <w:pPr>
        <w:pStyle w:val="BodyText"/>
      </w:pPr>
      <w:r>
        <w:rPr>
          <w:b/>
          <w:bCs/>
        </w:rPr>
        <w:t xml:space="preserve">5.7</w:t>
      </w:r>
      <w:r>
        <w:t xml:space="preserve"> </w:t>
      </w:r>
      <w:r>
        <w:t xml:space="preserve">Änderungen in Planung und Ausführung durch den Verkäufer sind zulässig, wenn sie aufgrund behördlicher Vorgaben oder Auflagen, Gesetzesänderungen, statischer Notwendigkeit, Bauablauf-Erfordernissen oder sonstigen Rechtsgründen erforderlich sind.</w:t>
      </w:r>
    </w:p>
    <w:p>
      <w:pPr>
        <w:pStyle w:val="BodyText"/>
      </w:pPr>
      <w:r>
        <w:t xml:space="preserve">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p>
      <w:pPr>
        <w:pStyle w:val="BodyText"/>
      </w:pPr>
      <w:r>
        <w:rPr>
          <w:b/>
          <w:bCs/>
        </w:rPr>
        <w:t xml:space="preserve">5.8</w:t>
      </w:r>
      <w:r>
        <w:t xml:space="preserve"> </w:t>
      </w:r>
      <w:r>
        <w:t xml:space="preserve">Termine</w:t>
      </w:r>
    </w:p>
    <w:p>
      <w:pPr>
        <w:pStyle w:val="BodyText"/>
      </w:pPr>
      <w:r>
        <w:t xml:space="preserve">5.8.1 Der Verkäufer wird die gemäß § 5.1 geschuldeten Bauleistungen voraussichtlich bis 30.09.2027 bezugsfertig herstellen.</w:t>
      </w:r>
    </w:p>
    <w:p>
      <w:pPr>
        <w:pStyle w:val="BodyText"/>
      </w:pPr>
      <w:r>
        <w:t xml:space="preserve">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p>
      <w:pPr>
        <w:pStyle w:val="BodyText"/>
      </w:pPr>
      <w:r>
        <w:t xml:space="preserve">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p>
      <w:pPr>
        <w:pStyle w:val="BodyText"/>
      </w:pPr>
      <w:r>
        <w:rPr>
          <w:b/>
          <w:bCs/>
        </w:rPr>
        <w:t xml:space="preserve">5.9</w:t>
      </w:r>
      <w:r>
        <w:t xml:space="preserve"> </w:t>
      </w:r>
      <w:r>
        <w:t xml:space="preserve">Wohnfläche</w:t>
      </w:r>
    </w:p>
    <w:p>
      <w:pPr>
        <w:pStyle w:val="BodyText"/>
      </w:pPr>
      <w:r>
        <w:t xml:space="preserve">5.9.1 Die nach Maßgabe des § 5.1 herzustellende Wohnfläche beträgt ca. 118,4 m². Die Flächenberechnung erfolgt nach DIN 277.</w:t>
      </w:r>
    </w:p>
    <w:p>
      <w:pPr>
        <w:pStyle w:val="BodyText"/>
      </w:pPr>
      <w:r>
        <w:t xml:space="preserve">5.9.2 Aus einer Unterschreitung der vorstehenden Wohnfläche kann der Käufer nur Rechte herleiten, wenn die Unterschreitung 8 % der vorstehenden Wohnfläche übersteigt.</w:t>
      </w:r>
    </w:p>
    <w:p>
      <w:pPr>
        <w:pStyle w:val="BodyText"/>
      </w:pPr>
      <w:r>
        <w:rPr>
          <w:b/>
          <w:bCs/>
        </w:rPr>
        <w:t xml:space="preserve">5.10</w:t>
      </w:r>
      <w:r>
        <w:t xml:space="preserve"> </w:t>
      </w:r>
      <w:r>
        <w:t xml:space="preserve">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p>
      <w:pPr>
        <w:pStyle w:val="BodyText"/>
      </w:pPr>
      <w:r>
        <w:rPr>
          <w:b/>
          <w:bCs/>
        </w:rPr>
        <w:t xml:space="preserve">5.11</w:t>
      </w:r>
      <w:r>
        <w:t xml:space="preserve"> </w:t>
      </w:r>
      <w:r>
        <w:t xml:space="preserve">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p>
      <w:pPr>
        <w:pStyle w:val="BodyText"/>
      </w:pPr>
      <w:r>
        <w:rPr>
          <w:b/>
          <w:bCs/>
        </w:rPr>
        <w:t xml:space="preserve">5.12</w:t>
      </w:r>
      <w:r>
        <w:t xml:space="preserve"> </w:t>
      </w:r>
      <w:r>
        <w:t xml:space="preserve">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p>
      <w:pPr>
        <w:pStyle w:val="BodyText"/>
      </w:pPr>
      <w:r>
        <w:rPr>
          <w:b/>
          <w:bCs/>
        </w:rPr>
        <w:t xml:space="preserve">5.13</w:t>
      </w:r>
      <w:r>
        <w:t xml:space="preserve"> </w:t>
      </w:r>
      <w:r>
        <w:t xml:space="preserve">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p>
      <w:pPr>
        <w:pStyle w:val="BodyText"/>
      </w:pPr>
      <w:r>
        <w:rPr>
          <w:b/>
          <w:bCs/>
        </w:rPr>
        <w:t xml:space="preserve">5.14</w:t>
      </w:r>
      <w:r>
        <w:t xml:space="preserve"> </w:t>
      </w:r>
      <w:r>
        <w:t xml:space="preserve">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p>
      <w:pPr>
        <w:pStyle w:val="BodyText"/>
      </w:pPr>
      <w:r>
        <w:rPr>
          <w:b/>
          <w:bCs/>
        </w:rPr>
        <w:t xml:space="preserve">5.15</w:t>
      </w:r>
      <w:r>
        <w:t xml:space="preserve"> </w:t>
      </w:r>
      <w:r>
        <w:t xml:space="preserve">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p>
      <w:r>
        <w:br w:type="page"/>
      </w:r>
    </w:p>
    <w:bookmarkEnd w:id="18"/>
    <w:bookmarkStart w:id="19" w:name="Xf95df7023395c5238d26d19148165edbf6ad5ae"/>
    <w:p>
      <w:pPr>
        <w:pStyle w:val="Heading1"/>
      </w:pPr>
      <w:r>
        <w:t xml:space="preserve">§ 6 Wirtschaftlicher Besitzübergang, Abnahme, Schlüsselübergabe</w:t>
      </w:r>
    </w:p>
    <w:p>
      <w:pPr>
        <w:pStyle w:val="FirstParagraph"/>
      </w:pPr>
      <w:r>
        <w:rPr>
          <w:b/>
          <w:bCs/>
        </w:rPr>
        <w:t xml:space="preserve">6.1</w:t>
      </w:r>
      <w:r>
        <w:t xml:space="preserve"> </w:t>
      </w:r>
      <w:r>
        <w:t xml:space="preserve">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p>
      <w:pPr>
        <w:pStyle w:val="BodyText"/>
      </w:pPr>
      <w:r>
        <w:rPr>
          <w:b/>
          <w:bCs/>
        </w:rPr>
        <w:t xml:space="preserve">6.2</w:t>
      </w:r>
      <w:r>
        <w:t xml:space="preserve"> </w:t>
      </w:r>
      <w:r>
        <w:t xml:space="preserve">Abnahme der Sondereigentumseinheit</w:t>
      </w:r>
    </w:p>
    <w:p>
      <w:pPr>
        <w:pStyle w:val="BodyText"/>
      </w:pPr>
      <w:r>
        <w:t xml:space="preserve">6.2.1 Die Sondereigentumseinheit wird vor Bezug nach einer gemeinsamen Begehung abgenommen. Hierzu teilt der Verkäufer dem Käufer schriftlich die bezugsfertige Herstellung mit und fordert ihn unter Setzung einer Frist von zehn Tagen zur Begehung und Abnahme auf.</w:t>
      </w:r>
    </w:p>
    <w:p>
      <w:pPr>
        <w:pStyle w:val="BodyText"/>
      </w:pPr>
      <w:r>
        <w:t xml:space="preserve">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p>
      <w:pPr>
        <w:pStyle w:val="BodyText"/>
      </w:pPr>
      <w:r>
        <w:t xml:space="preserve">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p>
      <w:pPr>
        <w:pStyle w:val="BodyText"/>
      </w:pPr>
      <w:r>
        <w:rPr>
          <w:b/>
          <w:bCs/>
        </w:rPr>
        <w:t xml:space="preserve">6.3</w:t>
      </w:r>
      <w:r>
        <w:t xml:space="preserve"> </w:t>
      </w:r>
      <w:r>
        <w:t xml:space="preserve">Abnahme des Gemeinschaftseigentums</w:t>
      </w:r>
    </w:p>
    <w:p>
      <w:pPr>
        <w:pStyle w:val="BodyText"/>
      </w:pPr>
      <w:r>
        <w:t xml:space="preserve">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p>
      <w:pPr>
        <w:pStyle w:val="BodyText"/>
      </w:pPr>
      <w:r>
        <w:t xml:space="preserve">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p>
      <w:pPr>
        <w:pStyle w:val="BodyText"/>
      </w:pPr>
      <w:r>
        <w:t xml:space="preserve">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p>
      <w:r>
        <w:br w:type="page"/>
      </w:r>
    </w:p>
    <w:bookmarkEnd w:id="19"/>
    <w:bookmarkStart w:id="20" w:name="erschließungskosten"/>
    <w:p>
      <w:pPr>
        <w:pStyle w:val="Heading1"/>
      </w:pPr>
      <w:r>
        <w:t xml:space="preserve">§ 7 Erschließungskosten</w:t>
      </w:r>
    </w:p>
    <w:p>
      <w:pPr>
        <w:pStyle w:val="FirstParagraph"/>
      </w:pPr>
      <w:r>
        <w:rPr>
          <w:b/>
          <w:bCs/>
        </w:rPr>
        <w:t xml:space="preserve">7.1</w:t>
      </w:r>
      <w:r>
        <w:t xml:space="preserve"> </w:t>
      </w:r>
      <w:r>
        <w:t xml:space="preserve">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p>
      <w:pPr>
        <w:pStyle w:val="BodyText"/>
      </w:pPr>
      <w:r>
        <w:rPr>
          <w:b/>
          <w:bCs/>
        </w:rPr>
        <w:t xml:space="preserve">7.2</w:t>
      </w:r>
      <w:r>
        <w:t xml:space="preserve"> </w:t>
      </w:r>
      <w:r>
        <w:t xml:space="preserve">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p>
      <w:r>
        <w:br w:type="page"/>
      </w:r>
    </w:p>
    <w:bookmarkEnd w:id="20"/>
    <w:bookmarkStart w:id="21" w:name="zutritt-zur-baustelle"/>
    <w:p>
      <w:pPr>
        <w:pStyle w:val="Heading1"/>
      </w:pPr>
      <w:r>
        <w:t xml:space="preserve">§ 8 Zutritt zur Baustelle</w:t>
      </w:r>
    </w:p>
    <w:p>
      <w:pPr>
        <w:pStyle w:val="FirstParagraph"/>
      </w:pPr>
      <w:r>
        <w:rPr>
          <w:b/>
          <w:bCs/>
        </w:rPr>
        <w:t xml:space="preserve">8.1</w:t>
      </w:r>
      <w:r>
        <w:t xml:space="preserve"> </w:t>
      </w:r>
      <w:r>
        <w:t xml:space="preserve">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p>
      <w:pPr>
        <w:pStyle w:val="BodyText"/>
      </w:pPr>
      <w:r>
        <w:rPr>
          <w:b/>
          <w:bCs/>
        </w:rPr>
        <w:t xml:space="preserve">8.2</w:t>
      </w:r>
      <w:r>
        <w:t xml:space="preserve"> </w:t>
      </w:r>
      <w:r>
        <w:t xml:space="preserve">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p>
      <w:pPr>
        <w:pStyle w:val="BodyText"/>
      </w:pPr>
      <w:r>
        <w:rPr>
          <w:b/>
          <w:bCs/>
        </w:rPr>
        <w:t xml:space="preserve">8.3</w:t>
      </w:r>
      <w:r>
        <w:t xml:space="preserve"> </w:t>
      </w:r>
      <w:r>
        <w:t xml:space="preserve">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p>
      <w:r>
        <w:br w:type="page"/>
      </w:r>
    </w:p>
    <w:bookmarkEnd w:id="21"/>
    <w:bookmarkStart w:id="22" w:name="haftung-mängelrechte-verzug-verjährung"/>
    <w:p>
      <w:pPr>
        <w:pStyle w:val="Heading1"/>
      </w:pPr>
      <w:r>
        <w:t xml:space="preserve">§ 9 Haftung, Mängelrechte, Verzug, Verjährung</w:t>
      </w:r>
    </w:p>
    <w:p>
      <w:pPr>
        <w:pStyle w:val="FirstParagraph"/>
      </w:pPr>
      <w:r>
        <w:rPr>
          <w:b/>
          <w:bCs/>
        </w:rPr>
        <w:t xml:space="preserve">9.1</w:t>
      </w:r>
      <w:r>
        <w:t xml:space="preserve"> </w:t>
      </w:r>
      <w:r>
        <w:t xml:space="preserve">Der Verkäufer schuldet den lastenfreien Besitz- und Eigentumsübergang des Vertragsgegenstandes, soweit nicht Lasten und Rechte ausdrücklich übernommen werden.</w:t>
      </w:r>
    </w:p>
    <w:p>
      <w:pPr>
        <w:pStyle w:val="BodyText"/>
      </w:pPr>
      <w:r>
        <w:rPr>
          <w:b/>
          <w:bCs/>
        </w:rPr>
        <w:t xml:space="preserve">9.2</w:t>
      </w:r>
      <w:r>
        <w:t xml:space="preserve"> </w:t>
      </w:r>
      <w:r>
        <w:t xml:space="preserve">Der Verkäufer schuldet weder die Verwendbarkeit des Kaufgegenstandes für Zwecke des Käufers noch dessen Eignung zur Erreichung steuerlicher Ziele des Käufers.</w:t>
      </w:r>
    </w:p>
    <w:p>
      <w:pPr>
        <w:pStyle w:val="BodyText"/>
      </w:pPr>
      <w:r>
        <w:rPr>
          <w:b/>
          <w:bCs/>
        </w:rPr>
        <w:t xml:space="preserve">9.3</w:t>
      </w:r>
      <w:r>
        <w:t xml:space="preserve"> </w:t>
      </w:r>
      <w:r>
        <w:t xml:space="preserve">Alle Ansprüche und Rechte des Käufers wegen eines Sachmangels des Grundstücks sind ausgeschlossen, ausgenommen Schadensersatzansprüche wegen Vorsatzes.</w:t>
      </w:r>
    </w:p>
    <w:p>
      <w:pPr>
        <w:pStyle w:val="BodyText"/>
      </w:pPr>
      <w:r>
        <w:rPr>
          <w:b/>
          <w:bCs/>
        </w:rPr>
        <w:t xml:space="preserve">9.4</w:t>
      </w:r>
      <w:r>
        <w:t xml:space="preserve"> </w:t>
      </w:r>
      <w:r>
        <w:t xml:space="preserve">Hinsichtlich des herzustellenden Bauwerks gelten die Regelungen des Werkvertragsrechts gem. §§ 633 ff. BGB mit folgender Maßgabe und zur Sicherung einer geordneten Gewährleistungsabwicklung:</w:t>
      </w:r>
    </w:p>
    <w:p>
      <w:pPr>
        <w:pStyle w:val="Compact"/>
        <w:numPr>
          <w:ilvl w:val="0"/>
          <w:numId w:val="1002"/>
        </w:numPr>
      </w:pPr>
      <w:r>
        <w:t xml:space="preserve">Mängelanzeigen sind mit konkreter Beschreibung, Lageangabe innerhalb der Wohnung 4.27, Foto und gewünschter Kontaktaufnahme an die vom Verkäufer benannte Gewährleistungsstelle</w:t>
      </w:r>
      <w:r>
        <w:t xml:space="preserve"> </w:t>
      </w:r>
      <w:r>
        <w:rPr>
          <w:rStyle w:val="VerbatimChar"/>
        </w:rPr>
        <w:t xml:space="preserve">gewaehrleistung-birkenpfuhl@hq-projekt.de</w:t>
      </w:r>
      <w:r>
        <w:t xml:space="preserve"> </w:t>
      </w:r>
      <w:r>
        <w:t xml:space="preserve">zu richten.</w:t>
      </w:r>
    </w:p>
    <w:p>
      <w:pPr>
        <w:pStyle w:val="Compact"/>
        <w:numPr>
          <w:ilvl w:val="0"/>
          <w:numId w:val="1002"/>
        </w:numPr>
      </w:pPr>
      <w:r>
        <w:t xml:space="preserve">Der Käufer wird dem Verkäufer zunächst Gelegenheit zur Prüfung und Nacherfüllung geben; Ersatzvornahmen vor Abschluss dieser Prüfung sind nur bei Gefahr im Verzug oder nach schriftlicher Freigabe des Verkäufers erstattungsfähig.</w:t>
      </w:r>
    </w:p>
    <w:p>
      <w:pPr>
        <w:pStyle w:val="Compact"/>
        <w:numPr>
          <w:ilvl w:val="0"/>
          <w:numId w:val="1002"/>
        </w:numPr>
      </w:pPr>
      <w: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w:t>
      </w:r>
    </w:p>
    <w:p>
      <w:pPr>
        <w:pStyle w:val="Compact"/>
        <w:numPr>
          <w:ilvl w:val="0"/>
          <w:numId w:val="1002"/>
        </w:numPr>
      </w:pPr>
      <w: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w:t>
      </w:r>
    </w:p>
    <w:p>
      <w:pPr>
        <w:pStyle w:val="Compact"/>
        <w:numPr>
          <w:ilvl w:val="0"/>
          <w:numId w:val="1002"/>
        </w:numPr>
      </w:pPr>
      <w:r>
        <w:t xml:space="preserve">Die Verjährungsfrist für Mängelansprüche beträgt zwei Jahre ab der vom Verkäufer dokumentierten Abnahmebestätigung, soweit zwingendes Recht keine längere Frist vorschreibt.</w:t>
      </w:r>
    </w:p>
    <w:p>
      <w:pPr>
        <w:pStyle w:val="FirstParagraph"/>
      </w:pPr>
      <w:r>
        <w:rPr>
          <w:b/>
          <w:bCs/>
        </w:rPr>
        <w:t xml:space="preserve">9.5</w:t>
      </w:r>
      <w:r>
        <w:t xml:space="preserve"> </w:t>
      </w:r>
      <w:r>
        <w:t xml:space="preserve">Schäden an Gebrauchsteilen und sonstigen Bauteilen, die aufgrund bestimmungsgemäßen Gebrauches über eine nur begrenzte Nutzungsdauer verfügen und/oder ständiger Wartung bedürfen, stellen keinen Mangel dar.</w:t>
      </w:r>
    </w:p>
    <w:p>
      <w:pPr>
        <w:pStyle w:val="BodyText"/>
      </w:pPr>
      <w:r>
        <w:rPr>
          <w:b/>
          <w:bCs/>
        </w:rPr>
        <w:t xml:space="preserve">9.6</w:t>
      </w:r>
      <w:r>
        <w:t xml:space="preserve"> </w:t>
      </w:r>
      <w:r>
        <w:t xml:space="preserve">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p>
      <w:r>
        <w:br w:type="page"/>
      </w:r>
    </w:p>
    <w:bookmarkEnd w:id="22"/>
    <w:bookmarkStart w:id="23" w:name="vormerkung"/>
    <w:p>
      <w:pPr>
        <w:pStyle w:val="Heading1"/>
      </w:pPr>
      <w:r>
        <w:t xml:space="preserve">§ 10 Vormerkung</w:t>
      </w:r>
    </w:p>
    <w:p>
      <w:pPr>
        <w:pStyle w:val="FirstParagraph"/>
      </w:pPr>
      <w:r>
        <w:rPr>
          <w:b/>
          <w:bCs/>
        </w:rPr>
        <w:t xml:space="preserve">10.1</w:t>
      </w:r>
      <w:r>
        <w:t xml:space="preserve"> </w:t>
      </w:r>
      <w:r>
        <w:t xml:space="preserve">Zur Sicherung des Anspruchs des Käufers auf Verschaffung des Eigentums an dem Kaufgegenstand wird die Eintragung einer Eigentumsvormerkung nach § 883 BGB zugunsten des Käufers im Wohnungsgrundbuch durch den Verkäufer bewilligt und durch die Parteien beantragt.</w:t>
      </w:r>
    </w:p>
    <w:p>
      <w:pPr>
        <w:pStyle w:val="BodyText"/>
      </w:pPr>
      <w:r>
        <w:rPr>
          <w:b/>
          <w:bCs/>
        </w:rPr>
        <w:t xml:space="preserve">10.2</w:t>
      </w:r>
      <w:r>
        <w:t xml:space="preserve"> </w:t>
      </w:r>
      <w:r>
        <w:t xml:space="preserve">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p>
      <w:pPr>
        <w:pStyle w:val="BodyText"/>
      </w:pPr>
      <w:r>
        <w:rPr>
          <w:b/>
          <w:bCs/>
        </w:rPr>
        <w:t xml:space="preserve">10.3</w:t>
      </w:r>
      <w:r>
        <w:t xml:space="preserve"> </w:t>
      </w:r>
      <w:r>
        <w:t xml:space="preserve">Der Käufer beantragt schon heute die Löschung der Eigentumsvormerkung Zug um Zug mit Vollzug der Auflassung.</w:t>
      </w:r>
    </w:p>
    <w:p>
      <w:r>
        <w:br w:type="page"/>
      </w:r>
    </w:p>
    <w:bookmarkEnd w:id="23"/>
    <w:bookmarkStart w:id="24" w:name="auflassung"/>
    <w:p>
      <w:pPr>
        <w:pStyle w:val="Heading1"/>
      </w:pPr>
      <w:r>
        <w:t xml:space="preserve">§ 11 Auflassung</w:t>
      </w:r>
    </w:p>
    <w:p>
      <w:pPr>
        <w:pStyle w:val="FirstParagraph"/>
      </w:pPr>
      <w:r>
        <w:t xml:space="preserve">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p>
      <w:r>
        <w:br w:type="page"/>
      </w:r>
    </w:p>
    <w:bookmarkEnd w:id="24"/>
    <w:bookmarkStart w:id="25" w:name="vollmachten"/>
    <w:p>
      <w:pPr>
        <w:pStyle w:val="Heading1"/>
      </w:pPr>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p>
      <w:pPr>
        <w:pStyle w:val="BodyText"/>
      </w:pPr>
      <w:r>
        <w:rPr>
          <w:b/>
          <w:bCs/>
        </w:rPr>
        <w:t xml:space="preserve">12.2</w:t>
      </w:r>
      <w:r>
        <w:t xml:space="preserve"> </w:t>
      </w:r>
      <w:r>
        <w:t xml:space="preserve">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p>
      <w:pPr>
        <w:pStyle w:val="BodyText"/>
      </w:pPr>
      <w:r>
        <w:rPr>
          <w:b/>
          <w:bCs/>
        </w:rPr>
        <w:t xml:space="preserve">12.3</w:t>
      </w:r>
      <w:r>
        <w:t xml:space="preserve"> </w:t>
      </w:r>
      <w:r>
        <w:t xml:space="preserve">Der Käufer bevollmächtigt den Verkäufer ferner, sämtliche zur Durchführung dieses Vertrages erforderlichen Anträge, Erklärungen und Verzichte beim Grundbuchamt, bei Behörden und gegenüber Dritten abzugeben.</w:t>
      </w:r>
    </w:p>
    <w:p>
      <w:r>
        <w:br w:type="page"/>
      </w:r>
    </w:p>
    <w:bookmarkEnd w:id="25"/>
    <w:bookmarkStart w:id="26" w:name="schlussbestimmungen"/>
    <w:p>
      <w:pPr>
        <w:pStyle w:val="Heading1"/>
      </w:pPr>
      <w:r>
        <w:t xml:space="preserve">§ 13 Schlussbestimmungen</w:t>
      </w:r>
    </w:p>
    <w:p>
      <w:pPr>
        <w:pStyle w:val="FirstParagraph"/>
      </w:pPr>
      <w:r>
        <w:rPr>
          <w:b/>
          <w:bCs/>
        </w:rPr>
        <w:t xml:space="preserve">13.1</w:t>
      </w:r>
      <w:r>
        <w:t xml:space="preserve"> </w:t>
      </w:r>
      <w:r>
        <w:t xml:space="preserve">Mündliche Nebenabreden bestehen nicht. Änderungen und Ergänzungen dieses Vertrages bedürfen der notariellen Beurkundung, soweit gesetzlich vorgeschrieben, im Übrigen der Schriftform.</w:t>
      </w:r>
    </w:p>
    <w:p>
      <w:pPr>
        <w:pStyle w:val="BodyText"/>
      </w:pPr>
      <w:r>
        <w:rPr>
          <w:b/>
          <w:bCs/>
        </w:rPr>
        <w:t xml:space="preserve">13.2</w:t>
      </w:r>
      <w:r>
        <w:t xml:space="preserve"> </w:t>
      </w:r>
      <w:r>
        <w:t xml:space="preserve">Sollte eine Bestimmung dieses Vertrages unwirksam sein oder werden, so wird die Wirksamkeit der übrigen Bestimmungen davon nicht berührt.</w:t>
      </w:r>
    </w:p>
    <w:p>
      <w:pPr>
        <w:pStyle w:val="BodyText"/>
      </w:pPr>
      <w:r>
        <w:rPr>
          <w:b/>
          <w:bCs/>
        </w:rPr>
        <w:t xml:space="preserve">13.3</w:t>
      </w:r>
      <w:r>
        <w:t xml:space="preserve"> </w:t>
      </w:r>
      <w:r>
        <w:t xml:space="preserve">Gerichtsstand für sämtliche Streitigkeiten aus diesem Vertrag ist Berlin, soweit dies rechtlich zulässig ist.</w:t>
      </w:r>
    </w:p>
    <w:p>
      <w:pPr>
        <w:pStyle w:val="BodyText"/>
      </w:pPr>
      <w:r>
        <w:rPr>
          <w:b/>
          <w:bCs/>
        </w:rPr>
        <w:t xml:space="preserve">13.4</w:t>
      </w:r>
      <w:r>
        <w:t xml:space="preserve"> </w:t>
      </w:r>
      <w:r>
        <w:t xml:space="preserve">Die Kosten dieser Urkunde und ihres Vollzugs trägt der Käufer.</w:t>
      </w:r>
    </w:p>
    <w:p>
      <w:pPr>
        <w:pStyle w:val="BodyText"/>
      </w:pPr>
      <w:r>
        <w:rPr>
          <w:b/>
          <w:bCs/>
        </w:rPr>
        <w:t xml:space="preserve">13.5</w:t>
      </w:r>
      <w:r>
        <w:t xml:space="preserve"> </w:t>
      </w:r>
      <w:r>
        <w:t xml:space="preserve">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p>
      <w:r>
        <w:br w:type="page"/>
      </w:r>
    </w:p>
    <w:bookmarkEnd w:id="26"/>
    <w:bookmarkStart w:id="27" w:name="belehrungen"/>
    <w:p>
      <w:pPr>
        <w:pStyle w:val="Heading1"/>
      </w:pPr>
      <w:r>
        <w:t xml:space="preserve">§ 14 Belehrungen</w:t>
      </w:r>
    </w:p>
    <w:p>
      <w:pPr>
        <w:pStyle w:val="FirstParagraph"/>
      </w:pPr>
      <w:r>
        <w:t xml:space="preserve">Der Notar hat die Beteiligten belehrt über:</w:t>
      </w:r>
    </w:p>
    <w:p>
      <w:pPr>
        <w:pStyle w:val="Compact"/>
        <w:numPr>
          <w:ilvl w:val="0"/>
          <w:numId w:val="1003"/>
        </w:numPr>
      </w:pPr>
      <w:r>
        <w:t xml:space="preserve">den Inhalt und die Bedeutung dieses Vertrages,</w:t>
      </w:r>
    </w:p>
    <w:p>
      <w:pPr>
        <w:pStyle w:val="Compact"/>
        <w:numPr>
          <w:ilvl w:val="0"/>
          <w:numId w:val="1003"/>
        </w:numPr>
      </w:pPr>
      <w:r>
        <w:t xml:space="preserve">die Bedeutung der Bezugnahme nach § 13a BeurkG,</w:t>
      </w:r>
    </w:p>
    <w:p>
      <w:pPr>
        <w:pStyle w:val="Compact"/>
        <w:numPr>
          <w:ilvl w:val="0"/>
          <w:numId w:val="1003"/>
        </w:numPr>
      </w:pPr>
      <w:r>
        <w:t xml:space="preserve">die Eigentumsübertragung erst mit Eintragung im Grundbuch,</w:t>
      </w:r>
    </w:p>
    <w:p>
      <w:pPr>
        <w:pStyle w:val="Compact"/>
        <w:numPr>
          <w:ilvl w:val="0"/>
          <w:numId w:val="1003"/>
        </w:numPr>
      </w:pPr>
      <w:r>
        <w:t xml:space="preserve">die Bedeutung der Auflassungsvormerkung,</w:t>
      </w:r>
    </w:p>
    <w:p>
      <w:pPr>
        <w:pStyle w:val="Compact"/>
        <w:numPr>
          <w:ilvl w:val="0"/>
          <w:numId w:val="1003"/>
        </w:numPr>
      </w:pPr>
      <w:r>
        <w:t xml:space="preserve">die Bedeutung der Belastungsvollmacht,</w:t>
      </w:r>
    </w:p>
    <w:p>
      <w:pPr>
        <w:pStyle w:val="Compact"/>
        <w:numPr>
          <w:ilvl w:val="0"/>
          <w:numId w:val="1003"/>
        </w:numPr>
      </w:pPr>
      <w:r>
        <w:t xml:space="preserve">die gesetzliche Verjährungsfrist für Mängelansprüche im Werkvertragsrecht,</w:t>
      </w:r>
    </w:p>
    <w:p>
      <w:pPr>
        <w:pStyle w:val="Compact"/>
        <w:numPr>
          <w:ilvl w:val="0"/>
          <w:numId w:val="1003"/>
        </w:numPr>
      </w:pPr>
      <w:r>
        <w:t xml:space="preserve">die Möglichkeit, eigene technische Berater hinzuzuziehen, wobei der Notar keine technische Prüfung des Baugrunds, der Bauüberwachung, der Fachplanung oder der Wirtschaftlichkeit von Betriebs- und Wartungsverträgen vorgenommen hat.</w:t>
      </w:r>
    </w:p>
    <w:p>
      <w:pPr>
        <w:pStyle w:val="FirstParagraph"/>
      </w:pPr>
      <w:r>
        <w:t xml:space="preserve">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p>
      <w:r>
        <w:br w:type="page"/>
      </w:r>
    </w:p>
    <w:bookmarkEnd w:id="27"/>
    <w:bookmarkStart w:id="28" w:name="X4f67cac4119bae2ce85a655d240d61c8e478a46"/>
    <w:p>
      <w:pPr>
        <w:pStyle w:val="Heading1"/>
      </w:pPr>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p>
      <w:pPr>
        <w:pStyle w:val="BodyText"/>
      </w:pPr>
      <w:r>
        <w:rPr>
          <w:b/>
          <w:bCs/>
        </w:rPr>
        <w:t xml:space="preserve">Anhang a</w:t>
      </w:r>
      <w:r>
        <w:t xml:space="preserve"> </w:t>
      </w:r>
      <w:r>
        <w:t xml:space="preserve">— beglaubigte Fotokopie der Vollmacht der Erschienenen zu 1. vom 22.10.2025, UR-Nr. 1402/2025 W des Notars Egmont Wachtelborn, Berlin.</w:t>
      </w:r>
    </w:p>
    <w:p>
      <w:pPr>
        <w:pStyle w:val="BodyText"/>
      </w:pPr>
      <w:r>
        <w:rPr>
          <w:b/>
          <w:bCs/>
        </w:rPr>
        <w:t xml:space="preserve">Lose übergebene Unterlagen (nicht Gegenstand der Beurkundung):</w:t>
      </w:r>
      <w:r>
        <w:t xml:space="preserve"> </w:t>
      </w:r>
      <w:r>
        <w:t xml:space="preserve">Baubeschreibung in der Fassung Februar 2026, Version 7.2; Abgeschlossenheitsbescheinigung; Aufteilungsplan-Auszug zur Einheit 4.27. Diese Unterlagen wurden dem Käufer mit Vertragsunterzeichnung in Druckfassung ausgehändigt.</w:t>
      </w:r>
    </w:p>
    <w:p>
      <w:pPr>
        <w:pStyle w:val="BodyText"/>
      </w:pPr>
      <w:r>
        <w:t xml:space="preserve">Der Notar wird mit dem Vollzug beauftragt. Er soll Anträge erst stellen, wenn die hierfür erforderlichen Erklärungen und Nachweise vorliegen. Mitteilungen über den Eintritt der Fälligkeitsvoraussetzungen nach § 3 erfolgen schriftlich an beide Parteien.</w:t>
      </w:r>
    </w:p>
    <w:p>
      <w:r>
        <w:br w:type="page"/>
      </w:r>
    </w:p>
    <w:bookmarkEnd w:id="28"/>
    <w:bookmarkStart w:id="29" w:name="geschäftswert-und-kosten"/>
    <w:p>
      <w:pPr>
        <w:pStyle w:val="Heading1"/>
      </w:pPr>
      <w:r>
        <w:t xml:space="preserve">Geschäftswert und Kosten</w:t>
      </w:r>
    </w:p>
    <w:p>
      <w:pPr>
        <w:pStyle w:val="FirstParagraph"/>
      </w:pPr>
      <w:r>
        <w:t xml:space="preserve">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p>
      <w:r>
        <w:br w:type="page"/>
      </w:r>
    </w:p>
    <w:bookmarkEnd w:id="29"/>
    <w:bookmarkStart w:id="30" w:name="unterschriften"/>
    <w:p>
      <w:pPr>
        <w:pStyle w:val="Heading1"/>
      </w:pPr>
      <w:r>
        <w:t xml:space="preserve">Unterschriften</w:t>
      </w:r>
    </w:p>
    <w:p>
      <w:pPr>
        <w:pStyle w:val="FirstParagraph"/>
      </w:pPr>
      <w:r>
        <w:t xml:space="preserve">Die Erschienenen erklärten, dass sie auf das Verlesen der Bezugsurkunden verzichten, da ihnen deren Inhalt bekannt ist. Diese Niederschrift wurde den Erschienenen vom Notar vorgelesen, von ihnen genehmigt und sodann eigenhändig wie folgt unterschrieben:</w:t>
      </w:r>
    </w:p>
    <w:p>
      <w:pPr>
        <w:pStyle w:val="BodyText"/>
      </w:pPr>
      <w:r>
        <w:br/>
      </w:r>
    </w:p>
    <w:p>
      <w:pPr>
        <w:pStyle w:val="BodyText"/>
      </w:pPr>
      <w:r>
        <w:br/>
      </w:r>
    </w:p>
    <w:p>
      <w:pPr>
        <w:pStyle w:val="BodyText"/>
      </w:pPr>
      <w:r>
        <w:t xml:space="preserve">——————————————————————————</w:t>
      </w:r>
    </w:p>
    <w:p>
      <w:pPr>
        <w:pStyle w:val="BodyText"/>
      </w:pPr>
      <w:r>
        <w:t xml:space="preserve">Roswitha Quendel-Bingenheimer (für Verkäufer)</w:t>
      </w:r>
    </w:p>
    <w:p>
      <w:pPr>
        <w:pStyle w:val="BodyText"/>
      </w:pPr>
      <w:r>
        <w:br/>
      </w:r>
    </w:p>
    <w:p>
      <w:pPr>
        <w:pStyle w:val="BodyText"/>
      </w:pPr>
      <w:r>
        <w:br/>
      </w:r>
    </w:p>
    <w:p>
      <w:pPr>
        <w:pStyle w:val="BodyText"/>
      </w:pPr>
      <w:r>
        <w:t xml:space="preserve">——————————————————————————</w:t>
      </w:r>
    </w:p>
    <w:p>
      <w:pPr>
        <w:pStyle w:val="BodyText"/>
      </w:pPr>
      <w:r>
        <w:t xml:space="preserve">Dr. Eberwein Übelacker-Strohmeyer (Käufer)</w:t>
      </w:r>
    </w:p>
    <w:p>
      <w:pPr>
        <w:pStyle w:val="BodyText"/>
      </w:pPr>
      <w:r>
        <w:br/>
      </w:r>
    </w:p>
    <w:p>
      <w:pPr>
        <w:pStyle w:val="BodyText"/>
      </w:pPr>
      <w:r>
        <w:br/>
      </w:r>
    </w:p>
    <w:p>
      <w:pPr>
        <w:pStyle w:val="BodyText"/>
      </w:pPr>
      <w:r>
        <w:t xml:space="preserve">——————————————————————————</w:t>
      </w:r>
    </w:p>
    <w:p>
      <w:pPr>
        <w:pStyle w:val="BodyText"/>
      </w:pPr>
      <w:r>
        <w:t xml:space="preserve">Dr. Adalbert von Sickingen-Querfurt, Notar</w:t>
      </w:r>
    </w:p>
    <w:p>
      <w:r>
        <w:br w:type="page"/>
      </w:r>
    </w:p>
    <w:bookmarkEnd w:id="30"/>
    <w:bookmarkStart w:id="32" w:name="anlage-baubeschreibung"/>
    <w:p>
      <w:pPr>
        <w:pStyle w:val="Heading1"/>
      </w:pPr>
      <w:r>
        <w:t xml:space="preserve">Anlage: Baubeschreibung</w:t>
      </w:r>
    </w:p>
    <w:p>
      <w:pPr>
        <w:pStyle w:val="FirstParagraph"/>
      </w:pPr>
      <w:r>
        <w:t xml:space="preserve">Bauvorhaben: Wohnquartier „Am Birkenpfuhl”, Gemarkung Kannenberg-Niederwall, Flur 7, Flurstück 218/4</w:t>
      </w:r>
    </w:p>
    <w:p>
      <w:pPr>
        <w:pStyle w:val="BodyText"/>
      </w:pPr>
      <w:r>
        <w:t xml:space="preserve">Bauträgerin: Hohenwartshofen Quartiersentwicklung GmbH &amp; Co. KG, Schloßstraße 88, 12163 Berlin</w:t>
      </w:r>
    </w:p>
    <w:p>
      <w:pPr>
        <w:pStyle w:val="BodyText"/>
      </w:pPr>
      <w:r>
        <w:t xml:space="preserve">Fassung: Februar 2026 — Version 7.2</w:t>
      </w:r>
    </w:p>
    <w:p>
      <w:pPr>
        <w:pStyle w:val="BodyText"/>
      </w:pPr>
      <w:r>
        <w:t xml:space="preserve">Bezug: Haus 4, Wohnung 4.27 (3. Obergeschoss) nebst Kellerabteil K-4.27, Terrasse T-4.27 und Tiefgaragenstellplatz TG-127</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p>
      <w:pPr>
        <w:pStyle w:val="BodyText"/>
      </w:pPr>
      <w:r>
        <w:rPr>
          <w:b/>
          <w:bCs/>
        </w:rPr>
        <w:t xml:space="preserve">V.2</w:t>
      </w:r>
      <w:r>
        <w:t xml:space="preserve"> </w:t>
      </w:r>
      <w:r>
        <w:t xml:space="preserve">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p>
      <w:pPr>
        <w:pStyle w:val="BodyText"/>
      </w:pPr>
      <w:r>
        <w:rPr>
          <w:b/>
          <w:bCs/>
        </w:rPr>
        <w:t xml:space="preserve">V.3</w:t>
      </w:r>
      <w:r>
        <w:t xml:space="preserve"> </w:t>
      </w:r>
      <w:r>
        <w:t xml:space="preserve">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p>
      <w:pPr>
        <w:pStyle w:val="BodyText"/>
      </w:pPr>
      <w:r>
        <w:rPr>
          <w:b/>
          <w:bCs/>
        </w:rPr>
        <w:t xml:space="preserve">V.4</w:t>
      </w:r>
      <w:r>
        <w:t xml:space="preserve"> </w:t>
      </w:r>
      <w:r>
        <w:t xml:space="preserve">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p>
      <w:r>
        <w:br w:type="page"/>
      </w:r>
    </w:p>
    <w:bookmarkEnd w:id="31"/>
    <w:bookmarkEnd w:id="32"/>
    <w:bookmarkStart w:id="33" w:name="allgemeines-gebäudekonzept"/>
    <w:p>
      <w:pPr>
        <w:pStyle w:val="Heading1"/>
      </w:pPr>
      <w:r>
        <w:t xml:space="preserve">1 Allgemeines, Gebäudekonzept</w:t>
      </w:r>
    </w:p>
    <w:p>
      <w:pPr>
        <w:pStyle w:val="FirstParagraph"/>
      </w:pPr>
      <w:r>
        <w:rPr>
          <w:b/>
          <w:bCs/>
        </w:rPr>
        <w:t xml:space="preserve">1.1</w:t>
      </w:r>
      <w:r>
        <w:t xml:space="preserve"> </w:t>
      </w:r>
      <w:r>
        <w:t xml:space="preserve">Das Quartier umfasst nach derzeitiger Planung zwölf Mehrfamilienhäuser nebst Stadtvilla-Cluster, eine zweigeschossige Tiefgarage sowie Gemeinschafts- und Freiflächen. Haus 4 ist als Mehrfamilienhaus mit Staffelgeschoss konzipiert.</w:t>
      </w:r>
    </w:p>
    <w:p>
      <w:pPr>
        <w:pStyle w:val="BodyText"/>
      </w:pPr>
      <w:r>
        <w:rPr>
          <w:b/>
          <w:bCs/>
        </w:rPr>
        <w:t xml:space="preserve">1.2</w:t>
      </w:r>
      <w:r>
        <w:t xml:space="preserve"> </w:t>
      </w:r>
      <w:r>
        <w:t xml:space="preserve">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p>
      <w:pPr>
        <w:pStyle w:val="BodyText"/>
      </w:pPr>
      <w:r>
        <w:rPr>
          <w:b/>
          <w:bCs/>
        </w:rPr>
        <w:t xml:space="preserve">1.3</w:t>
      </w:r>
      <w:r>
        <w:t xml:space="preserve"> </w:t>
      </w:r>
      <w:r>
        <w:t xml:space="preserve">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bookmarkEnd w:id="33"/>
    <w:bookmarkStart w:id="34" w:name="baugrund-gründung-baugrube"/>
    <w:p>
      <w:pPr>
        <w:pStyle w:val="Heading1"/>
      </w:pPr>
      <w:r>
        <w:t xml:space="preserve">2 Baugrund, Gründung, Baugrube</w:t>
      </w:r>
    </w:p>
    <w:p>
      <w:pPr>
        <w:pStyle w:val="FirstParagraph"/>
      </w:pPr>
      <w:r>
        <w:rPr>
          <w:b/>
          <w:bCs/>
        </w:rPr>
        <w:t xml:space="preserve">2.1</w:t>
      </w:r>
      <w:r>
        <w:t xml:space="preserve"> </w:t>
      </w:r>
      <w:r>
        <w:t xml:space="preserve">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p>
      <w:pPr>
        <w:pStyle w:val="BodyText"/>
      </w:pPr>
      <w:r>
        <w:rPr>
          <w:b/>
          <w:bCs/>
        </w:rPr>
        <w:t xml:space="preserve">2.2</w:t>
      </w:r>
      <w:r>
        <w:t xml:space="preserve"> </w:t>
      </w:r>
      <w:r>
        <w:t xml:space="preserve">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bookmarkEnd w:id="34"/>
    <w:bookmarkStart w:id="35" w:name="rohbau-und-konstruktion"/>
    <w:p>
      <w:pPr>
        <w:pStyle w:val="Heading1"/>
      </w:pPr>
      <w:r>
        <w:t xml:space="preserve">3 Rohbau und Konstruktion</w:t>
      </w:r>
    </w:p>
    <w:p>
      <w:pPr>
        <w:pStyle w:val="FirstParagraph"/>
      </w:pPr>
      <w:r>
        <w:rPr>
          <w:b/>
          <w:bCs/>
        </w:rPr>
        <w:t xml:space="preserve">3.1</w:t>
      </w:r>
      <w:r>
        <w:t xml:space="preserve"> </w:t>
      </w:r>
      <w:r>
        <w:t xml:space="preserve">Gründung, Kelleraußenwände und Tiefgarage werden in Stahlbeton bzw. wasserundurchlässigem Beton hergestellt, soweit es die Tragwerksplanung vorsieht. Wohnungstrennwände und tragende Innenwände werden in Massivbauweise (Beton oder Mauerwerk) ausgeführt.</w:t>
      </w:r>
    </w:p>
    <w:p>
      <w:pPr>
        <w:pStyle w:val="BodyText"/>
      </w:pPr>
      <w:r>
        <w:rPr>
          <w:b/>
          <w:bCs/>
        </w:rPr>
        <w:t xml:space="preserve">3.2</w:t>
      </w:r>
      <w:r>
        <w:t xml:space="preserve"> </w:t>
      </w:r>
      <w:r>
        <w:t xml:space="preserve">Nichttragende Trennwände innerhalb der Wohnung 4.27 werden entsprechend der Ausführungsplanung als Trockenbau- oder Mauerwerkswände erstellt. Die genaue Ausführung legt der Verkäufer anhand von Schachtlage, Installationsführung, Schallschutzkonzept und Bauablauf fest.</w:t>
      </w:r>
    </w:p>
    <w:p>
      <w:pPr>
        <w:pStyle w:val="BodyText"/>
      </w:pPr>
      <w:r>
        <w:rPr>
          <w:b/>
          <w:bCs/>
        </w:rPr>
        <w:t xml:space="preserve">3.3</w:t>
      </w:r>
      <w:r>
        <w:t xml:space="preserve"> </w:t>
      </w:r>
      <w:r>
        <w:t xml:space="preserve">Die lichte Raumhöhe der Wohnräume beträgt ca. 2,60 m, im Bereich von Unterzügen, abgehängten Decken und Installationsführungen entsprechend weniger.</w:t>
      </w:r>
    </w:p>
    <w:bookmarkEnd w:id="35"/>
    <w:bookmarkStart w:id="36" w:name="fassade-außenwände-wärmedämmung"/>
    <w:p>
      <w:pPr>
        <w:pStyle w:val="Heading1"/>
      </w:pPr>
      <w:r>
        <w:t xml:space="preserve">4 Fassade, Außenwände, Wärmedämmung</w:t>
      </w:r>
    </w:p>
    <w:p>
      <w:pPr>
        <w:pStyle w:val="FirstParagraph"/>
      </w:pPr>
      <w:r>
        <w:rPr>
          <w:b/>
          <w:bCs/>
        </w:rPr>
        <w:t xml:space="preserve">4.1</w:t>
      </w:r>
      <w:r>
        <w:t xml:space="preserve"> </w:t>
      </w:r>
      <w:r>
        <w:t xml:space="preserve">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p>
      <w:pPr>
        <w:pStyle w:val="BodyText"/>
      </w:pPr>
      <w:r>
        <w:rPr>
          <w:b/>
          <w:bCs/>
        </w:rPr>
        <w:t xml:space="preserve">4.2</w:t>
      </w:r>
      <w:r>
        <w:t xml:space="preserve"> </w:t>
      </w:r>
      <w:r>
        <w:t xml:space="preserve">Dämmstärken und Dämmstoffe werden nach den energetischen Nachweisen bemessen (vgl. Abschnitt 17).</w:t>
      </w:r>
    </w:p>
    <w:bookmarkEnd w:id="36"/>
    <w:bookmarkStart w:id="37" w:name="dach"/>
    <w:p>
      <w:pPr>
        <w:pStyle w:val="Heading1"/>
      </w:pPr>
      <w:r>
        <w:t xml:space="preserve">5 Dach</w:t>
      </w:r>
    </w:p>
    <w:p>
      <w:pPr>
        <w:pStyle w:val="FirstParagraph"/>
      </w:pPr>
      <w:r>
        <w:rPr>
          <w:b/>
          <w:bCs/>
        </w:rPr>
        <w:t xml:space="preserve">5.1</w:t>
      </w:r>
      <w:r>
        <w:t xml:space="preserve"> </w:t>
      </w:r>
      <w:r>
        <w:t xml:space="preserve">Die Dachflächen werden als Flachdach bzw. flach geneigtes Dach ausgeführt und abgedichtet. Dachbegrünung, Bekiesung oder Belegung erfolgt nach dem Freiflächen- und Entwässerungskonzept.</w:t>
      </w:r>
    </w:p>
    <w:p>
      <w:pPr>
        <w:pStyle w:val="BodyText"/>
      </w:pPr>
      <w:r>
        <w:rPr>
          <w:b/>
          <w:bCs/>
        </w:rPr>
        <w:t xml:space="preserve">5.2</w:t>
      </w:r>
      <w:r>
        <w:t xml:space="preserve"> </w:t>
      </w:r>
      <w:r>
        <w:t xml:space="preserve">Eine Nutzung der Dachflächen durch die Erwerber des Hauses 4 ist nicht geschuldet, soweit nicht in der Teilungserklärung ausdrücklich ein Sondernutzungsrecht zugewiesen ist.</w:t>
      </w:r>
    </w:p>
    <w:bookmarkEnd w:id="37"/>
    <w:bookmarkStart w:id="38" w:name="fenster-außentüren-verglasung"/>
    <w:p>
      <w:pPr>
        <w:pStyle w:val="Heading1"/>
      </w:pPr>
      <w:r>
        <w:t xml:space="preserve">6 Fenster, Außentüren, Verglasung</w:t>
      </w:r>
    </w:p>
    <w:p>
      <w:pPr>
        <w:pStyle w:val="FirstParagraph"/>
      </w:pPr>
      <w:r>
        <w:rPr>
          <w:b/>
          <w:bCs/>
        </w:rPr>
        <w:t xml:space="preserve">6.1</w:t>
      </w:r>
      <w:r>
        <w:t xml:space="preserve"> </w:t>
      </w:r>
      <w:r>
        <w:t xml:space="preserve">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p>
      <w:pPr>
        <w:pStyle w:val="BodyText"/>
      </w:pPr>
      <w:r>
        <w:rPr>
          <w:b/>
          <w:bCs/>
        </w:rPr>
        <w:t xml:space="preserve">6.2</w:t>
      </w:r>
      <w:r>
        <w:t xml:space="preserve"> </w:t>
      </w:r>
      <w:r>
        <w:t xml:space="preserve">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p>
      <w:pPr>
        <w:pStyle w:val="BodyText"/>
      </w:pPr>
      <w:r>
        <w:rPr>
          <w:b/>
          <w:bCs/>
        </w:rPr>
        <w:t xml:space="preserve">6.3</w:t>
      </w:r>
      <w:r>
        <w:t xml:space="preserve"> </w:t>
      </w:r>
      <w:r>
        <w:t xml:space="preserve">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bookmarkEnd w:id="38"/>
    <w:bookmarkStart w:id="39" w:name="innenausbau-wände-decken-estrich"/>
    <w:p>
      <w:pPr>
        <w:pStyle w:val="Heading1"/>
      </w:pPr>
      <w:r>
        <w:t xml:space="preserve">7 Innenausbau, Wände, Decken, Estrich</w:t>
      </w:r>
    </w:p>
    <w:p>
      <w:pPr>
        <w:pStyle w:val="FirstParagraph"/>
      </w:pPr>
      <w:r>
        <w:rPr>
          <w:b/>
          <w:bCs/>
        </w:rPr>
        <w:t xml:space="preserve">7.1</w:t>
      </w:r>
      <w:r>
        <w:t xml:space="preserve"> </w:t>
      </w:r>
      <w:r>
        <w:t xml:space="preserve">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p>
      <w:pPr>
        <w:pStyle w:val="BodyText"/>
      </w:pPr>
      <w:r>
        <w:rPr>
          <w:b/>
          <w:bCs/>
        </w:rPr>
        <w:t xml:space="preserve">7.2</w:t>
      </w:r>
      <w:r>
        <w:t xml:space="preserve"> </w:t>
      </w:r>
      <w:r>
        <w:t xml:space="preserve">In den Wohnräumen wird ein schwimmender Estrich auf Dämmung eingebracht. Der Estrich wird für die in Abschnitt 8 vorgesehenen Bodenbeläge vorbereitet.</w:t>
      </w:r>
    </w:p>
    <w:bookmarkEnd w:id="39"/>
    <w:bookmarkStart w:id="40" w:name="bodenbeläge"/>
    <w:p>
      <w:pPr>
        <w:pStyle w:val="Heading1"/>
      </w:pPr>
      <w:r>
        <w:t xml:space="preserve">8 Bodenbeläge</w:t>
      </w:r>
    </w:p>
    <w:p>
      <w:pPr>
        <w:pStyle w:val="FirstParagraph"/>
      </w:pPr>
      <w:r>
        <w:rPr>
          <w:b/>
          <w:bCs/>
        </w:rPr>
        <w:t xml:space="preserve">8.1</w:t>
      </w:r>
      <w:r>
        <w:t xml:space="preserve"> </w:t>
      </w:r>
      <w:r>
        <w:t xml:space="preserve">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p>
      <w:pPr>
        <w:pStyle w:val="BodyText"/>
      </w:pPr>
      <w:r>
        <w:rPr>
          <w:b/>
          <w:bCs/>
        </w:rPr>
        <w:t xml:space="preserve">8.2</w:t>
      </w:r>
      <w:r>
        <w:t xml:space="preserve"> </w:t>
      </w:r>
      <w:r>
        <w:t xml:space="preserve">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bookmarkEnd w:id="40"/>
    <w:bookmarkStart w:id="41" w:name="innentüren"/>
    <w:p>
      <w:pPr>
        <w:pStyle w:val="Heading1"/>
      </w:pPr>
      <w:r>
        <w:t xml:space="preserve">9 Innentüren</w:t>
      </w:r>
    </w:p>
    <w:p>
      <w:pPr>
        <w:pStyle w:val="FirstParagraph"/>
      </w:pPr>
      <w:r>
        <w:rPr>
          <w:b/>
          <w:bCs/>
        </w:rPr>
        <w:t xml:space="preserve">9.1</w:t>
      </w:r>
      <w:r>
        <w:t xml:space="preserve"> </w:t>
      </w:r>
      <w:r>
        <w:t xml:space="preserve">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bookmarkEnd w:id="41"/>
    <w:bookmarkStart w:id="42" w:name="sanitärobjekte-und-sanitärausstattung"/>
    <w:p>
      <w:pPr>
        <w:pStyle w:val="Heading1"/>
      </w:pPr>
      <w:r>
        <w:t xml:space="preserve">10 Sanitärobjekte und Sanitärausstattung</w:t>
      </w:r>
    </w:p>
    <w:p>
      <w:pPr>
        <w:pStyle w:val="FirstParagraph"/>
      </w:pPr>
      <w:r>
        <w:rPr>
          <w:b/>
          <w:bCs/>
        </w:rPr>
        <w:t xml:space="preserve">10.1</w:t>
      </w:r>
      <w:r>
        <w:t xml:space="preserve"> </w:t>
      </w:r>
      <w:r>
        <w:t xml:space="preserve">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p>
      <w:pPr>
        <w:pStyle w:val="BodyText"/>
      </w:pPr>
      <w:r>
        <w:rPr>
          <w:b/>
          <w:bCs/>
        </w:rPr>
        <w:t xml:space="preserve">10.2</w:t>
      </w:r>
      <w:r>
        <w:t xml:space="preserve"> </w:t>
      </w:r>
      <w:r>
        <w:t xml:space="preserve">Anzahl, Anordnung und Art der Sanitärobjekte ergeben sich aus den Ausführungsplänen. Änderungen der Anordnung infolge der Haustechnik- und Schachtplanung bleiben vorbehalten.</w:t>
      </w:r>
    </w:p>
    <w:bookmarkEnd w:id="42"/>
    <w:bookmarkStart w:id="43" w:name="heizung-warmwasser"/>
    <w:p>
      <w:pPr>
        <w:pStyle w:val="Heading1"/>
      </w:pPr>
      <w:r>
        <w:t xml:space="preserve">11 Heizung, Warmwasser</w:t>
      </w:r>
    </w:p>
    <w:p>
      <w:pPr>
        <w:pStyle w:val="FirstParagraph"/>
      </w:pPr>
      <w:r>
        <w:rPr>
          <w:b/>
          <w:bCs/>
        </w:rPr>
        <w:t xml:space="preserve">11.1</w:t>
      </w:r>
      <w:r>
        <w:t xml:space="preserve"> </w:t>
      </w:r>
      <w:r>
        <w:t xml:space="preserve">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p>
      <w:pPr>
        <w:pStyle w:val="BodyText"/>
      </w:pPr>
      <w:r>
        <w:rPr>
          <w:b/>
          <w:bCs/>
        </w:rPr>
        <w:t xml:space="preserve">11.2</w:t>
      </w:r>
      <w:r>
        <w:t xml:space="preserve"> </w:t>
      </w:r>
      <w:r>
        <w:t xml:space="preserve">Die Wärme- und Warmwasserlieferung kann über einen Wärmeliefer-/Contractingvertrag erfolgen. Die hieraus entstehenden Kosten tragen die Erwerber nach Maßgabe der Teilungserklärung.</w:t>
      </w:r>
    </w:p>
    <w:bookmarkEnd w:id="43"/>
    <w:bookmarkStart w:id="44" w:name="lüftung"/>
    <w:p>
      <w:pPr>
        <w:pStyle w:val="Heading1"/>
      </w:pPr>
      <w:r>
        <w:t xml:space="preserve">12 Lüftung</w:t>
      </w:r>
    </w:p>
    <w:p>
      <w:pPr>
        <w:pStyle w:val="FirstParagraph"/>
      </w:pPr>
      <w:r>
        <w:rPr>
          <w:b/>
          <w:bCs/>
        </w:rPr>
        <w:t xml:space="preserve">12.1</w:t>
      </w:r>
      <w:r>
        <w:t xml:space="preserve"> </w:t>
      </w:r>
      <w:r>
        <w:t xml:space="preserve">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bookmarkEnd w:id="44"/>
    <w:bookmarkStart w:id="45" w:name="Xa8f621190aed3caf72187bd0552b9ced3adc76f"/>
    <w:p>
      <w:pPr>
        <w:pStyle w:val="Heading1"/>
      </w:pPr>
      <w:r>
        <w:t xml:space="preserve">13 Elektroinstallation, Medien, Lade- und PV-Infrastruktur</w:t>
      </w:r>
    </w:p>
    <w:p>
      <w:pPr>
        <w:pStyle w:val="FirstParagraph"/>
      </w:pPr>
      <w:r>
        <w:rPr>
          <w:b/>
          <w:bCs/>
        </w:rPr>
        <w:t xml:space="preserve">13.1</w:t>
      </w:r>
      <w:r>
        <w:t xml:space="preserve"> </w:t>
      </w:r>
      <w:r>
        <w:t xml:space="preserve">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p>
      <w:pPr>
        <w:pStyle w:val="BodyText"/>
      </w:pPr>
      <w:r>
        <w:rPr>
          <w:b/>
          <w:bCs/>
        </w:rPr>
        <w:t xml:space="preserve">13.2</w:t>
      </w:r>
      <w:r>
        <w:t xml:space="preserve"> </w:t>
      </w:r>
      <w:r>
        <w:t xml:space="preserve">Die Wohnung erhält einen Multimedia-/Datenanschluss im Wohnbereich sowie die nach Ausführungsplanung vorgesehenen Leitungswege zum Wohnungsverteiler. Eine bestimmte Bandbreite, Glasfaseraktivierung, Routerposition oder ein bestimmter Anbieter wird nicht geschuldet.</w:t>
      </w:r>
    </w:p>
    <w:p>
      <w:pPr>
        <w:pStyle w:val="BodyText"/>
      </w:pPr>
      <w:r>
        <w:rPr>
          <w:b/>
          <w:bCs/>
        </w:rPr>
        <w:t xml:space="preserve">13.3</w:t>
      </w:r>
      <w:r>
        <w:t xml:space="preserve"> </w:t>
      </w:r>
      <w:r>
        <w:t xml:space="preserve">Ob die Tiefgarage mit Lade-Infrastruktur und ob das Gebäude mit einer Photovoltaikanlage ausgestattet wird, bestimmt der Verkäufer im Rahmen der Gesamtplanung. Ein Anspruch des einzelnen Erwerbers hierauf besteht nicht.</w:t>
      </w:r>
    </w:p>
    <w:bookmarkEnd w:id="45"/>
    <w:bookmarkStart w:id="46" w:name="aufzug"/>
    <w:p>
      <w:pPr>
        <w:pStyle w:val="Heading1"/>
      </w:pPr>
      <w:r>
        <w:t xml:space="preserve">14 Aufzug</w:t>
      </w:r>
    </w:p>
    <w:p>
      <w:pPr>
        <w:pStyle w:val="FirstParagraph"/>
      </w:pPr>
      <w:r>
        <w:rPr>
          <w:b/>
          <w:bCs/>
        </w:rPr>
        <w:t xml:space="preserve">14.1</w:t>
      </w:r>
      <w:r>
        <w:t xml:space="preserve"> </w:t>
      </w:r>
      <w:r>
        <w:t xml:space="preserve">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bookmarkEnd w:id="46"/>
    <w:bookmarkStart w:id="47" w:name="tiefgarage"/>
    <w:p>
      <w:pPr>
        <w:pStyle w:val="Heading1"/>
      </w:pPr>
      <w:r>
        <w:t xml:space="preserve">15 Tiefgarage</w:t>
      </w:r>
    </w:p>
    <w:p>
      <w:pPr>
        <w:pStyle w:val="FirstParagraph"/>
      </w:pPr>
      <w:r>
        <w:rPr>
          <w:b/>
          <w:bCs/>
        </w:rPr>
        <w:t xml:space="preserve">15.1</w:t>
      </w:r>
      <w:r>
        <w:t xml:space="preserve"> </w:t>
      </w:r>
      <w:r>
        <w:t xml:space="preserve">Die zweigeschossige Tiefgarage wird in Stahlbeton ausgeführt und maschinell be- und entlüftet. Bodenbeschichtung, Entwässerungsrinnen, Markierung, Beschilderung, CO-Warnanlage, Brandschutztore und technische Ausstattung richten sich nach dem Garagen- und Brandschutzkonzept.</w:t>
      </w:r>
    </w:p>
    <w:p>
      <w:pPr>
        <w:pStyle w:val="BodyText"/>
      </w:pPr>
      <w:r>
        <w:rPr>
          <w:b/>
          <w:bCs/>
        </w:rPr>
        <w:t xml:space="preserve">15.2</w:t>
      </w:r>
      <w:r>
        <w:t xml:space="preserve"> </w:t>
      </w:r>
      <w:r>
        <w:t xml:space="preserve">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bookmarkEnd w:id="47"/>
    <w:bookmarkStart w:id="48" w:name="schall--wärme--feuchte--und-brandschutz"/>
    <w:p>
      <w:pPr>
        <w:pStyle w:val="Heading1"/>
      </w:pPr>
      <w:r>
        <w:t xml:space="preserve">16 Schall-, Wärme-, Feuchte- und Brandschutz</w:t>
      </w:r>
    </w:p>
    <w:p>
      <w:pPr>
        <w:pStyle w:val="FirstParagraph"/>
      </w:pPr>
      <w:r>
        <w:rPr>
          <w:b/>
          <w:bCs/>
        </w:rPr>
        <w:t xml:space="preserve">16.1</w:t>
      </w:r>
      <w:r>
        <w:t xml:space="preserve"> </w:t>
      </w:r>
      <w:r>
        <w:t xml:space="preserve">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p>
      <w:pPr>
        <w:pStyle w:val="BodyText"/>
      </w:pPr>
      <w:r>
        <w:rPr>
          <w:b/>
          <w:bCs/>
        </w:rPr>
        <w:t xml:space="preserve">16.2</w:t>
      </w:r>
      <w:r>
        <w:t xml:space="preserve"> </w:t>
      </w:r>
      <w:r>
        <w:t xml:space="preserve">Die schallschutztechnische Auslegung richtet sich nach dem projektbezogenen Nachweiskonzept und den öffentlich-rechtlich erforderlichen Mindestanforderungen. Ein erhöhter Schallschutz bedarf einer ausdrücklichen, zahlenmäßig bezeichneten Vereinbarung.</w:t>
      </w:r>
    </w:p>
    <w:bookmarkEnd w:id="48"/>
    <w:bookmarkStart w:id="49" w:name="energetischer-standard"/>
    <w:p>
      <w:pPr>
        <w:pStyle w:val="Heading1"/>
      </w:pPr>
      <w:r>
        <w:t xml:space="preserve">17 Energetischer Standard</w:t>
      </w:r>
    </w:p>
    <w:p>
      <w:pPr>
        <w:pStyle w:val="FirstParagraph"/>
      </w:pPr>
      <w:r>
        <w:rPr>
          <w:b/>
          <w:bCs/>
        </w:rPr>
        <w:t xml:space="preserve">17.1</w:t>
      </w:r>
      <w:r>
        <w:t xml:space="preserve"> </w:t>
      </w:r>
      <w:r>
        <w:t xml:space="preserve">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bookmarkEnd w:id="49"/>
    <w:bookmarkStart w:id="50" w:name="außenanlagen-gemeinschaftsflächen"/>
    <w:p>
      <w:pPr>
        <w:pStyle w:val="Heading1"/>
      </w:pPr>
      <w:r>
        <w:t xml:space="preserve">18 Außenanlagen, Gemeinschaftsflächen</w:t>
      </w:r>
    </w:p>
    <w:p>
      <w:pPr>
        <w:pStyle w:val="FirstParagraph"/>
      </w:pPr>
      <w:r>
        <w:rPr>
          <w:b/>
          <w:bCs/>
        </w:rPr>
        <w:t xml:space="preserve">18.1</w:t>
      </w:r>
      <w:r>
        <w:t xml:space="preserve"> </w:t>
      </w:r>
      <w:r>
        <w:t xml:space="preserve">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p>
      <w:pPr>
        <w:pStyle w:val="BodyText"/>
      </w:pPr>
      <w:r>
        <w:rPr>
          <w:b/>
          <w:bCs/>
        </w:rPr>
        <w:t xml:space="preserve">18.2</w:t>
      </w:r>
      <w:r>
        <w:t xml:space="preserve"> </w:t>
      </w:r>
      <w:r>
        <w:t xml:space="preserve">Die Terrasse T-4.27 wird mit Betonplatten, keramischen Terrassenplatten oder einem vergleichbaren Belag aus der Außenanlagenserie Q1 auf Gefälle bzw. Unterkonstruktion hergestellt; Format, Farbe, Fuge und Entwässerungsdetail richten sich nach dem Freiflächenkonzept.</w:t>
      </w:r>
    </w:p>
    <w:bookmarkEnd w:id="50"/>
    <w:bookmarkStart w:id="51" w:name="wohnflächen"/>
    <w:p>
      <w:pPr>
        <w:pStyle w:val="Heading1"/>
      </w:pPr>
      <w:r>
        <w:t xml:space="preserve">19 Wohnflächen</w:t>
      </w:r>
    </w:p>
    <w:p>
      <w:pPr>
        <w:pStyle w:val="FirstParagraph"/>
      </w:pPr>
      <w:r>
        <w:rPr>
          <w:b/>
          <w:bCs/>
        </w:rPr>
        <w:t xml:space="preserve">19.1</w:t>
      </w:r>
      <w:r>
        <w:t xml:space="preserve"> </w:t>
      </w:r>
      <w:r>
        <w:t xml:space="preserve">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bookmarkEnd w:id="51"/>
    <w:bookmarkStart w:id="52" w:name="bemusterung-sonderwünsche"/>
    <w:p>
      <w:pPr>
        <w:pStyle w:val="Heading1"/>
      </w:pPr>
      <w:r>
        <w:t xml:space="preserve">20 Bemusterung, Sonderwünsche</w:t>
      </w:r>
    </w:p>
    <w:p>
      <w:pPr>
        <w:pStyle w:val="FirstParagraph"/>
      </w:pPr>
      <w:r>
        <w:rPr>
          <w:b/>
          <w:bCs/>
        </w:rPr>
        <w:t xml:space="preserve">20.1</w:t>
      </w:r>
      <w:r>
        <w:t xml:space="preserve"> </w:t>
      </w:r>
      <w:r>
        <w:t xml:space="preserve">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p>
      <w:pPr>
        <w:pStyle w:val="BodyText"/>
      </w:pPr>
      <w:r>
        <w:rPr>
          <w:b/>
          <w:bCs/>
        </w:rPr>
        <w:t xml:space="preserve">20.2</w:t>
      </w:r>
      <w:r>
        <w:t xml:space="preserve"> </w:t>
      </w:r>
      <w:r>
        <w:t xml:space="preserve">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p>
      <w:pPr>
        <w:pStyle w:val="BodyText"/>
      </w:pPr>
      <w:r>
        <w:rPr>
          <w:b/>
          <w:bCs/>
        </w:rPr>
        <w:t xml:space="preserve">20.3</w:t>
      </w:r>
      <w:r>
        <w:t xml:space="preserve"> </w:t>
      </w:r>
      <w:r>
        <w:t xml:space="preserve">Sonderwünsche außerhalb der Serien B4-01 bis B4-06, B4-Bad, B4-Tür und B4-Elektro sind vor Beginn der betroffenen Bauleistung vollständig und im Voraus zu zahlen.</w:t>
      </w:r>
    </w:p>
    <w:p>
      <w:r>
        <w:br w:type="page"/>
      </w:r>
    </w:p>
    <w:bookmarkEnd w:id="52"/>
    <w:bookmarkStart w:id="53" w:name="schlussbestimmungen-der-baubeschreibung"/>
    <w:p>
      <w:pPr>
        <w:pStyle w:val="Heading1"/>
      </w:pPr>
      <w:r>
        <w:t xml:space="preserve">Schlussbestimmungen der Baubeschreibung</w:t>
      </w:r>
    </w:p>
    <w:p>
      <w:pPr>
        <w:pStyle w:val="FirstParagraph"/>
      </w:pPr>
      <w:r>
        <w:rPr>
          <w:b/>
          <w:bCs/>
        </w:rPr>
        <w:t xml:space="preserve">S.1</w:t>
      </w:r>
      <w:r>
        <w:t xml:space="preserve"> </w:t>
      </w:r>
      <w:r>
        <w:t xml:space="preserve">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p>
      <w:pPr>
        <w:pStyle w:val="BodyText"/>
      </w:pPr>
      <w:r>
        <w:rPr>
          <w:b/>
          <w:bCs/>
        </w:rPr>
        <w:t xml:space="preserve">S.2</w:t>
      </w:r>
      <w:r>
        <w:t xml:space="preserve"> </w:t>
      </w:r>
      <w:r>
        <w:t xml:space="preserve">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p>
      <w:pPr>
        <w:pStyle w:val="BodyText"/>
      </w:pPr>
      <w:r>
        <w:t xml:space="preserve">Berlin, im Februar 2026</w:t>
      </w:r>
    </w:p>
    <w:p>
      <w:pPr>
        <w:pStyle w:val="BodyText"/>
      </w:pPr>
      <w:r>
        <w:t xml:space="preserve">Hohenwartshofen Quartiersentwicklung GmbH &amp; Co. KG</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2026-06-20T07:15:29Z</dcterms:created>
  <dcterms:modified xsi:type="dcterms:W3CDTF">2026-06-20T07:15:29Z</dcterms:modified>
</cp:coreProperties>
</file>

<file path=docProps/custom.xml><?xml version="1.0" encoding="utf-8"?>
<Properties xmlns="http://schemas.openxmlformats.org/officeDocument/2006/custom-properties" xmlns:vt="http://schemas.openxmlformats.org/officeDocument/2006/docPropsVTypes"/>
</file>