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Baubeschreibung</w:t>
      </w:r>
      <w:r>
        <w:t xml:space="preserve"> </w:t>
      </w:r>
      <w:r>
        <w:t xml:space="preserve">—</w:t>
      </w:r>
      <w:r>
        <w:t xml:space="preserve"> </w:t>
      </w:r>
      <w:r>
        <w:t xml:space="preserve">Fassung</w:t>
      </w:r>
      <w:r>
        <w:t xml:space="preserve"> </w:t>
      </w:r>
      <w:r>
        <w:t xml:space="preserve">Februar</w:t>
      </w:r>
      <w:r>
        <w:t xml:space="preserve"> </w:t>
      </w:r>
      <w:r>
        <w:t xml:space="preserve">2026,</w:t>
      </w:r>
      <w:r>
        <w:t xml:space="preserve"> </w:t>
      </w:r>
      <w:r>
        <w:t xml:space="preserve">Version</w:t>
      </w:r>
      <w:r>
        <w:t xml:space="preserve"> </w:t>
      </w:r>
      <w:r>
        <w:t xml:space="preserve">7.2</w:t>
      </w:r>
      <w:r>
        <w:t xml:space="preserve"> </w:t>
      </w:r>
      <w:r>
        <w:t xml:space="preserve">(Auszug)</w:t>
      </w:r>
    </w:p>
    <w:p>
      <w:r>
        <w:br w:type="page"/>
      </w:r>
    </w:p>
    <w:bookmarkStart w:id="21" w:name="baubeschreibung-quartier-am-birkenpfuhl"/>
    <w:p>
      <w:pPr>
        <w:pStyle w:val="Heading1"/>
      </w:pPr>
      <w:r>
        <w:t xml:space="preserve">Baubeschreibung „Quartier am Birkenpfuhl”</w:t>
      </w:r>
    </w:p>
    <w:p>
      <w:pPr>
        <w:pStyle w:val="FirstParagraph"/>
      </w:pPr>
      <w:r>
        <w:t xml:space="preserve">Bauvorhaben: Wohnquartier „Am Birkenpfuhl”, Gemarkung Kannenberg-Niederwall, Flur 7, Flurstück 218/4</w:t>
      </w:r>
    </w:p>
    <w:p>
      <w:pPr>
        <w:pStyle w:val="BodyText"/>
      </w:pPr>
      <w:r>
        <w:t xml:space="preserve">Bauträgerin: Hohenwartshofen Quartiersentwicklung GmbH &amp; Co. KG, Schloßstraße 88, 12163 Berlin</w:t>
      </w:r>
    </w:p>
    <w:p>
      <w:pPr>
        <w:pStyle w:val="BodyText"/>
      </w:pPr>
      <w:r>
        <w:t xml:space="preserve">Fassung: Februar 2026 — Version 7.2</w:t>
      </w:r>
    </w:p>
    <w:p>
      <w:pPr>
        <w:pStyle w:val="BodyText"/>
      </w:pPr>
      <w:r>
        <w:t xml:space="preserve">Bezug: Haus 4, Wohnung 4.27 (3. Obergeschoss) nebst Kellerabteil K-4.27, Terrasse T-4.27 und Tiefgaragenstellplatz TG-127</w:t>
      </w:r>
    </w:p>
    <w:bookmarkStart w:id="20" w:name="vorbemerkungen-zur-baubeschreibung"/>
    <w:p>
      <w:pPr>
        <w:pStyle w:val="Heading2"/>
      </w:pPr>
      <w:r>
        <w:t xml:space="preserve">Vorbemerkungen zur Baubeschreibung</w:t>
      </w:r>
    </w:p>
    <w:p>
      <w:pPr>
        <w:pStyle w:val="FirstParagraph"/>
      </w:pPr>
      <w:r>
        <w:rPr>
          <w:bCs/>
          <w:b/>
        </w:rPr>
        <w:t xml:space="preserve">V.1</w:t>
      </w:r>
      <w:r>
        <w:t xml:space="preserve"> </w:t>
      </w:r>
      <w:r>
        <w:t xml:space="preserve">Diese Baubeschreibung beschreibt das Bausoll abschließend. Verkaufsunterlagen, Exposés, Visualisierungen, Renderings, Grundrissdarstellungen mit Möblierung sowie die Musterwohnung in Haus 5 dienen ausschließlich der Veranschaulichung und sind nicht Vertragsbestandteil.</w:t>
      </w:r>
    </w:p>
    <w:p>
      <w:pPr>
        <w:pStyle w:val="BodyText"/>
      </w:pPr>
      <w:r>
        <w:rPr>
          <w:bCs/>
          <w:b/>
        </w:rPr>
        <w:t xml:space="preserve">V.2</w:t>
      </w:r>
      <w:r>
        <w:t xml:space="preserve"> </w:t>
      </w:r>
      <w:r>
        <w:t xml:space="preserve">Die in dieser Baubeschreibung genannten Fabrikate, Hersteller, Typen und Modelle sind, soweit überhaupt benannt, beispielhaft zu verstehen. Der Verkäufer ist berechtigt, gleichwertige oder gleichartige Produkte anderer Hersteller einzusetzen, soweit dies aus Gründen der Lieferbarkeit, der Bauablaufplanung, der Wirtschaftlichkeit oder aus technischen Gründen zweckmäßig erscheint. Ein Anspruch auf ein bestimmtes Fabrikat besteht nicht.</w:t>
      </w:r>
    </w:p>
    <w:p>
      <w:pPr>
        <w:pStyle w:val="BodyText"/>
      </w:pPr>
      <w:r>
        <w:rPr>
          <w:bCs/>
          <w:b/>
        </w:rPr>
        <w:t xml:space="preserve">V.3</w:t>
      </w:r>
      <w:r>
        <w:t xml:space="preserve"> </w:t>
      </w:r>
      <w:r>
        <w:t xml:space="preserve">Soweit Ausführungen, Materialien, Farben oder Oberflächen nicht im Einzelnen festgelegt sind, bestimmt der Verkäufer die Ausführung nach billigem Ermessen; die Ausführung muss von einfacher Art und Güte sein und dem allgemeinen Charakter des Bauvorhabens entsprechen.</w:t>
      </w:r>
    </w:p>
    <w:p>
      <w:pPr>
        <w:pStyle w:val="BodyText"/>
      </w:pPr>
      <w:r>
        <w:rPr>
          <w:bCs/>
          <w:b/>
        </w:rPr>
        <w:t xml:space="preserve">V.4</w:t>
      </w:r>
      <w:r>
        <w:t xml:space="preserve"> </w:t>
      </w:r>
      <w:r>
        <w:t xml:space="preserve">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p>
      <w:r>
        <w:br w:type="page"/>
      </w:r>
    </w:p>
    <w:bookmarkEnd w:id="20"/>
    <w:bookmarkEnd w:id="21"/>
    <w:bookmarkStart w:id="22" w:name="allgemeines-gebäudekonzept"/>
    <w:p>
      <w:pPr>
        <w:pStyle w:val="Heading1"/>
      </w:pPr>
      <w:r>
        <w:t xml:space="preserve">1 Allgemeines, Gebäudekonzept</w:t>
      </w:r>
    </w:p>
    <w:p>
      <w:pPr>
        <w:pStyle w:val="FirstParagraph"/>
      </w:pPr>
      <w:r>
        <w:rPr>
          <w:bCs/>
          <w:b/>
        </w:rPr>
        <w:t xml:space="preserve">1.1</w:t>
      </w:r>
      <w:r>
        <w:t xml:space="preserve"> </w:t>
      </w:r>
      <w:r>
        <w:t xml:space="preserve">Das Quartier umfasst nach derzeitiger Planung zwölf Mehrfamilienhäuser nebst Stadtvilla-Cluster, eine zweigeschossige Tiefgarage sowie Gemeinschafts- und Freiflächen. Haus 4 ist als Mehrfamilienhaus mit Staffelgeschoss konzipiert.</w:t>
      </w:r>
    </w:p>
    <w:p>
      <w:pPr>
        <w:pStyle w:val="BodyText"/>
      </w:pPr>
      <w:r>
        <w:rPr>
          <w:bCs/>
          <w:b/>
        </w:rPr>
        <w:t xml:space="preserve">1.2</w:t>
      </w:r>
      <w:r>
        <w:t xml:space="preserve"> </w:t>
      </w:r>
      <w:r>
        <w:t xml:space="preserve">Die Ausstattung entspricht einem zeitgemäßen, gehobenen Standard üblicher Qualität. Die konkrete Ausgestaltung der einzelnen Gewerke ergibt sich aus den nachstehenden Abschnitten.</w:t>
      </w:r>
    </w:p>
    <w:p>
      <w:pPr>
        <w:pStyle w:val="BodyText"/>
      </w:pPr>
      <w:r>
        <w:rPr>
          <w:bCs/>
          <w:b/>
        </w:rPr>
        <w:t xml:space="preserve">1.3</w:t>
      </w:r>
      <w:r>
        <w:t xml:space="preserve"> </w:t>
      </w:r>
      <w:r>
        <w:t xml:space="preserve">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bookmarkEnd w:id="22"/>
    <w:bookmarkStart w:id="23" w:name="baugrund-gründung-baugrube"/>
    <w:p>
      <w:pPr>
        <w:pStyle w:val="Heading1"/>
      </w:pPr>
      <w:r>
        <w:t xml:space="preserve">2 Baugrund, Gründung, Baugrube</w:t>
      </w:r>
    </w:p>
    <w:p>
      <w:pPr>
        <w:pStyle w:val="FirstParagraph"/>
      </w:pPr>
      <w:r>
        <w:rPr>
          <w:bCs/>
          <w:b/>
        </w:rPr>
        <w:t xml:space="preserve">2.1</w:t>
      </w:r>
      <w:r>
        <w:t xml:space="preserve"> </w:t>
      </w:r>
      <w:r>
        <w:t xml:space="preserve">Der Gründung liegen orientierende Baugrunderkundungen zugrunde. Art und Tiefe der Gründung (Flach- oder Tiefgründung, Bodenaustausch, Bodenverbesserung) werden im Zuge der Ausführungsplanung durch den Tragwerksplaner festgelegt.</w:t>
      </w:r>
    </w:p>
    <w:p>
      <w:pPr>
        <w:pStyle w:val="BodyText"/>
      </w:pPr>
      <w:r>
        <w:rPr>
          <w:bCs/>
          <w:b/>
        </w:rPr>
        <w:t xml:space="preserve">2.2</w:t>
      </w:r>
      <w:r>
        <w:t xml:space="preserve"> </w:t>
      </w:r>
      <w:r>
        <w:t xml:space="preserve">Maßnahmen der Wasserhaltung, des Baugrubenverbaus,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erfolgt nach den einschlägigen technischen Regelwerken in einer für die vorgesehene Nutzung geeigneten Ausführung.</w:t>
      </w:r>
    </w:p>
    <w:bookmarkEnd w:id="23"/>
    <w:bookmarkStart w:id="24" w:name="rohbau-und-konstruktion"/>
    <w:p>
      <w:pPr>
        <w:pStyle w:val="Heading1"/>
      </w:pPr>
      <w:r>
        <w:t xml:space="preserve">3 Rohbau und Konstruktion</w:t>
      </w:r>
    </w:p>
    <w:p>
      <w:pPr>
        <w:pStyle w:val="FirstParagraph"/>
      </w:pPr>
      <w:r>
        <w:rPr>
          <w:bCs/>
          <w:b/>
        </w:rPr>
        <w:t xml:space="preserve">3.1</w:t>
      </w:r>
      <w:r>
        <w:t xml:space="preserve"> </w:t>
      </w:r>
      <w:r>
        <w:t xml:space="preserve">Gründung, Kelleraußenwände und Tiefgarage werden in Stahlbeton bzw. wasserundurchlässigem Beton hergestellt, soweit es die Tragwerksplanung vorsieht. Wohnungstrennwände und tragende Innenwände werden in Massivbauweise (Beton oder Mauerwerk) ausgeführt.</w:t>
      </w:r>
    </w:p>
    <w:p>
      <w:pPr>
        <w:pStyle w:val="BodyText"/>
      </w:pPr>
      <w:r>
        <w:rPr>
          <w:bCs/>
          <w:b/>
        </w:rPr>
        <w:t xml:space="preserve">3.2</w:t>
      </w:r>
      <w:r>
        <w:t xml:space="preserve"> </w:t>
      </w:r>
      <w:r>
        <w:t xml:space="preserve">Nichttragende Trennwände innerhalb der Wohnung werden in Trockenbau- oder Mauerwerksausführung erstellt. Die genaue Ausführung wählt der Verkäufer.</w:t>
      </w:r>
    </w:p>
    <w:p>
      <w:pPr>
        <w:pStyle w:val="BodyText"/>
      </w:pPr>
      <w:r>
        <w:rPr>
          <w:bCs/>
          <w:b/>
        </w:rPr>
        <w:t xml:space="preserve">3.3</w:t>
      </w:r>
      <w:r>
        <w:t xml:space="preserve"> </w:t>
      </w:r>
      <w:r>
        <w:t xml:space="preserve">Die lichte Raumhöhe der Wohnräume beträgt ca. 2,60 m, im Bereich von Unterzügen, abgehängten Decken und Installationsführungen entsprechend weniger.</w:t>
      </w:r>
    </w:p>
    <w:bookmarkEnd w:id="24"/>
    <w:bookmarkStart w:id="25" w:name="fassade-außenwände-wärmedämmung"/>
    <w:p>
      <w:pPr>
        <w:pStyle w:val="Heading1"/>
      </w:pPr>
      <w:r>
        <w:t xml:space="preserve">4 Fassade, Außenwände, Wärmedämmung</w:t>
      </w:r>
    </w:p>
    <w:p>
      <w:pPr>
        <w:pStyle w:val="FirstParagraph"/>
      </w:pPr>
      <w:r>
        <w:rPr>
          <w:bCs/>
          <w:b/>
        </w:rPr>
        <w:t xml:space="preserve">4.1</w:t>
      </w:r>
      <w:r>
        <w:t xml:space="preserve"> </w:t>
      </w:r>
      <w:r>
        <w:t xml:space="preserve">Die Außenwände erhalten ein Wärmedämmverbundsystem oder eine gleichwertige Dämmkonstruktion mit Putzoberfläche bzw. teilweiser Vorhangfassade nach Wahl des Verkäufers. Farbgebung und Materialität der Fassade legt der Verkäufer im Rahmen des Gestaltungskonzepts fest.</w:t>
      </w:r>
    </w:p>
    <w:p>
      <w:pPr>
        <w:pStyle w:val="BodyText"/>
      </w:pPr>
      <w:r>
        <w:rPr>
          <w:bCs/>
          <w:b/>
        </w:rPr>
        <w:t xml:space="preserve">4.2</w:t>
      </w:r>
      <w:r>
        <w:t xml:space="preserve"> </w:t>
      </w:r>
      <w:r>
        <w:t xml:space="preserve">Dämmstärken und Dämmstoffe werden nach den energetischen Nachweisen bemessen (vgl. Abschnitt 17).</w:t>
      </w:r>
    </w:p>
    <w:bookmarkEnd w:id="25"/>
    <w:bookmarkStart w:id="26" w:name="dach"/>
    <w:p>
      <w:pPr>
        <w:pStyle w:val="Heading1"/>
      </w:pPr>
      <w:r>
        <w:t xml:space="preserve">5 Dach</w:t>
      </w:r>
    </w:p>
    <w:p>
      <w:pPr>
        <w:pStyle w:val="FirstParagraph"/>
      </w:pPr>
      <w:r>
        <w:rPr>
          <w:bCs/>
          <w:b/>
        </w:rPr>
        <w:t xml:space="preserve">5.1</w:t>
      </w:r>
      <w:r>
        <w:t xml:space="preserve"> </w:t>
      </w:r>
      <w:r>
        <w:t xml:space="preserve">Die Dachflächen werden als Flachdach bzw. flach geneigtes Dach ausgeführt und abgedichtet. Dachbegrünung, Bekiesung oder Belegung erfolgt nach dem Freiflächen- und Entwässerungskonzept.</w:t>
      </w:r>
    </w:p>
    <w:p>
      <w:pPr>
        <w:pStyle w:val="BodyText"/>
      </w:pPr>
      <w:r>
        <w:rPr>
          <w:bCs/>
          <w:b/>
        </w:rPr>
        <w:t xml:space="preserve">5.2</w:t>
      </w:r>
      <w:r>
        <w:t xml:space="preserve"> </w:t>
      </w:r>
      <w:r>
        <w:t xml:space="preserve">Eine Nutzung der Dachflächen durch die Erwerber des Hauses 4 ist nicht geschuldet, soweit nicht in der Teilungserklärung ausdrücklich ein Sondernutzungsrecht zugewiesen ist.</w:t>
      </w:r>
    </w:p>
    <w:bookmarkEnd w:id="26"/>
    <w:bookmarkStart w:id="27" w:name="fenster-außentüren-verglasung"/>
    <w:p>
      <w:pPr>
        <w:pStyle w:val="Heading1"/>
      </w:pPr>
      <w:r>
        <w:t xml:space="preserve">6 Fenster, Außentüren, Verglasung</w:t>
      </w:r>
    </w:p>
    <w:p>
      <w:pPr>
        <w:pStyle w:val="FirstParagraph"/>
      </w:pPr>
      <w:r>
        <w:rPr>
          <w:bCs/>
          <w:b/>
        </w:rPr>
        <w:t xml:space="preserve">6.1</w:t>
      </w:r>
      <w:r>
        <w:t xml:space="preserve"> </w:t>
      </w:r>
      <w:r>
        <w:t xml:space="preserve">Die Fenster werden als Kunststoff- oder Aluminiumfenster mit Mehrscheiben-Isolierverglasung ausgeführt; die Profilwahl trifft der Verkäufer. Die Wohnung erhält Fenster in marktüblicher Ausführung.</w:t>
      </w:r>
    </w:p>
    <w:p>
      <w:pPr>
        <w:pStyle w:val="BodyText"/>
      </w:pPr>
      <w:r>
        <w:rPr>
          <w:bCs/>
          <w:b/>
        </w:rPr>
        <w:t xml:space="preserve">6.2</w:t>
      </w:r>
      <w:r>
        <w:t xml:space="preserve"> </w:t>
      </w:r>
      <w:r>
        <w:t xml:space="preserve">Ein Teil der Fenster und Fenstertüren wird mit außenliegendem Sonnenschutz ausgestattet. Welche Öffnungen Sonnenschutz erhalten, legt der Verkäufer fest.</w:t>
      </w:r>
    </w:p>
    <w:p>
      <w:pPr>
        <w:pStyle w:val="BodyText"/>
      </w:pPr>
      <w:r>
        <w:rPr>
          <w:bCs/>
          <w:b/>
        </w:rPr>
        <w:t xml:space="preserve">6.3</w:t>
      </w:r>
      <w:r>
        <w:t xml:space="preserve"> </w:t>
      </w:r>
      <w:r>
        <w:t xml:space="preserve">Die Wohnungseingangstür wird als Tür mit üblichem Einbruch- und Schallschutz in handelsüblicher Qualität ausgeführt.</w:t>
      </w:r>
    </w:p>
    <w:bookmarkEnd w:id="27"/>
    <w:bookmarkStart w:id="28" w:name="innenausbau-wände-decken-estrich"/>
    <w:p>
      <w:pPr>
        <w:pStyle w:val="Heading1"/>
      </w:pPr>
      <w:r>
        <w:t xml:space="preserve">7 Innenausbau, Wände, Decken, Estrich</w:t>
      </w:r>
    </w:p>
    <w:p>
      <w:pPr>
        <w:pStyle w:val="FirstParagraph"/>
      </w:pPr>
      <w:r>
        <w:rPr>
          <w:bCs/>
          <w:b/>
        </w:rPr>
        <w:t xml:space="preserve">7.1</w:t>
      </w:r>
      <w:r>
        <w:t xml:space="preserve"> </w:t>
      </w:r>
      <w:r>
        <w:t xml:space="preserve">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p>
      <w:pPr>
        <w:pStyle w:val="BodyText"/>
      </w:pPr>
      <w:r>
        <w:rPr>
          <w:bCs/>
          <w:b/>
        </w:rPr>
        <w:t xml:space="preserve">7.2</w:t>
      </w:r>
      <w:r>
        <w:t xml:space="preserve"> </w:t>
      </w:r>
      <w:r>
        <w:t xml:space="preserve">In den Wohnräumen wird ein schwimmender Estrich auf Dämmung eingebracht. Der Estrich wird für die in Abschnitt 8 vorgesehenen Bodenbeläge vorbereitet.</w:t>
      </w:r>
    </w:p>
    <w:bookmarkEnd w:id="28"/>
    <w:bookmarkStart w:id="29" w:name="bodenbeläge"/>
    <w:p>
      <w:pPr>
        <w:pStyle w:val="Heading1"/>
      </w:pPr>
      <w:r>
        <w:t xml:space="preserve">8 Bodenbeläge</w:t>
      </w:r>
    </w:p>
    <w:p>
      <w:pPr>
        <w:pStyle w:val="FirstParagraph"/>
      </w:pPr>
      <w:r>
        <w:rPr>
          <w:bCs/>
          <w:b/>
        </w:rPr>
        <w:t xml:space="preserve">8.1</w:t>
      </w:r>
      <w:r>
        <w:t xml:space="preserve"> </w:t>
      </w:r>
      <w:r>
        <w:t xml:space="preserve">Die Wohn- und Schlafräume erhalten einen Bodenbelag in gehobener Qualität nach Wahl aus dem Standardsortiment des Verkäufers. Bad und Gäste-WC erhalten Fliesenbeläge aus dem Standardsortiment.</w:t>
      </w:r>
    </w:p>
    <w:p>
      <w:pPr>
        <w:pStyle w:val="BodyText"/>
      </w:pPr>
      <w:r>
        <w:rPr>
          <w:bCs/>
          <w:b/>
        </w:rPr>
        <w:t xml:space="preserve">8.2</w:t>
      </w:r>
      <w:r>
        <w:t xml:space="preserve"> </w:t>
      </w:r>
      <w:r>
        <w:t xml:space="preserve">Der Käufer kann im Rahmen der Bemusterung aus dem jeweils gültigen Standardsortiment auswählen, soweit der Baufortschritt dies noch zulässt. Eine Auswahl außerhalb des Standardsortiments ist als Sonderwunsch gesondert zu vereinbaren und zu vergüten.</w:t>
      </w:r>
    </w:p>
    <w:bookmarkEnd w:id="29"/>
    <w:bookmarkStart w:id="30" w:name="innentüren"/>
    <w:p>
      <w:pPr>
        <w:pStyle w:val="Heading1"/>
      </w:pPr>
      <w:r>
        <w:t xml:space="preserve">9 Innentüren</w:t>
      </w:r>
    </w:p>
    <w:p>
      <w:pPr>
        <w:pStyle w:val="FirstParagraph"/>
      </w:pPr>
      <w:r>
        <w:rPr>
          <w:bCs/>
          <w:b/>
        </w:rPr>
        <w:t xml:space="preserve">9.1</w:t>
      </w:r>
      <w:r>
        <w:t xml:space="preserve"> </w:t>
      </w:r>
      <w:r>
        <w:t xml:space="preserve">Die Innentüren werden als Zimmertüren in handelsüblicher Ausführung mit Standardbeschlag eingebaut. Oberfläche, Farbe und Drückergarnitur richten sich nach dem Standardsortiment des Verkäufers.</w:t>
      </w:r>
    </w:p>
    <w:bookmarkEnd w:id="30"/>
    <w:bookmarkStart w:id="31" w:name="sanitärobjekte-und-sanitärausstattung"/>
    <w:p>
      <w:pPr>
        <w:pStyle w:val="Heading1"/>
      </w:pPr>
      <w:r>
        <w:t xml:space="preserve">10 Sanitärobjekte und Sanitärausstattung</w:t>
      </w:r>
    </w:p>
    <w:p>
      <w:pPr>
        <w:pStyle w:val="FirstParagraph"/>
      </w:pPr>
      <w:r>
        <w:rPr>
          <w:bCs/>
          <w:b/>
        </w:rPr>
        <w:t xml:space="preserve">10.1</w:t>
      </w:r>
      <w:r>
        <w:t xml:space="preserve"> </w:t>
      </w:r>
      <w:r>
        <w:t xml:space="preserve">Die Sanitärräume werden mit Sanitärobjekten in weißer Standardausführung ausgestattet (Waschtisch, WC, Dusche und/oder Badewanne je nach Grundriss). Armaturen werden als Einhebelmischer in marktüblicher Qualität geliefert.</w:t>
      </w:r>
    </w:p>
    <w:p>
      <w:pPr>
        <w:pStyle w:val="BodyText"/>
      </w:pPr>
      <w:r>
        <w:rPr>
          <w:bCs/>
          <w:b/>
        </w:rPr>
        <w:t xml:space="preserve">10.2</w:t>
      </w:r>
      <w:r>
        <w:t xml:space="preserve"> </w:t>
      </w:r>
      <w:r>
        <w:t xml:space="preserve">Anzahl, Anordnung und Art der Sanitärobjekte ergeben sich aus den Ausführungsplänen. Änderungen der Anordnung infolge der Haustechnik- und Schachtplanung bleiben vorbehalten.</w:t>
      </w:r>
    </w:p>
    <w:bookmarkEnd w:id="31"/>
    <w:bookmarkStart w:id="32" w:name="heizung-warmwasser"/>
    <w:p>
      <w:pPr>
        <w:pStyle w:val="Heading1"/>
      </w:pPr>
      <w:r>
        <w:t xml:space="preserve">11 Heizung, Warmwasser</w:t>
      </w:r>
    </w:p>
    <w:p>
      <w:pPr>
        <w:pStyle w:val="FirstParagraph"/>
      </w:pPr>
      <w:r>
        <w:rPr>
          <w:bCs/>
          <w:b/>
        </w:rPr>
        <w:t xml:space="preserve">11.1</w:t>
      </w:r>
      <w:r>
        <w:t xml:space="preserve"> </w:t>
      </w:r>
      <w:r>
        <w:t xml:space="preserve">Die Beheizung und Warmwasserbereitung erfolgt über eine zentrale Anlage nach Wahl des Verkäufers (Fernwärme, Wärmepumpe, Brennwerttechnik oder eine Kombination hiervon). Die Wohnräume erhalten Heizflächen (Fußbodenheizung und/oder Heizkörper) in einer für die vorgesehene Nutzung geeigneten Auslegung.</w:t>
      </w:r>
    </w:p>
    <w:p>
      <w:pPr>
        <w:pStyle w:val="BodyText"/>
      </w:pPr>
      <w:r>
        <w:rPr>
          <w:bCs/>
          <w:b/>
        </w:rPr>
        <w:t xml:space="preserve">11.2</w:t>
      </w:r>
      <w:r>
        <w:t xml:space="preserve"> </w:t>
      </w:r>
      <w:r>
        <w:t xml:space="preserve">Die Wärme- und Warmwasserlieferung kann über einen Wärmeliefer-/Contractingvertrag erfolgen. Die hieraus entstehenden Kosten tragen die Erwerber nach Maßgabe der Teilungserklärung.</w:t>
      </w:r>
    </w:p>
    <w:bookmarkEnd w:id="32"/>
    <w:bookmarkStart w:id="33" w:name="lüftung"/>
    <w:p>
      <w:pPr>
        <w:pStyle w:val="Heading1"/>
      </w:pPr>
      <w:r>
        <w:t xml:space="preserve">12 Lüftung</w:t>
      </w:r>
    </w:p>
    <w:p>
      <w:pPr>
        <w:pStyle w:val="FirstParagraph"/>
      </w:pPr>
      <w:r>
        <w:rPr>
          <w:bCs/>
          <w:b/>
        </w:rPr>
        <w:t xml:space="preserve">12.1</w:t>
      </w:r>
      <w:r>
        <w:t xml:space="preserve"> </w:t>
      </w:r>
      <w:r>
        <w:t xml:space="preserve">Innenliegende Bäder und fensterlose Räume werden be- und entlüftet. Ob und in welchem Umfang eine kontrollierte Wohnraumlüftung mit Wärmerückgewinnung ausgeführt wird, richtet sich nach den energetischen Nachweisen und der Festlegung des Verkäufers. Eine bestimmte Luftwechselrate oder eine bestimmte sommerliche Raumtemperatur wird nicht geschuldet.</w:t>
      </w:r>
    </w:p>
    <w:bookmarkEnd w:id="33"/>
    <w:bookmarkStart w:id="34" w:name="Xa8f621190aed3caf72187bd0552b9ced3adc76f"/>
    <w:p>
      <w:pPr>
        <w:pStyle w:val="Heading1"/>
      </w:pPr>
      <w:r>
        <w:t xml:space="preserve">13 Elektroinstallation, Medien, Lade- und PV-Infrastruktur</w:t>
      </w:r>
    </w:p>
    <w:p>
      <w:pPr>
        <w:pStyle w:val="FirstParagraph"/>
      </w:pPr>
      <w:r>
        <w:rPr>
          <w:bCs/>
          <w:b/>
        </w:rPr>
        <w:t xml:space="preserve">13.1</w:t>
      </w:r>
      <w:r>
        <w:t xml:space="preserve"> </w:t>
      </w:r>
      <w:r>
        <w:t xml:space="preserve">Die Elektroinstallation wird nach den einschlägigen technischen Regeln in einer für Wohnnutzung üblichen Ausstattungsdichte ausgeführt. Anzahl und Position von Steckdosen, Schaltern und Anschlüssen ergeben sich aus den Ausführungsplänen.</w:t>
      </w:r>
    </w:p>
    <w:p>
      <w:pPr>
        <w:pStyle w:val="BodyText"/>
      </w:pPr>
      <w:r>
        <w:rPr>
          <w:bCs/>
          <w:b/>
        </w:rPr>
        <w:t xml:space="preserve">13.2</w:t>
      </w:r>
      <w:r>
        <w:t xml:space="preserve"> </w:t>
      </w:r>
      <w:r>
        <w:t xml:space="preserve">Die Wohnung erhält einen Multimedia-/Datenanschluss in handelsüblicher Ausführung. Eine bestimmte Bandbreite oder ein bestimmter Anbieter wird nicht geschuldet.</w:t>
      </w:r>
    </w:p>
    <w:p>
      <w:pPr>
        <w:pStyle w:val="BodyText"/>
      </w:pPr>
      <w:r>
        <w:rPr>
          <w:bCs/>
          <w:b/>
        </w:rPr>
        <w:t xml:space="preserve">13.3</w:t>
      </w:r>
      <w:r>
        <w:t xml:space="preserve"> </w:t>
      </w:r>
      <w:r>
        <w:t xml:space="preserve">Ob die Tiefgarage mit Lade-Infrastruktur und ob das Gebäude mit einer Photovoltaikanlage ausgestattet wird, bestimmt der Verkäufer im Rahmen der Gesamtplanung. Ein Anspruch des einzelnen Erwerbers hierauf besteht nicht.</w:t>
      </w:r>
    </w:p>
    <w:bookmarkEnd w:id="34"/>
    <w:bookmarkStart w:id="35" w:name="aufzug"/>
    <w:p>
      <w:pPr>
        <w:pStyle w:val="Heading1"/>
      </w:pPr>
      <w:r>
        <w:t xml:space="preserve">14 Aufzug</w:t>
      </w:r>
    </w:p>
    <w:p>
      <w:pPr>
        <w:pStyle w:val="FirstParagraph"/>
      </w:pPr>
      <w:r>
        <w:rPr>
          <w:bCs/>
          <w:b/>
        </w:rPr>
        <w:t xml:space="preserve">14.1</w:t>
      </w:r>
      <w:r>
        <w:t xml:space="preserve"> </w:t>
      </w:r>
      <w:r>
        <w:t xml:space="preserve">Haus 4 erhält einen Personenaufzug in handelsüblicher Ausführung, der die Wohngeschosse und die Tiefgarage erschließt. Fabrikat, Förderhöhe und Kabinenausstattung wählt der Verkäufer.</w:t>
      </w:r>
    </w:p>
    <w:bookmarkEnd w:id="35"/>
    <w:bookmarkStart w:id="36" w:name="tiefgarage"/>
    <w:p>
      <w:pPr>
        <w:pStyle w:val="Heading1"/>
      </w:pPr>
      <w:r>
        <w:t xml:space="preserve">15 Tiefgarage</w:t>
      </w:r>
    </w:p>
    <w:p>
      <w:pPr>
        <w:pStyle w:val="FirstParagraph"/>
      </w:pPr>
      <w:r>
        <w:rPr>
          <w:bCs/>
          <w:b/>
        </w:rPr>
        <w:t xml:space="preserve">15.1</w:t>
      </w:r>
      <w:r>
        <w:t xml:space="preserve"> </w:t>
      </w:r>
      <w:r>
        <w:t xml:space="preserve">Die Tiefgarage wird in Stahlbeton ausgeführt und maschinell be- und entlüftet. Bodenbeschichtung, Markierung und technische Ausstattung erfolgen in für Tiefgaragen üblicher Qualität.</w:t>
      </w:r>
    </w:p>
    <w:p>
      <w:pPr>
        <w:pStyle w:val="BodyText"/>
      </w:pPr>
      <w:r>
        <w:rPr>
          <w:bCs/>
          <w:b/>
        </w:rPr>
        <w:t xml:space="preserve">15.2</w:t>
      </w:r>
      <w:r>
        <w:t xml:space="preserve"> </w:t>
      </w:r>
      <w:r>
        <w:t xml:space="preserve">Der dem Käufer zugeordnete Stellplatz TG-127 wird als Standard-Stellplatz hergestellt. Eine bestimmte Mindestbreite oder Mindesthöhe über das bauordnungsrechtlich Erforderliche hinaus wird nicht geschuldet.</w:t>
      </w:r>
    </w:p>
    <w:bookmarkEnd w:id="36"/>
    <w:bookmarkStart w:id="37" w:name="schall--wärme--feuchte--und-brandschutz"/>
    <w:p>
      <w:pPr>
        <w:pStyle w:val="Heading1"/>
      </w:pPr>
      <w:r>
        <w:t xml:space="preserve">16 Schall-, Wärme-, Feuchte- und Brandschutz</w:t>
      </w:r>
    </w:p>
    <w:p>
      <w:pPr>
        <w:pStyle w:val="FirstParagraph"/>
      </w:pPr>
      <w:r>
        <w:rPr>
          <w:bCs/>
          <w:b/>
        </w:rPr>
        <w:t xml:space="preserve">16.1</w:t>
      </w:r>
      <w:r>
        <w:t xml:space="preserve"> </w:t>
      </w:r>
      <w:r>
        <w:t xml:space="preserve">Schall-, Wärme-, Feuchte- und Brandschutz werden in dem öffentlich-rechtlich erforderlichen Umfang nachgewiesen und ausgeführt. Ein über die Mindestanforderungen hinausgehender, erhöhter Schallschutz wird nur geschuldet, soweit er nachstehend mit Zahlenwerten ausdrücklich vereinbart ist.</w:t>
      </w:r>
    </w:p>
    <w:p>
      <w:pPr>
        <w:pStyle w:val="BodyText"/>
      </w:pPr>
      <w:r>
        <w:rPr>
          <w:bCs/>
          <w:b/>
        </w:rPr>
        <w:t xml:space="preserve">16.2</w:t>
      </w:r>
      <w:r>
        <w:t xml:space="preserve"> </w:t>
      </w:r>
      <w:r>
        <w:t xml:space="preserve">Konkrete Zahlenwerte zum erhöhten Schallschutz:</w:t>
      </w:r>
      <w:r>
        <w:t xml:space="preserve"> </w:t>
      </w:r>
      <w:r>
        <w:rPr>
          <w:iCs/>
          <w:i/>
        </w:rPr>
        <w:t xml:space="preserve">(in dieser Fassung nicht eingetragen)</w:t>
      </w:r>
      <w:r>
        <w:t xml:space="preserve">.</w:t>
      </w:r>
    </w:p>
    <w:bookmarkEnd w:id="37"/>
    <w:bookmarkStart w:id="38" w:name="energetischer-standard"/>
    <w:p>
      <w:pPr>
        <w:pStyle w:val="Heading1"/>
      </w:pPr>
      <w:r>
        <w:t xml:space="preserve">17 Energetischer Standard</w:t>
      </w:r>
    </w:p>
    <w:p>
      <w:pPr>
        <w:pStyle w:val="FirstParagraph"/>
      </w:pPr>
      <w:r>
        <w:rPr>
          <w:bCs/>
          <w:b/>
        </w:rPr>
        <w:t xml:space="preserve">17.1</w:t>
      </w:r>
      <w:r>
        <w:t xml:space="preserve"> </w:t>
      </w:r>
      <w:r>
        <w:t xml:space="preserve">Das Gebäude wird nach den zum Tag der Erteilung der Baugenehmigung geltenden energetischen Anforderungen errichtet. Eine bestimmte KfW-Effizienzhausklasse, ein bestimmter Primärenergiebedarf oder eine bestimmte GEG-Stufe wird nicht geschuldet, soweit nicht ausdrücklich mit Zahlenwert vereinbart.</w:t>
      </w:r>
    </w:p>
    <w:bookmarkEnd w:id="38"/>
    <w:bookmarkStart w:id="39" w:name="außenanlagen-gemeinschaftsflächen"/>
    <w:p>
      <w:pPr>
        <w:pStyle w:val="Heading1"/>
      </w:pPr>
      <w:r>
        <w:t xml:space="preserve">18 Außenanlagen, Gemeinschaftsflächen</w:t>
      </w:r>
    </w:p>
    <w:p>
      <w:pPr>
        <w:pStyle w:val="FirstParagraph"/>
      </w:pPr>
      <w:r>
        <w:rPr>
          <w:bCs/>
          <w:b/>
        </w:rPr>
        <w:t xml:space="preserve">18.1</w:t>
      </w:r>
      <w:r>
        <w:t xml:space="preserve"> </w:t>
      </w:r>
      <w:r>
        <w:t xml:space="preserve">Die Außenanlagen (Wege, Zufahrten, Pflanzflächen, Spielplatz, Quartiersplatz, Müllstandorte) werden nach dem Freiflächenkonzept hergestellt. Art, Umfang und Zeitpunkt der Fertigstellung richten sich nach dem Bauablauf des Gesamtquartiers und können nach dem Übergabetag der Wohnung liegen.</w:t>
      </w:r>
    </w:p>
    <w:p>
      <w:pPr>
        <w:pStyle w:val="BodyText"/>
      </w:pPr>
      <w:r>
        <w:rPr>
          <w:bCs/>
          <w:b/>
        </w:rPr>
        <w:t xml:space="preserve">18.2</w:t>
      </w:r>
      <w:r>
        <w:t xml:space="preserve"> </w:t>
      </w:r>
      <w:r>
        <w:t xml:space="preserve">Die Terrasse T-4.27 wird mit einem Bodenbelag in für Außenflächen üblicher Qualität hergestellt.</w:t>
      </w:r>
    </w:p>
    <w:bookmarkEnd w:id="39"/>
    <w:bookmarkStart w:id="40" w:name="wohnflächen"/>
    <w:p>
      <w:pPr>
        <w:pStyle w:val="Heading1"/>
      </w:pPr>
      <w:r>
        <w:t xml:space="preserve">19 Wohnflächen</w:t>
      </w:r>
    </w:p>
    <w:p>
      <w:pPr>
        <w:pStyle w:val="FirstParagraph"/>
      </w:pPr>
      <w:r>
        <w:rPr>
          <w:bCs/>
          <w:b/>
        </w:rPr>
        <w:t xml:space="preserve">19.1</w:t>
      </w:r>
      <w:r>
        <w:t xml:space="preserve"> </w:t>
      </w:r>
      <w:r>
        <w:t xml:space="preserve">Die Wohnfläche der Wohnung 4.27 beträgt ca. 118,4 m². Die Ermittlung erfolgt nach DIN 277. Maßgeblich ist die nach Fertigstellung tatsächlich erbrachte Ausführung; die ca.-Angabe ist keine zugesicherte Eigenschaft.</w:t>
      </w:r>
    </w:p>
    <w:bookmarkEnd w:id="40"/>
    <w:bookmarkStart w:id="41" w:name="bemusterung-sonderwünsche"/>
    <w:p>
      <w:pPr>
        <w:pStyle w:val="Heading1"/>
      </w:pPr>
      <w:r>
        <w:t xml:space="preserve">20 Bemusterung, Sonderwünsche</w:t>
      </w:r>
    </w:p>
    <w:p>
      <w:pPr>
        <w:pStyle w:val="FirstParagraph"/>
      </w:pPr>
      <w:r>
        <w:rPr>
          <w:bCs/>
          <w:b/>
        </w:rPr>
        <w:t xml:space="preserve">20.1</w:t>
      </w:r>
      <w:r>
        <w:t xml:space="preserve"> </w:t>
      </w:r>
      <w:r>
        <w:t xml:space="preserve">Der Käufer wählt im Rahmen der Bemusterung im vom Verkäufer benannten Bemusterungszentrum aus dem jeweils gültigen Standardsortiment. Drei Beratungsstunden sind im Kaufpreis enthalten; darüber hinausgehender Aufwand wird mit 180,00 EUR netto je angefangener Stunde vergütet.</w:t>
      </w:r>
    </w:p>
    <w:p>
      <w:pPr>
        <w:pStyle w:val="BodyText"/>
      </w:pPr>
      <w:r>
        <w:rPr>
          <w:bCs/>
          <w:b/>
        </w:rPr>
        <w:t xml:space="preserve">20.2</w:t>
      </w:r>
      <w:r>
        <w:t xml:space="preserve"> </w:t>
      </w:r>
      <w:r>
        <w:t xml:space="preserve">Die Bemusterung hat innerhalb von vier Wochen nach Aufforderung stattzufinden. Reagiert der Käufer nicht rechtzeitig, wählt der Verkäufer aus der Standardausstattung. Spätere Änderungen sind nur möglich, soweit der Baufortschritt es zulässt, und gesondert zu vergüten.</w:t>
      </w:r>
    </w:p>
    <w:p>
      <w:pPr>
        <w:pStyle w:val="BodyText"/>
      </w:pPr>
      <w:r>
        <w:rPr>
          <w:bCs/>
          <w:b/>
        </w:rPr>
        <w:t xml:space="preserve">20.3</w:t>
      </w:r>
      <w:r>
        <w:t xml:space="preserve"> </w:t>
      </w:r>
      <w:r>
        <w:t xml:space="preserve">Sonderwünsche außerhalb des Standardsortiments sind vor Beginn der betroffenen Bauleistung vollständig und im Voraus zu zahlen.</w:t>
      </w:r>
    </w:p>
    <w:p>
      <w:r>
        <w:br w:type="page"/>
      </w:r>
    </w:p>
    <w:bookmarkEnd w:id="41"/>
    <w:bookmarkStart w:id="42" w:name="schlussbestimmungen-der-baubeschreibung"/>
    <w:p>
      <w:pPr>
        <w:pStyle w:val="Heading1"/>
      </w:pPr>
      <w:r>
        <w:t xml:space="preserve">Schlussbestimmungen der Baubeschreibung</w:t>
      </w:r>
    </w:p>
    <w:p>
      <w:pPr>
        <w:pStyle w:val="FirstParagraph"/>
      </w:pPr>
      <w:r>
        <w:rPr>
          <w:bCs/>
          <w:b/>
        </w:rPr>
        <w:t xml:space="preserve">S.1</w:t>
      </w:r>
      <w:r>
        <w:t xml:space="preserve"> </w:t>
      </w:r>
      <w:r>
        <w:t xml:space="preserve">Bei Widersprüchen zwischen dieser Baubeschreibung, den Plänen und dem Kaufvertrag gilt die Regelung, die der Verkäufer im Rahmen seines billigen Ermessens für sachgerecht hält.</w:t>
      </w:r>
    </w:p>
    <w:p>
      <w:pPr>
        <w:pStyle w:val="BodyText"/>
      </w:pPr>
      <w:r>
        <w:rPr>
          <w:bCs/>
          <w:b/>
        </w:rPr>
        <w:t xml:space="preserve">S.2</w:t>
      </w:r>
      <w:r>
        <w:t xml:space="preserve"> </w:t>
      </w:r>
      <w:r>
        <w:t xml:space="preserve">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p>
      <w:pPr>
        <w:pStyle w:val="BodyText"/>
      </w:pPr>
      <w:r>
        <w:t xml:space="preserve">Berlin, im Februar 2026</w:t>
      </w:r>
    </w:p>
    <w:p>
      <w:pPr>
        <w:pStyle w:val="BodyText"/>
      </w:pPr>
      <w:r>
        <w:t xml:space="preserve">Hohenwartshofen Quartiersentwicklung GmbH &amp; Co. KG</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Baubeschreibung — Fassung Februar 2026, Version 7.2 (Auszug)</dc:title>
  <dc:creator/>
  <cp:keywords/>
  <dcterms:created xsi:type="dcterms:W3CDTF">2026-06-16T21:57:54Z</dcterms:created>
  <dcterms:modified xsi:type="dcterms:W3CDTF">2026-06-16T21:57:54Z</dcterms:modified>
</cp:coreProperties>
</file>

<file path=docProps/custom.xml><?xml version="1.0" encoding="utf-8"?>
<Properties xmlns="http://schemas.openxmlformats.org/officeDocument/2006/custom-properties" xmlns:vt="http://schemas.openxmlformats.org/officeDocument/2006/docPropsVTypes"/>
</file>