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Wohnungsbauträgervertrag</w:t>
      </w:r>
      <w:r>
        <w:t xml:space="preserve"> </w:t>
      </w:r>
      <w:r>
        <w:t xml:space="preserve">mit</w:t>
      </w:r>
      <w:r>
        <w:t xml:space="preserve"> </w:t>
      </w:r>
      <w:r>
        <w:t xml:space="preserve">Auflassung</w:t>
      </w:r>
      <w:r>
        <w:t xml:space="preserve"> </w:t>
      </w:r>
      <w:r>
        <w:t xml:space="preserve">—</w:t>
      </w:r>
      <w:r>
        <w:t xml:space="preserve"> </w:t>
      </w:r>
      <w:r>
        <w:t xml:space="preserve">UR-Nr.</w:t>
      </w:r>
      <w:r>
        <w:t xml:space="preserve"> </w:t>
      </w:r>
      <w:r>
        <w:t xml:space="preserve">188/2026</w:t>
      </w:r>
      <w:r>
        <w:t xml:space="preserve"> </w:t>
      </w:r>
      <w:r>
        <w:t xml:space="preserve">KQ</w:t>
      </w:r>
    </w:p>
    <w:p>
      <w:pPr>
        <w:pStyle w:val="Subtitle"/>
      </w:pPr>
      <w:r>
        <w:t xml:space="preserve">Testakte</w:t>
      </w:r>
      <w:r>
        <w:t xml:space="preserve"> </w:t>
      </w:r>
      <w:r>
        <w:t xml:space="preserve">„Bauträgervertrag</w:t>
      </w:r>
      <w:r>
        <w:t xml:space="preserve"> </w:t>
      </w:r>
      <w:r>
        <w:t xml:space="preserve">aus</w:t>
      </w:r>
      <w:r>
        <w:t xml:space="preserve"> </w:t>
      </w:r>
      <w:r>
        <w:t xml:space="preserve">der</w:t>
      </w:r>
      <w:r>
        <w:t xml:space="preserve"> </w:t>
      </w:r>
      <w:r>
        <w:t xml:space="preserve">Hölle”</w:t>
      </w:r>
      <w:r>
        <w:t xml:space="preserve"> </w:t>
      </w:r>
      <w:r>
        <w:t xml:space="preserve">—</w:t>
      </w:r>
      <w:r>
        <w:t xml:space="preserve"> </w:t>
      </w:r>
      <w:r>
        <w:t xml:space="preserve">fiktive</w:t>
      </w:r>
      <w:r>
        <w:t xml:space="preserve"> </w:t>
      </w:r>
      <w:r>
        <w:t xml:space="preserve">Urkunde</w:t>
      </w:r>
      <w:r>
        <w:t xml:space="preserve"> </w:t>
      </w:r>
      <w:r>
        <w:t xml:space="preserve">mit</w:t>
      </w:r>
      <w:r>
        <w:t xml:space="preserve"> </w:t>
      </w:r>
      <w:r>
        <w:t xml:space="preserve">eingebauten</w:t>
      </w:r>
      <w:r>
        <w:t xml:space="preserve"> </w:t>
      </w:r>
      <w:r>
        <w:t xml:space="preserve">Mängeln</w:t>
      </w:r>
      <w:r>
        <w:t xml:space="preserve"> </w:t>
      </w:r>
      <w:r>
        <w:t xml:space="preserve">zu</w:t>
      </w:r>
      <w:r>
        <w:t xml:space="preserve"> </w:t>
      </w:r>
      <w:r>
        <w:t xml:space="preserve">Schulungszwecken</w:t>
      </w:r>
    </w:p>
    <w:p>
      <w:r>
        <w:br w:type="page"/>
      </w:r>
    </w:p>
    <w:bookmarkStart w:id="21" w:name="ur-nr.-1882026-kq"/>
    <w:p>
      <w:pPr>
        <w:pStyle w:val="Heading1"/>
      </w:pPr>
      <w:r>
        <w:t xml:space="preserve">UR-Nr. 188/2026 KQ</w:t>
      </w:r>
    </w:p>
    <w:bookmarkStart w:id="2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Cs/>
          <w:b/>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Cs/>
          <w:b/>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Cs/>
          <w:b/>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Cs/>
          <w:b/>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sowie je eine Kopie der Bezugsurkunden zur Verfügung gestellt wurde. Die Frist von zwei Wochen nach § 17 Abs. 2a S. 2 Nr. 2 BeurkG wurde im Hinblick auf den geplanten Vertriebsabschluss verkürzt; der Käufer erklärt ausdrücklich, mit der Verkürzung einverstanden zu sein und auf die volle zweiwöchige Frist zu verzichten.</w:t>
      </w:r>
    </w:p>
    <w:p>
      <w:pPr>
        <w:pStyle w:val="BodyText"/>
      </w:pPr>
      <w:r>
        <w:t xml:space="preserve">Die Erschienenen baten sodann um die Beurkundung des nachstehenden</w:t>
      </w:r>
    </w:p>
    <w:bookmarkEnd w:id="20"/>
    <w:bookmarkEnd w:id="21"/>
    <w:bookmarkStart w:id="23" w:name="wohnungsbauträgervertrags-mit-auflassung"/>
    <w:p>
      <w:pPr>
        <w:pStyle w:val="Heading1"/>
      </w:pPr>
      <w:r>
        <w:t xml:space="preserve">Wohnungsbauträgervertrags mit Auflassung</w:t>
      </w:r>
    </w:p>
    <w:bookmarkStart w:id="22" w:name="vorbemerkungen"/>
    <w:p>
      <w:pPr>
        <w:pStyle w:val="Heading2"/>
      </w:pPr>
      <w:r>
        <w:t xml:space="preserve">Vorbemerkungen</w:t>
      </w:r>
    </w:p>
    <w:p>
      <w:pPr>
        <w:pStyle w:val="FirstParagraph"/>
      </w:pPr>
      <w:r>
        <w:rPr>
          <w:bCs/>
          <w:b/>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den derzeitigen Planungsstand handelt, der noch verändert werden kann, behält sich der Verkäufer das Recht vor, die vorstehende voraussichtliche Anzahl der Wohn- und Teileigentumseinheiten sowie der Stellplätze noch zu ändern. Ebenso behält sich der Verkäufer das Recht vor, einzelne derzeit geplante Mehrfamilienhäuser bzw. Bauabschnitte nicht zu errichten oder sonstige Änderungen der Planung vorzunehmen, die ihm aus wirtschaftlichen, baurechtlichen, statischen oder sonstigen Gründen erforderlich erscheinen. Der Käufer hat insoweit keinerlei Rechte oder Ansprüche.</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und temporäre Stromabschaltungen) ergeben können. Der Käufer ist insoweit zur uneingeschränkten Duldung verpflichtet, ohne dass ihm insoweit Rechte, Ansprüche oder Minderungsmöglichkeiten gegen den Verkäufer und jeweiligen Eigentümer der bezeichneten Nachbargrundstücke zustehen.</w:t>
      </w:r>
    </w:p>
    <w:p>
      <w:pPr>
        <w:pStyle w:val="BodyText"/>
      </w:pPr>
      <w:r>
        <w:rPr>
          <w:bCs/>
          <w:b/>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ist nicht Gegenstand der Beurkundung; sie wird dem Käufer mit Vertragsunterzeichnung in einer aktuellen, ungebundenen Druckfassung übergeben.</w:t>
      </w:r>
    </w:p>
    <w:p>
      <w:pPr>
        <w:pStyle w:val="BodyText"/>
      </w:pPr>
      <w:r>
        <w:t xml:space="preserve">Der Käufer bestätigt mit Unterzeichnung dieses Vertrages, dass er die Baubeschreibung sowie sämtliche Bezugsurkunden in vollem Umfang erhalten, gelesen, verstanden und mit fachkundiger Hilfe geprüft hat und dass ihm sämtliche damit verbundenen technischen, rechtlichen und wirtschaftlichen Folgen vollumfänglich bewusst sind.</w:t>
      </w:r>
    </w:p>
    <w:p>
      <w:pPr>
        <w:pStyle w:val="BodyText"/>
      </w:pPr>
      <w:r>
        <w:rPr>
          <w:bCs/>
          <w:b/>
        </w:rPr>
        <w:t xml:space="preserve">0.3</w:t>
      </w:r>
      <w:r>
        <w:t xml:space="preserve"> </w:t>
      </w:r>
      <w:r>
        <w:t xml:space="preserve">Gegenstand dieses Vertrages sind der in § 1 beschriebene Kaufgegenstand sowie die in § 5 beschriebene Herstellungsverpflichtung.</w:t>
      </w:r>
    </w:p>
    <w:p>
      <w:pPr>
        <w:pStyle w:val="BodyText"/>
      </w:pPr>
      <w:r>
        <w:rPr>
          <w:bCs/>
          <w:b/>
        </w:rPr>
        <w:t xml:space="preserve">0.4</w:t>
      </w:r>
      <w:r>
        <w:t xml:space="preserve"> </w:t>
      </w:r>
      <w:r>
        <w:t xml:space="preserve">Die Abgeschlossenheitsbescheinigung zur Teilungserklärung liegt vor.</w:t>
      </w:r>
    </w:p>
    <w:p>
      <w:pPr>
        <w:pStyle w:val="BodyText"/>
      </w:pPr>
      <w:r>
        <w:rPr>
          <w:bCs/>
          <w:b/>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Cs/>
          <w:b/>
        </w:rPr>
        <w:t xml:space="preserve">0.6</w:t>
      </w:r>
      <w:r>
        <w:t xml:space="preserve"> </w:t>
      </w:r>
      <w:r>
        <w:t xml:space="preserve">Der Verkäufer weist darauf hin, dass die Erschließung des Grundstücks teilweise noch nicht abgeschlossen ist.</w:t>
      </w:r>
    </w:p>
    <w:p>
      <w:pPr>
        <w:pStyle w:val="BodyText"/>
      </w:pPr>
      <w:r>
        <w:rPr>
          <w:bCs/>
          <w:b/>
        </w:rPr>
        <w:t xml:space="preserve">0.7</w:t>
      </w:r>
      <w:r>
        <w:t xml:space="preserve"> </w:t>
      </w:r>
      <w:r>
        <w:t xml:space="preserve">Der Verkäufer hat für das Bauvorhaben interne Projektunterlagen, insbesondere Baugrund- und Planungsgutachten, Fachplanernachweise, Terminpläne, Kostenverfolgungen sowie Berichte der Projektsteuerung und Objektüberwachung erstellen lassen. Diese Unterlagen dienen ausschließlich der internen Steuerung des Gesamtprojekts. Sie werden dem Käufer nur insoweit zugänglich gemacht, als dies nach zwingenden gesetzlichen Vorschriften erforderlich ist oder der Verkäufer dies zur zweckmäßigen Vertragsdurchführung für angezeigt hält.</w:t>
      </w:r>
    </w:p>
    <w:p>
      <w:r>
        <w:br w:type="page"/>
      </w:r>
    </w:p>
    <w:bookmarkEnd w:id="22"/>
    <w:bookmarkEnd w:id="23"/>
    <w:bookmarkStart w:id="24" w:name="kaufgegenstand"/>
    <w:p>
      <w:pPr>
        <w:pStyle w:val="Heading1"/>
      </w:pPr>
      <w:r>
        <w:t xml:space="preserve">§ 1 Kaufgegenstand</w:t>
      </w:r>
    </w:p>
    <w:p>
      <w:pPr>
        <w:pStyle w:val="FirstParagraph"/>
      </w:pPr>
      <w:r>
        <w:rPr>
          <w:bCs/>
          <w:b/>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Cs/>
          <w:b/>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Cs/>
          <w:b/>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24"/>
    <w:bookmarkStart w:id="25" w:name="kaufpreis"/>
    <w:p>
      <w:pPr>
        <w:pStyle w:val="Heading1"/>
      </w:pPr>
      <w:r>
        <w:t xml:space="preserve">§ 2 Kaufpreis</w:t>
      </w:r>
    </w:p>
    <w:p>
      <w:pPr>
        <w:pStyle w:val="FirstParagraph"/>
      </w:pPr>
      <w:r>
        <w:rPr>
          <w:bCs/>
          <w:b/>
        </w:rPr>
        <w:t xml:space="preserve">2.1</w:t>
      </w:r>
      <w:r>
        <w:t xml:space="preserve"> </w:t>
      </w:r>
      <w:r>
        <w:t xml:space="preserve">Der Kaufpreis für den Kaufgegenstand beträgt insgesamt</w:t>
      </w:r>
    </w:p>
    <w:p>
      <w:pPr>
        <w:pStyle w:val="BlockText"/>
      </w:pPr>
      <w:r>
        <w:rPr>
          <w:bCs/>
          <w:b/>
        </w:rPr>
        <w:t xml:space="preserve">789.500,00 EUR</w:t>
      </w:r>
    </w:p>
    <w:p>
      <w:pPr>
        <w:pStyle w:val="FirstParagraph"/>
      </w:pPr>
      <w:r>
        <w:t xml:space="preserve">zzgl. eines Aufpreises für den Tiefgaragenstellplatz von 38 500,00 EUR. Der Gesamtkaufpreis beträgt damit 828 000,00 EUR.</w:t>
      </w:r>
    </w:p>
    <w:p>
      <w:pPr>
        <w:pStyle w:val="BodyText"/>
      </w:pPr>
      <w:r>
        <w:rPr>
          <w:bCs/>
          <w:b/>
        </w:rPr>
        <w:t xml:space="preserve">2.2</w:t>
      </w:r>
      <w:r>
        <w:t xml:space="preserve"> </w:t>
      </w:r>
      <w:r>
        <w:t xml:space="preserve">Der Kaufpreis ist ein Fest-Kaufpreis. Er umfasst sämtliche Leistungen entsprechend der Herstellungsverpflichtung in § 5.</w:t>
      </w:r>
    </w:p>
    <w:p>
      <w:pPr>
        <w:pStyle w:val="BodyText"/>
      </w:pPr>
      <w:r>
        <w:rPr>
          <w:bCs/>
          <w:b/>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25"/>
    <w:bookmarkStart w:id="26" w:name="kaufpreiszahlung-fälligkeit"/>
    <w:p>
      <w:pPr>
        <w:pStyle w:val="Heading1"/>
      </w:pPr>
      <w:r>
        <w:t xml:space="preserve">§ 3 Kaufpreiszahlung, Fälligkeit</w:t>
      </w:r>
    </w:p>
    <w:p>
      <w:pPr>
        <w:pStyle w:val="FirstParagraph"/>
      </w:pPr>
      <w:r>
        <w:rPr>
          <w:bCs/>
          <w:b/>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Cs/>
          <w:b/>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Rate</w:t>
            </w:r>
          </w:p>
        </w:tc>
        <w:tc>
          <w:tcPr/>
          <w:p>
            <w:pPr>
              <w:pStyle w:val="Compact"/>
              <w:jc w:val="left"/>
            </w:pPr>
            <w:r>
              <w:t xml:space="preserve">Stichmonat</w:t>
            </w:r>
          </w:p>
        </w:tc>
        <w:tc>
          <w:tcPr/>
          <w:p>
            <w:pPr>
              <w:pStyle w:val="Compact"/>
              <w:jc w:val="left"/>
            </w:pPr>
            <w:r>
              <w:t xml:space="preserve">Anteil</w:t>
            </w:r>
          </w:p>
        </w:tc>
      </w:tr>
      <w:tr>
        <w:tc>
          <w:tcPr/>
          <w:p>
            <w:pPr>
              <w:pStyle w:val="Compact"/>
              <w:jc w:val="left"/>
            </w:pPr>
            <w:r>
              <w:t xml:space="preserve">1. Rate</w:t>
            </w:r>
          </w:p>
        </w:tc>
        <w:tc>
          <w:tcPr/>
          <w:p>
            <w:pPr>
              <w:pStyle w:val="Compact"/>
              <w:jc w:val="left"/>
            </w:pPr>
            <w:r>
              <w:t xml:space="preserve">nach Beginn der Erdarbeiten</w:t>
            </w:r>
          </w:p>
        </w:tc>
        <w:tc>
          <w:tcPr/>
          <w:p>
            <w:pPr>
              <w:pStyle w:val="Compact"/>
              <w:jc w:val="left"/>
            </w:pPr>
            <w:r>
              <w:t xml:space="preserve">30,0 %</w:t>
            </w:r>
          </w:p>
        </w:tc>
      </w:tr>
      <w:tr>
        <w:tc>
          <w:tcPr/>
          <w:p>
            <w:pPr>
              <w:pStyle w:val="Compact"/>
              <w:jc w:val="left"/>
            </w:pPr>
            <w:r>
              <w:t xml:space="preserve">2. Rate</w:t>
            </w:r>
          </w:p>
        </w:tc>
        <w:tc>
          <w:tcPr/>
          <w:p>
            <w:pPr>
              <w:pStyle w:val="Compact"/>
              <w:jc w:val="left"/>
            </w:pPr>
            <w:r>
              <w:t xml:space="preserve">nach Rohbaufertigstellung einschließlich Zimmererarbeiten</w:t>
            </w:r>
          </w:p>
        </w:tc>
        <w:tc>
          <w:tcPr/>
          <w:p>
            <w:pPr>
              <w:pStyle w:val="Compact"/>
              <w:jc w:val="left"/>
            </w:pPr>
            <w:r>
              <w:t xml:space="preserve">28,0 %</w:t>
            </w:r>
          </w:p>
        </w:tc>
      </w:tr>
      <w:tr>
        <w:tc>
          <w:tcPr/>
          <w:p>
            <w:pPr>
              <w:pStyle w:val="Compact"/>
              <w:jc w:val="left"/>
            </w:pPr>
            <w:r>
              <w:t xml:space="preserve">3. Rate</w:t>
            </w:r>
          </w:p>
        </w:tc>
        <w:tc>
          <w:tcPr/>
          <w:p>
            <w:pPr>
              <w:pStyle w:val="Compact"/>
              <w:jc w:val="left"/>
            </w:pPr>
            <w:r>
              <w:t xml:space="preserve">nach Herstellung der Dachflächen und Dachrinnen, Ausführung der Rohinstallation der Heizungs-, Sanitär- und Elektroanlagen sowie Fenstereinbau einschließlich Verglasung</w:t>
            </w:r>
          </w:p>
        </w:tc>
        <w:tc>
          <w:tcPr/>
          <w:p>
            <w:pPr>
              <w:pStyle w:val="Compact"/>
              <w:jc w:val="left"/>
            </w:pPr>
            <w:r>
              <w:t xml:space="preserve">18,9 %</w:t>
            </w:r>
          </w:p>
        </w:tc>
      </w:tr>
      <w:tr>
        <w:tc>
          <w:tcPr/>
          <w:p>
            <w:pPr>
              <w:pStyle w:val="Compact"/>
              <w:jc w:val="left"/>
            </w:pPr>
            <w:r>
              <w:t xml:space="preserve">4. Rate</w:t>
            </w:r>
          </w:p>
        </w:tc>
        <w:tc>
          <w:tcPr/>
          <w:p>
            <w:pPr>
              <w:pStyle w:val="Compact"/>
              <w:jc w:val="left"/>
            </w:pPr>
            <w:r>
              <w:t xml:space="preserve">nach Innenputz, Estrich und Fliesenarbeiten im Sanitärbereich</w:t>
            </w:r>
          </w:p>
        </w:tc>
        <w:tc>
          <w:tcPr/>
          <w:p>
            <w:pPr>
              <w:pStyle w:val="Compact"/>
              <w:jc w:val="left"/>
            </w:pPr>
            <w:r>
              <w:t xml:space="preserve">9,1 %</w:t>
            </w:r>
          </w:p>
        </w:tc>
      </w:tr>
      <w:tr>
        <w:tc>
          <w:tcPr/>
          <w:p>
            <w:pPr>
              <w:pStyle w:val="Compact"/>
              <w:jc w:val="left"/>
            </w:pPr>
            <w:r>
              <w:t xml:space="preserve">5. Rate</w:t>
            </w:r>
          </w:p>
        </w:tc>
        <w:tc>
          <w:tcPr/>
          <w:p>
            <w:pPr>
              <w:pStyle w:val="Compact"/>
              <w:jc w:val="left"/>
            </w:pPr>
            <w:r>
              <w:t xml:space="preserve">nach Bezugsfertigkeit Zug um Zug gegen Besitzübergabe</w:t>
            </w:r>
          </w:p>
        </w:tc>
        <w:tc>
          <w:tcPr/>
          <w:p>
            <w:pPr>
              <w:pStyle w:val="Compact"/>
              <w:jc w:val="left"/>
            </w:pPr>
            <w:r>
              <w:t xml:space="preserve">8,4 %</w:t>
            </w:r>
          </w:p>
        </w:tc>
      </w:tr>
      <w:tr>
        <w:tc>
          <w:tcPr/>
          <w:p>
            <w:pPr>
              <w:pStyle w:val="Compact"/>
              <w:jc w:val="left"/>
            </w:pPr>
            <w:r>
              <w:t xml:space="preserve">6. Rate</w:t>
            </w:r>
          </w:p>
        </w:tc>
        <w:tc>
          <w:tcPr/>
          <w:p>
            <w:pPr>
              <w:pStyle w:val="Compact"/>
              <w:jc w:val="left"/>
            </w:pPr>
            <w:r>
              <w:t xml:space="preserve">nach Fassadenarbeiten</w:t>
            </w:r>
          </w:p>
        </w:tc>
        <w:tc>
          <w:tcPr/>
          <w:p>
            <w:pPr>
              <w:pStyle w:val="Compact"/>
              <w:jc w:val="left"/>
            </w:pPr>
            <w:r>
              <w:t xml:space="preserve">2,1 %</w:t>
            </w:r>
          </w:p>
        </w:tc>
      </w:tr>
      <w:tr>
        <w:tc>
          <w:tcPr/>
          <w:p>
            <w:pPr>
              <w:pStyle w:val="Compact"/>
              <w:jc w:val="left"/>
            </w:pPr>
            <w:r>
              <w:t xml:space="preserve">7. Rate</w:t>
            </w:r>
          </w:p>
        </w:tc>
        <w:tc>
          <w:tcPr/>
          <w:p>
            <w:pPr>
              <w:pStyle w:val="Compact"/>
              <w:jc w:val="left"/>
            </w:pPr>
            <w:r>
              <w:t xml:space="preserve">nach vollständiger Fertigstellung</w:t>
            </w:r>
          </w:p>
        </w:tc>
        <w:tc>
          <w:tcPr/>
          <w:p>
            <w:pPr>
              <w:pStyle w:val="Compact"/>
              <w:jc w:val="left"/>
            </w:pPr>
            <w:r>
              <w:t xml:space="preserve">3,5 %</w:t>
            </w:r>
          </w:p>
        </w:tc>
      </w:tr>
    </w:tbl>
    <w:p>
      <w:pPr>
        <w:pStyle w:val="BodyText"/>
      </w:pPr>
      <w:r>
        <w:t xml:space="preserve">Die Raten sind jeweils zur Zahlung fällig, wenn der Verkäufer den Käufer unter Vorlage einer Bestätigung des vom Verkäufer beauftragten Bauleiters oder Projektcontrollers über den Baufortschritt schriftlich zur Zahlung aufgefordert hat. Eine eigene Prüfung des Bautenstandes durch den Käufer oder eine von ihm beauftragte Person bleibt nach Maßgabe von § 8 möglich, hemmt die Fälligkeit der jeweiligen Rate jedoch nicht, sofern der Käufer nicht binnen fünf Bankarbeitstagen nach Zugang der Zahlungsaufforderung einen gegenteiligen, prüffähigen Sachverständigenbericht vorlegt.</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trägt der Käufer die Beweislast dafür, dass den Verkäufer ein Verschulden an der Verzögerung trifft. Der Verkäufer ist nach Eintritt des Verzugs berechtigt, die Eintragung der Auflassungsvormerkung gemäß § 10 dieses Vertrages beim Grundbuchamt durch einseitige Erklärung gegenüber dem amtierenden Notar zur Löschung zu bringen; einer Mitwirkung des Käufers bedarf es nicht.</w:t>
      </w:r>
    </w:p>
    <w:p>
      <w:pPr>
        <w:pStyle w:val="BodyText"/>
      </w:pPr>
      <w:r>
        <w:rPr>
          <w:bCs/>
          <w:b/>
        </w:rPr>
        <w:t xml:space="preserve">3.3</w:t>
      </w:r>
      <w:r>
        <w:t xml:space="preserve"> </w:t>
      </w:r>
      <w:r>
        <w:t xml:space="preserve">Vertragserfüllungssicherheit</w:t>
      </w:r>
    </w:p>
    <w:p>
      <w:pPr>
        <w:pStyle w:val="BodyText"/>
      </w:pPr>
      <w:r>
        <w:t xml:space="preserve">Der Verkäufer hat dem Käufer keine Sicherheit nach § 650m Abs. 2 BGB zu stellen. Die Parteien sind sich einig, dass eine Sicherheitsleistung in dieser Form für den vorliegenden Vertrag nicht erforderlich ist. Der Käufer verzichtet ausdrücklich auf etwaige weitergehende gesetzliche Sicherungsrechte, soweit dies rechtlich zulässig ist.</w:t>
      </w:r>
    </w:p>
    <w:p>
      <w:pPr>
        <w:pStyle w:val="BodyText"/>
      </w:pPr>
      <w:r>
        <w:rPr>
          <w:bCs/>
          <w:b/>
        </w:rPr>
        <w:t xml:space="preserve">3.4</w:t>
      </w:r>
      <w:r>
        <w:t xml:space="preserve"> </w:t>
      </w:r>
      <w:r>
        <w:t xml:space="preserve">Reservierungsgebühr. Die Parteien erklären, dass der Käufer vor der Beurkundung an den Verkäufer eine Reservierungsgebühr in Höhe von 22 000,00 EUR gezahlt hat. Diese Reservierungsgebühr wird mit der 1. Kaufpreisrate nicht verrechnet, sondern verbleibt als Entgelt für die Reservierungsleistung beim Verkäufer.</w:t>
      </w:r>
    </w:p>
    <w:p>
      <w:pPr>
        <w:pStyle w:val="BodyText"/>
      </w:pPr>
      <w:r>
        <w:rPr>
          <w:bCs/>
          <w:b/>
        </w:rPr>
        <w:t xml:space="preserve">3.5</w:t>
      </w:r>
      <w:r>
        <w:t xml:space="preserve"> </w:t>
      </w:r>
      <w:r>
        <w:t xml:space="preserve">Sonderwünsche. Sonderwünsche des Käufers außerhalb der Standardausstattung sind vor Beginn der jeweils betroffenen Bauleistung vollständig und im Voraus zu zahlen. Die Vergütung für individuelle Beratungen durch den Verkäufer beträgt 180,00 EUR netto je angefangener Beratungsstunde. Eine Verrechnung im MaBV-Ratenplan findet nicht statt.</w:t>
      </w:r>
    </w:p>
    <w:p>
      <w:r>
        <w:br w:type="page"/>
      </w:r>
    </w:p>
    <w:bookmarkEnd w:id="26"/>
    <w:bookmarkStart w:id="27" w:name="Xacd27a9a0599f387afb098c717c3b96c90edba0"/>
    <w:p>
      <w:pPr>
        <w:pStyle w:val="Heading1"/>
      </w:pPr>
      <w:r>
        <w:t xml:space="preserve">§ 4 Belastungsvollmacht, Kaufpreisfinanzierung</w:t>
      </w:r>
    </w:p>
    <w:p>
      <w:pPr>
        <w:pStyle w:val="FirstParagraph"/>
      </w:pPr>
      <w:r>
        <w:rPr>
          <w:bCs/>
          <w:b/>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Cs/>
          <w:b/>
        </w:rPr>
        <w:t xml:space="preserve">4.2</w:t>
      </w:r>
      <w:r>
        <w:t xml:space="preserve"> </w:t>
      </w:r>
      <w:r>
        <w:t xml:space="preserve">Eine persönliche Haftung des Käufers darf dabei begründet werden, soweit dies die finanzierende Bank zur Auszahlung der Darlehensvaluta verlangt. Eine betragsmäßige Begrenzung der persönlichen Haftung ist nicht erforderlich.</w:t>
      </w:r>
    </w:p>
    <w:p>
      <w:pPr>
        <w:pStyle w:val="BodyText"/>
      </w:pPr>
      <w:r>
        <w:rPr>
          <w:bCs/>
          <w:b/>
        </w:rPr>
        <w:t xml:space="preserve">4.3</w:t>
      </w:r>
      <w:r>
        <w:t xml:space="preserve"> </w:t>
      </w:r>
      <w:r>
        <w:t xml:space="preserve">Die Grundpfandrechte können in jeder Höhe und mit jeder gesetzlich zulässigen Verzinsung bestellt werden, ohne dass eine betragsmäßige Obergrenze einzuhalten ist. Der Käufer trägt sämtliche damit verbundenen Kosten.</w:t>
      </w:r>
    </w:p>
    <w:p>
      <w:r>
        <w:br w:type="page"/>
      </w:r>
    </w:p>
    <w:bookmarkEnd w:id="27"/>
    <w:bookmarkStart w:id="28" w:name="baupflicht-baubeschreibung"/>
    <w:p>
      <w:pPr>
        <w:pStyle w:val="Heading1"/>
      </w:pPr>
      <w:r>
        <w:t xml:space="preserve">§ 5 Baupflicht, Baubeschreibung</w:t>
      </w:r>
    </w:p>
    <w:p>
      <w:pPr>
        <w:pStyle w:val="FirstParagraph"/>
      </w:pPr>
      <w:r>
        <w:rPr>
          <w:bCs/>
          <w:b/>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Cs/>
          <w:b/>
        </w:rPr>
        <w:t xml:space="preserve">5.2</w:t>
      </w:r>
      <w:r>
        <w:t xml:space="preserve"> </w:t>
      </w:r>
      <w:r>
        <w:t xml:space="preserve">Planung, Projektsteuerung und Objektüberwachung</w:t>
      </w:r>
    </w:p>
    <w:p>
      <w:pPr>
        <w:pStyle w:val="BodyText"/>
      </w:pPr>
      <w:r>
        <w:t xml:space="preserve">Der Verkäufer organisiert die Planung, Fachplanung, Projektsteuerung und Objektüberwachung des Bauvorhabens in eigener Verantwortung.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Der Käufer erkennt an, dass die technische Qualitätssicherung des Verkäufers im Interesse einer einheitlichen Projektdurchführung zentralisiert erfolgt.</w:t>
      </w:r>
    </w:p>
    <w:p>
      <w:pPr>
        <w:pStyle w:val="BodyText"/>
      </w:pPr>
      <w:r>
        <w:rPr>
          <w:bCs/>
          <w:b/>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vom Verkäufer benannten Bemusterungszentrum Berlin-Schöneberg. Im Kaufpreis enthalten sind drei Beratungsstunden.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nach billigem Ermessen aus der Standardausstattung aus; ein Anspruch auf nachträgliche Änderung besteht nicht.</w:t>
      </w:r>
    </w:p>
    <w:p>
      <w:pPr>
        <w:pStyle w:val="BodyText"/>
      </w:pPr>
      <w:r>
        <w:rPr>
          <w:bCs/>
          <w:b/>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Cs/>
          <w:b/>
        </w:rPr>
        <w:t xml:space="preserve">5.5</w:t>
      </w:r>
      <w:r>
        <w:t xml:space="preserve"> </w:t>
      </w:r>
      <w:r>
        <w:t xml:space="preserve">Soweit die Baubeschreibung keine oder unbestimmte Angaben hinsichtlich notwendiger Leistungen enthält, ist der Verkäufer gemäß § 315 BGB zur Leistungsbestimmung nach billigem Ermessen berechtigt. Die von dem Verkäufer bestimmte Leistung muss von einfacher Art und Güte sein und der allgemeinen Qualität des Bauvorhabens entsprechen.</w:t>
      </w:r>
    </w:p>
    <w:p>
      <w:pPr>
        <w:pStyle w:val="BodyText"/>
      </w:pPr>
      <w:r>
        <w:rPr>
          <w:bCs/>
          <w:b/>
        </w:rPr>
        <w:t xml:space="preserve">5.6</w:t>
      </w:r>
      <w:r>
        <w:t xml:space="preserve"> </w:t>
      </w:r>
      <w:r>
        <w:t xml:space="preserve">Der Verkäufer hat die Leistungen nach den anerkannten Regeln der Technik</w:t>
      </w:r>
      <w:r>
        <w:t xml:space="preserve"> </w:t>
      </w:r>
      <w:r>
        <w:rPr>
          <w:bCs/>
          <w:b/>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Cs/>
          <w:b/>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rPr>
          <w:bCs/>
          <w:b/>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Streik, Aussperrung, Witterungsverhältnisse einschließlich Hitze- und Kälteperioden, Wechselkursbewegungen bei Baustoffen, Personalengpässe oder sonstige für den Verkäufer unabwendbare oder nicht zumutbare Umstände, verlängern die jeweils betroffene Herstellungsfrist um die Dauer der Behinderung zuzüglich eines angemessenen Zuschlags für die Wiederaufnahme.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Cs/>
          <w:b/>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Cs/>
          <w:b/>
        </w:rPr>
        <w:t xml:space="preserve">5.10</w:t>
      </w:r>
      <w:r>
        <w:t xml:space="preserve"> </w:t>
      </w:r>
      <w:r>
        <w:t xml:space="preserve">Energiestandard. Das Bauvorhaben wird nach den zum Tag der Baugenehmigung geltenden energetischen Anforderungen errichtet. Eine bestimmte KfW-Effizienzhausklasse oder ein bestimmter GEG-Standard wird nicht geschuldet.</w:t>
      </w:r>
    </w:p>
    <w:p>
      <w:pPr>
        <w:pStyle w:val="BodyText"/>
      </w:pPr>
      <w:r>
        <w:rPr>
          <w:bCs/>
          <w:b/>
        </w:rPr>
        <w:t xml:space="preserve">5.11</w:t>
      </w:r>
      <w:r>
        <w:t xml:space="preserve"> </w:t>
      </w:r>
      <w:r>
        <w:t xml:space="preserve">Baugrund, Grundwasser und Baugrube. Dem Verkäufer liegen orientierende Baugrund- und Gründungsempfehlungen vor. Die darin enthaltenen Annahmen beruhen auf punktuellen Aufschlüssen und werden im Zuge der weiteren Ausführung fortgeschrieben.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nach Fertigstellung nicht wesentlich beeinträchtigt wird. Die hierdurch verursachten Bauzeitverlängerungen gelten als vom Verkäufer nicht zu vertreten.</w:t>
      </w:r>
    </w:p>
    <w:p>
      <w:pPr>
        <w:pStyle w:val="BodyText"/>
      </w:pPr>
      <w:r>
        <w:rPr>
          <w:bCs/>
          <w:b/>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Cs/>
          <w:b/>
        </w:rPr>
        <w:t xml:space="preserve">5.13</w:t>
      </w:r>
      <w:r>
        <w:t xml:space="preserve"> </w:t>
      </w:r>
      <w:r>
        <w:t xml:space="preserve">Technische Anlagen, Wartung, Betrieb. Der Käufer nimmt zur Kenntnis, dass Aufzüge, Lüftungsanlagen, Entwässerungsanlagen, Pumpen, Tiefgaragenentlüftung, Brandmelde- und Rauchabzugseinrichtungen, Heizungs- und Warmwassertechnik sowie etwaige Lade- oder Photovoltaikinfrastruktur regelmäßiger Wartung bedürfen. Der Verkäufer oder der Erstverwalter ist berechtigt, zur Sicherstellung der Erstbetriebsphase Wartungs-, Betriebsführungs-, Mess- und Energielieferungsverträge mit einer anfänglichen Laufzeit von bis zu sieben Jahren abzuschließen. Die daraus entstehenden Kosten tragen die Eigentümer nach Maßgabe der Teilungserklärung.</w:t>
      </w:r>
    </w:p>
    <w:p>
      <w:pPr>
        <w:pStyle w:val="BodyText"/>
      </w:pPr>
      <w:r>
        <w:rPr>
          <w:bCs/>
          <w:b/>
        </w:rPr>
        <w:t xml:space="preserve">5.14</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28"/>
    <w:bookmarkStart w:id="29" w:name="Xf95df7023395c5238d26d19148165edbf6ad5ae"/>
    <w:p>
      <w:pPr>
        <w:pStyle w:val="Heading1"/>
      </w:pPr>
      <w:r>
        <w:t xml:space="preserve">§ 6 Wirtschaftlicher Besitzübergang, Abnahme, Schlüsselübergabe</w:t>
      </w:r>
    </w:p>
    <w:p>
      <w:pPr>
        <w:pStyle w:val="FirstParagraph"/>
      </w:pPr>
      <w:r>
        <w:rPr>
          <w:bCs/>
          <w:b/>
        </w:rPr>
        <w:t xml:space="preserve">6.1</w:t>
      </w:r>
      <w:r>
        <w:t xml:space="preserve"> </w:t>
      </w:r>
      <w:r>
        <w:t xml:space="preserve">Besitz, Nutzen, Lasten, Steuern, Abgaben und Gefahren des Kaufgegenstandes gehen mit dem Tag der Übergabe der Sondereigentumseinheit auf den Käufer über. Die Schlüsselübergabe an den Käufer erfolgt erst nach vollständiger Zahlung des Gesamtkaufpreises einschließlich aller Sonderwunsch- und Mehrkostenbeträge. Bestehende, der Übergabe nicht entgegenstehende Mängel berechtigen den Käufer nicht zur Verweigerung der Zahlung der Schlussrate oder zur Forderung nach Schlüsselübergabe Zug um Zug gegen Sicherheitsleistung.</w:t>
      </w:r>
    </w:p>
    <w:p>
      <w:pPr>
        <w:pStyle w:val="BodyText"/>
      </w:pPr>
      <w:r>
        <w:rPr>
          <w:bCs/>
          <w:b/>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Angabe eines Grundes, gilt die Sondereigentumseinheit mit Ablauf des Termins als abgenommen. Ein gesonderter Hinweis nach § 640 Abs. 2 S. 2 BGB ist hierfür nicht erforderlich, da der Käufer mit Unterzeichnung dieses Vertrages bereits umfassend belehrt worden ist.</w:t>
      </w:r>
    </w:p>
    <w:p>
      <w:pPr>
        <w:pStyle w:val="BodyText"/>
      </w:pPr>
      <w:r>
        <w:t xml:space="preserve">6.2.2 Schönheitsfehler und geringfügige Abweichungen, deren Beseitigung nicht mehr als 3 % der Sondereigentumsteilbetragssumme erfordern würde, sind als gewöhnlich und vertragsgemäß hinzunehmen und begründen keine Mängelrechte.</w:t>
      </w:r>
    </w:p>
    <w:p>
      <w:pPr>
        <w:pStyle w:val="BodyText"/>
      </w:pPr>
      <w:r>
        <w:rPr>
          <w:bCs/>
          <w:b/>
        </w:rPr>
        <w:t xml:space="preserve">6.3</w:t>
      </w:r>
      <w:r>
        <w:t xml:space="preserve"> </w:t>
      </w:r>
      <w:r>
        <w:t xml:space="preserve">Abnahme des Gemeinschaftseigentums</w:t>
      </w:r>
    </w:p>
    <w:p>
      <w:pPr>
        <w:pStyle w:val="BodyText"/>
      </w:pPr>
      <w:r>
        <w:t xml:space="preserve">6.3.1 Die Abnahme des Gemeinschaftseigentums obliegt der WEG-Verwaltung, die vom Verkäufer als Erstverwalter eingesetzt wird. Die WEG-Verwaltung ist berechtigt und verpflichtet, das Gemeinschaftseigentum nach Fertigstellung mit Wirkung für und gegen sämtliche Erwerber abzunehmen.</w:t>
      </w:r>
    </w:p>
    <w:p>
      <w:pPr>
        <w:pStyle w:val="BodyText"/>
      </w:pPr>
      <w:r>
        <w:t xml:space="preserve">6.3.2 Der vom Verkäufer eingesetzte Erstverwalter wird die Abnahme nach Begutachtung durch einen vom Verkäufer benannten Sachverständigen erklären. Die Kosten des Sachverständigen tragen Verkäufer und Käufer hälftig.</w:t>
      </w:r>
    </w:p>
    <w:p>
      <w:pPr>
        <w:pStyle w:val="BodyText"/>
      </w:pPr>
      <w:r>
        <w:t xml:space="preserve">6.3.3 Reicht die Begutachtung durch den Sachverständigen aus, gilt die Abnahme mit Übermittlung der Abnahmeerklärung an die WEG-Verwaltung als erfolgt; einer Mitwirkung der einzelnen Erwerber bedarf es nicht.</w:t>
      </w:r>
    </w:p>
    <w:p>
      <w:r>
        <w:br w:type="page"/>
      </w:r>
    </w:p>
    <w:bookmarkEnd w:id="29"/>
    <w:bookmarkStart w:id="30" w:name="erschließungskosten"/>
    <w:p>
      <w:pPr>
        <w:pStyle w:val="Heading1"/>
      </w:pPr>
      <w:r>
        <w:t xml:space="preserve">§ 7 Erschließungskosten</w:t>
      </w:r>
    </w:p>
    <w:p>
      <w:pPr>
        <w:pStyle w:val="FirstParagraph"/>
      </w:pPr>
      <w:r>
        <w:rPr>
          <w:bCs/>
          <w:b/>
        </w:rPr>
        <w:t xml:space="preserve">7.1</w:t>
      </w:r>
      <w:r>
        <w:t xml:space="preserve"> </w:t>
      </w:r>
      <w:r>
        <w:t xml:space="preserve">Sämtliche Kosten der Erschließung sowie der erstmaligen Anschlüsse des Kaufgegenstandes an Ver- und Entsorgungsanlagen einschließlich Anschlussgebühren, Herstellungsbeiträge und Abgaben nach den entsprechenden Verordnungen des Landes Brandenburg trägt der Käufer anteilig nach seinem Miteigentumsanteil.</w:t>
      </w:r>
    </w:p>
    <w:p>
      <w:pPr>
        <w:pStyle w:val="BodyText"/>
      </w:pPr>
      <w:r>
        <w:rPr>
          <w:bCs/>
          <w:b/>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30"/>
    <w:bookmarkStart w:id="31" w:name="zutritt-zur-baustelle"/>
    <w:p>
      <w:pPr>
        <w:pStyle w:val="Heading1"/>
      </w:pPr>
      <w:r>
        <w:t xml:space="preserve">§ 8 Zutritt zur Baustelle</w:t>
      </w:r>
    </w:p>
    <w:p>
      <w:pPr>
        <w:pStyle w:val="FirstParagraph"/>
      </w:pPr>
      <w:r>
        <w:rPr>
          <w:bCs/>
          <w:b/>
        </w:rPr>
        <w:t xml:space="preserve">8.1</w:t>
      </w:r>
      <w:r>
        <w:t xml:space="preserve"> </w:t>
      </w:r>
      <w:r>
        <w:t xml:space="preserve">Der Käufer darf das Grundstück während der Bauzeit aus Gründen der Verkehrssicherheit, des Arbeitsschutzes und der geordneten Bauabwicklung nur nach vorheriger Abstimmung mit dem Verkäufer betreten. Der Verkäufer bietet dem Käufer nach billigem Ermessen bis zu zwei begleitete Besichtigungstermine vor Bezugsfertigkeit sowie einen Termin zur Abnahme der Sondereigentumseinheit an. Weitergehende Besichtigungen können abgelehnt werden, wenn sie den Bauablauf, Sicherheitsvorgaben, Nachunternehmerinteressen oder den Vertrieb anderer Einheiten beeinträchtigen.</w:t>
      </w:r>
    </w:p>
    <w:p>
      <w:pPr>
        <w:pStyle w:val="BodyText"/>
      </w:pPr>
      <w:r>
        <w:rPr>
          <w:bCs/>
          <w:b/>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entfalten keine Bindungswirkung für die Objektüberwachung des Verkäufers und hemmen nicht die Fälligkeit angeforderter Raten.</w:t>
      </w:r>
    </w:p>
    <w:p>
      <w:pPr>
        <w:pStyle w:val="BodyText"/>
      </w:pPr>
      <w:r>
        <w:rPr>
          <w:bCs/>
          <w:b/>
        </w:rPr>
        <w:t xml:space="preserve">8.3</w:t>
      </w:r>
      <w:r>
        <w:t xml:space="preserve"> </w:t>
      </w:r>
      <w:r>
        <w:t xml:space="preserve">Verstöße gegen die Zutritts- und Verhaltensregelungen berechtigen den Verkäufer zur Geltendmachung einer Vertragsstrafe in Höhe von 2 500,00 EUR pro Vorfall. Weitergehende Ansprüche bleiben unberührt.</w:t>
      </w:r>
    </w:p>
    <w:p>
      <w:r>
        <w:br w:type="page"/>
      </w:r>
    </w:p>
    <w:bookmarkEnd w:id="31"/>
    <w:bookmarkStart w:id="32" w:name="haftung-mängelrechte-verzug-verjährung"/>
    <w:p>
      <w:pPr>
        <w:pStyle w:val="Heading1"/>
      </w:pPr>
      <w:r>
        <w:t xml:space="preserve">§ 9 Haftung, Mängelrechte, Verzug, Verjährung</w:t>
      </w:r>
    </w:p>
    <w:p>
      <w:pPr>
        <w:pStyle w:val="FirstParagraph"/>
      </w:pPr>
      <w:r>
        <w:rPr>
          <w:bCs/>
          <w:b/>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Cs/>
          <w:b/>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Cs/>
          <w:b/>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Cs/>
          <w:b/>
        </w:rPr>
        <w:t xml:space="preserve">9.4</w:t>
      </w:r>
      <w:r>
        <w:t xml:space="preserve"> </w:t>
      </w:r>
      <w:r>
        <w:t xml:space="preserve">Hinsichtlich des herzustellenden Bauwerks gelten die Regelungen des Werkvertragsrechts gem. §§ 633 ff. BGB mit folgender Maßgabe:</w:t>
      </w:r>
    </w:p>
    <w:p>
      <w:pPr>
        <w:numPr>
          <w:ilvl w:val="0"/>
          <w:numId w:val="1002"/>
        </w:numPr>
        <w:pStyle w:val="Compact"/>
      </w:pPr>
      <w:r>
        <w:t xml:space="preserve">Der Käufer kann zuerst nur Nacherfüllung verlangen. Ist das Verlangen der Nacherfüllung unzumutbar, verweigert der Verkäufer die Nacherfüllung oder schlägt diese dreimal fehl, kann der Käufer — jeweils bei Vorliegen der gesetzlichen Voraussetzungen — den Kaufpreis angemessen mindern oder vom Vertrag zurücktreten.</w:t>
      </w:r>
    </w:p>
    <w:p>
      <w:pPr>
        <w:numPr>
          <w:ilvl w:val="0"/>
          <w:numId w:val="1002"/>
        </w:numPr>
        <w:pStyle w:val="Compact"/>
      </w:pPr>
      <w:r>
        <w:t xml:space="preserve">Das Selbstvornahmerecht des Käufers nach § 637 BGB ist ausgeschlossen.</w:t>
      </w:r>
    </w:p>
    <w:p>
      <w:pPr>
        <w:numPr>
          <w:ilvl w:val="0"/>
          <w:numId w:val="1002"/>
        </w:numPr>
        <w:pStyle w:val="Compact"/>
      </w:pPr>
      <w:r>
        <w:t xml:space="preserve">Mängel sind binnen einer Ausschlussfrist von 14 Kalendertagen nach Entdeckung schriftlich gegenüber dem Verkäufer per Einwurf-Einschreiben zu rügen. Nach Ablauf dieser Frist sind sämtliche Ansprüche und Rechte wegen des Mangels ausgeschlossen.</w:t>
      </w:r>
    </w:p>
    <w:p>
      <w:pPr>
        <w:numPr>
          <w:ilvl w:val="0"/>
          <w:numId w:val="1002"/>
        </w:numPr>
        <w:pStyle w:val="Compact"/>
      </w:pPr>
      <w:r>
        <w:t xml:space="preserve">Die Verjährungsfrist für Mängelansprüche beträgt zwei Jahre ab schriftlicher Abnahmebestätigung durch den Verkäufer.</w:t>
      </w:r>
    </w:p>
    <w:p>
      <w:pPr>
        <w:numPr>
          <w:ilvl w:val="0"/>
          <w:numId w:val="1002"/>
        </w:numPr>
        <w:pStyle w:val="Compact"/>
      </w:pPr>
      <w:r>
        <w:t xml:space="preserve">Mängelbeseitigung erfolgt durch vom Verkäufer benannte und beauftragte Handwerker. Die Beauftragung anderer Handwerker durch den Käufer entbindet den Verkäufer von jeder Verpflichtung.</w:t>
      </w:r>
    </w:p>
    <w:p>
      <w:pPr>
        <w:pStyle w:val="FirstParagraph"/>
      </w:pPr>
      <w:r>
        <w:rPr>
          <w:bCs/>
          <w:b/>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Cs/>
          <w:b/>
        </w:rPr>
        <w:t xml:space="preserve">9.6</w:t>
      </w:r>
      <w:r>
        <w:t xml:space="preserve"> </w:t>
      </w:r>
      <w:r>
        <w:t xml:space="preserve">Der Verkäufer ist berechtigt, dem Käufer für den Fall, dass bei der Abnahme unwesentliche Mängel und/oder unwesentliche Restarbeiten festgestellt werden, eine unwiderrufliche selbstschuldnerische Bürgschaft eines Bürgen gemäß § 2 Abs. 2 MaBV zur Abwendung des Zurückbehaltungsrechts auszuhändigen. Die Bürgschaft ist vom Käufer mit Unterzeichnung des Abnahmeprotokolls unverzüglich an den Verkäufer zurückzugeben; die Rückgabe ist unabhängig davon zu erklären, ob die Restarbeiten tatsächlich erbracht oder die Mängel tatsächlich beseitigt sind.</w:t>
      </w:r>
    </w:p>
    <w:p>
      <w:r>
        <w:br w:type="page"/>
      </w:r>
    </w:p>
    <w:bookmarkEnd w:id="32"/>
    <w:bookmarkStart w:id="33" w:name="vormerkung"/>
    <w:p>
      <w:pPr>
        <w:pStyle w:val="Heading1"/>
      </w:pPr>
      <w:r>
        <w:t xml:space="preserve">§ 10 Vormerkung</w:t>
      </w:r>
    </w:p>
    <w:p>
      <w:pPr>
        <w:pStyle w:val="FirstParagraph"/>
      </w:pPr>
      <w:r>
        <w:rPr>
          <w:bCs/>
          <w:b/>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Cs/>
          <w:b/>
        </w:rPr>
        <w:t xml:space="preserve">10.2</w:t>
      </w:r>
      <w:r>
        <w:t xml:space="preserve"> </w:t>
      </w:r>
      <w:r>
        <w:t xml:space="preserve">Die Vormerkung steht unter der auflösenden Bedingung der Einreichung einer Erklärung des amtierenden Notars beim Grundbuchamt, dass der gesicherte Anspruch nicht (mehr) besteht. Eine inhaltliche Prüfung dieser Erklärung durch das Grundbuchamt findet nicht statt. Der Verkäufer ist berechtigt, eine derartige Erklärung des Notars im Falle des Zahlungsverzuges des Käufers nach § 3.2 letzter Absatz unmittelbar herbeizuführen.</w:t>
      </w:r>
    </w:p>
    <w:p>
      <w:pPr>
        <w:pStyle w:val="BodyText"/>
      </w:pPr>
      <w:r>
        <w:rPr>
          <w:bCs/>
          <w:b/>
        </w:rPr>
        <w:t xml:space="preserve">10.3</w:t>
      </w:r>
      <w:r>
        <w:t xml:space="preserve"> </w:t>
      </w:r>
      <w:r>
        <w:t xml:space="preserve">Der Käufer beantragt schon heute die Löschung der Eigentumsvormerkung Zug um Zug mit Vollzug der Auflassung.</w:t>
      </w:r>
    </w:p>
    <w:p>
      <w:r>
        <w:br w:type="page"/>
      </w:r>
    </w:p>
    <w:bookmarkEnd w:id="33"/>
    <w:bookmarkStart w:id="3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34"/>
    <w:bookmarkStart w:id="35" w:name="vollmachten"/>
    <w:p>
      <w:pPr>
        <w:pStyle w:val="Heading1"/>
      </w:pPr>
      <w:r>
        <w:t xml:space="preserve">§ 12 Vollmachten</w:t>
      </w:r>
    </w:p>
    <w:p>
      <w:pPr>
        <w:pStyle w:val="FirstParagraph"/>
      </w:pPr>
      <w:r>
        <w:rPr>
          <w:bCs/>
          <w:b/>
        </w:rPr>
        <w:t xml:space="preserve">12.1</w:t>
      </w:r>
      <w:r>
        <w:t xml:space="preserve"> </w:t>
      </w:r>
      <w:r>
        <w:t xml:space="preserve">Der Käufer bevollmächtigt den Verkäufer unwiderruflich, die Teilungserklärung einschließlich Gemeinschaftsordnung jederzeit ohne weitere Mitwirkung des Käufers zu ändern, insbesondere zur Anpassung der Aufteilungspläne, zur Verschiebung von Sondernutzungsrechten und zur Änderung der Kostentragungsregelungen. Die Vollmacht erstreckt sich auch auf die Sondereigentumseinheit des Käufers, soweit dies aus baulichen oder wirtschaftlichen Gründen erforderlich ist.</w:t>
      </w:r>
    </w:p>
    <w:p>
      <w:pPr>
        <w:pStyle w:val="BodyText"/>
      </w:pPr>
      <w:r>
        <w:rPr>
          <w:bCs/>
          <w:b/>
        </w:rPr>
        <w:t xml:space="preserve">12.2</w:t>
      </w:r>
      <w:r>
        <w:t xml:space="preserve"> </w:t>
      </w:r>
      <w:r>
        <w:t xml:space="preserve">Die Vollmacht ist von den Beschränkungen des § 181 BGB befreit. Der Käufer verzichtet auf Widerruf, soweit dies rechtlich zulässig ist.</w:t>
      </w:r>
    </w:p>
    <w:p>
      <w:pPr>
        <w:pStyle w:val="BodyText"/>
      </w:pPr>
      <w:r>
        <w:rPr>
          <w:bCs/>
          <w:b/>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35"/>
    <w:bookmarkStart w:id="36" w:name="schlussbestimmungen"/>
    <w:p>
      <w:pPr>
        <w:pStyle w:val="Heading1"/>
      </w:pPr>
      <w:r>
        <w:t xml:space="preserve">§ 13 Schlussbestimmungen</w:t>
      </w:r>
    </w:p>
    <w:p>
      <w:pPr>
        <w:pStyle w:val="FirstParagraph"/>
      </w:pPr>
      <w:r>
        <w:rPr>
          <w:bCs/>
          <w:b/>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Cs/>
          <w:b/>
        </w:rPr>
        <w:t xml:space="preserve">13.2</w:t>
      </w:r>
      <w:r>
        <w:t xml:space="preserve"> </w:t>
      </w:r>
      <w:r>
        <w:t xml:space="preserve">Sollte eine Bestimmung dieses Vertrages unwirksam sein oder werden, so wird die Wirksamkeit der übrigen Bestimmungen davon nicht berührt.</w:t>
      </w:r>
    </w:p>
    <w:p>
      <w:pPr>
        <w:pStyle w:val="BodyText"/>
      </w:pPr>
      <w:r>
        <w:rPr>
          <w:bCs/>
          <w:b/>
        </w:rPr>
        <w:t xml:space="preserve">13.3</w:t>
      </w:r>
      <w:r>
        <w:t xml:space="preserve"> </w:t>
      </w:r>
      <w:r>
        <w:t xml:space="preserve">Gerichtsstand für sämtliche Streitigkeiten aus diesem Vertrag ist Berlin, soweit dies rechtlich zulässig ist.</w:t>
      </w:r>
    </w:p>
    <w:p>
      <w:pPr>
        <w:pStyle w:val="BodyText"/>
      </w:pPr>
      <w:r>
        <w:rPr>
          <w:bCs/>
          <w:b/>
        </w:rPr>
        <w:t xml:space="preserve">13.4</w:t>
      </w:r>
      <w:r>
        <w:t xml:space="preserve"> </w:t>
      </w:r>
      <w:r>
        <w:t xml:space="preserve">Die Kosten dieser Urkunde und ihres Vollzugs trägt der Käufer.</w:t>
      </w:r>
    </w:p>
    <w:p>
      <w:pPr>
        <w:pStyle w:val="BodyText"/>
      </w:pPr>
      <w:r>
        <w:rPr>
          <w:bCs/>
          <w:b/>
        </w:rPr>
        <w:t xml:space="preserve">13.5</w:t>
      </w:r>
      <w:r>
        <w:t xml:space="preserve"> </w:t>
      </w:r>
      <w:r>
        <w:t xml:space="preserve">Der Käufer trägt die auf seine Einheit entfallenden Kosten der erstmaligen Einrichtung und Übergabe der WEG-Verwaltung, der technischen Betriebsführung, der Einweisung in gemeinschaftliche Anlagen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36"/>
    <w:bookmarkStart w:id="37" w:name="belehrungen"/>
    <w:p>
      <w:pPr>
        <w:pStyle w:val="Heading1"/>
      </w:pPr>
      <w:r>
        <w:t xml:space="preserve">§ 14 Belehrungen</w:t>
      </w:r>
    </w:p>
    <w:p>
      <w:pPr>
        <w:pStyle w:val="FirstParagraph"/>
      </w:pPr>
      <w:r>
        <w:t xml:space="preserve">Der Notar hat die Beteiligten belehrt über:</w:t>
      </w:r>
    </w:p>
    <w:p>
      <w:pPr>
        <w:numPr>
          <w:ilvl w:val="0"/>
          <w:numId w:val="1003"/>
        </w:numPr>
        <w:pStyle w:val="Compact"/>
      </w:pPr>
      <w:r>
        <w:t xml:space="preserve">den Inhalt und die Bedeutung dieses Vertrages,</w:t>
      </w:r>
    </w:p>
    <w:p>
      <w:pPr>
        <w:numPr>
          <w:ilvl w:val="0"/>
          <w:numId w:val="1003"/>
        </w:numPr>
        <w:pStyle w:val="Compact"/>
      </w:pPr>
      <w:r>
        <w:t xml:space="preserve">die Bedeutung der Bezugnahme nach § 13a BeurkG,</w:t>
      </w:r>
    </w:p>
    <w:p>
      <w:pPr>
        <w:numPr>
          <w:ilvl w:val="0"/>
          <w:numId w:val="1003"/>
        </w:numPr>
        <w:pStyle w:val="Compact"/>
      </w:pPr>
      <w:r>
        <w:t xml:space="preserve">die Eigentumsübertragung erst mit Eintragung im Grundbuch,</w:t>
      </w:r>
    </w:p>
    <w:p>
      <w:pPr>
        <w:numPr>
          <w:ilvl w:val="0"/>
          <w:numId w:val="1003"/>
        </w:numPr>
        <w:pStyle w:val="Compact"/>
      </w:pPr>
      <w:r>
        <w:t xml:space="preserve">die Bedeutung der Auflassungsvormerkung,</w:t>
      </w:r>
    </w:p>
    <w:p>
      <w:pPr>
        <w:numPr>
          <w:ilvl w:val="0"/>
          <w:numId w:val="1003"/>
        </w:numPr>
        <w:pStyle w:val="Compact"/>
      </w:pPr>
      <w:r>
        <w:t xml:space="preserve">die Bedeutung der Belastungsvollmacht,</w:t>
      </w:r>
    </w:p>
    <w:p>
      <w:pPr>
        <w:numPr>
          <w:ilvl w:val="0"/>
          <w:numId w:val="1003"/>
        </w:numPr>
        <w:pStyle w:val="Compact"/>
      </w:pPr>
      <w:r>
        <w:t xml:space="preserve">die gesetzliche Verjährungsfrist für Mängelansprüche im Werkvertragsrecht,</w:t>
      </w:r>
    </w:p>
    <w:p>
      <w:pPr>
        <w:numPr>
          <w:ilvl w:val="0"/>
          <w:numId w:val="1003"/>
        </w:numPr>
        <w:pStyle w:val="Compact"/>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nicht über die Wirksamkeit einzelner Klauseln dieses Vertrages belehrt; eine inhaltliche Kontrolle der Vertragsklauseln durch den Notar ist nicht erfolgt und auch nicht geschuldet.</w:t>
      </w:r>
    </w:p>
    <w:p>
      <w:r>
        <w:br w:type="page"/>
      </w:r>
    </w:p>
    <w:bookmarkEnd w:id="37"/>
    <w:bookmarkStart w:id="38" w:name="X4f67cac4119bae2ce85a655d240d61c8e478a46"/>
    <w:p>
      <w:pPr>
        <w:pStyle w:val="Heading1"/>
      </w:pPr>
      <w:r>
        <w:t xml:space="preserve">Bezugsurkunden, Anlagen und Vollzugshinweise</w:t>
      </w:r>
    </w:p>
    <w:p>
      <w:pPr>
        <w:pStyle w:val="FirstParagraph"/>
      </w:pPr>
      <w:r>
        <w:rPr>
          <w:bCs/>
          <w:b/>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Cs/>
          <w:b/>
        </w:rPr>
        <w:t xml:space="preserve">Anhang a</w:t>
      </w:r>
      <w:r>
        <w:t xml:space="preserve"> </w:t>
      </w:r>
      <w:r>
        <w:t xml:space="preserve">— beglaubigte Fotokopie der Vollmacht der Erschienenen zu 1. vom 22.10.2025, UR-Nr. 1402/2025 W des Notars Egmont Wachtelborn, Berlin.</w:t>
      </w:r>
    </w:p>
    <w:p>
      <w:pPr>
        <w:pStyle w:val="BodyText"/>
      </w:pPr>
      <w:r>
        <w:rPr>
          <w:bCs/>
          <w:b/>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38"/>
    <w:bookmarkStart w:id="3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39"/>
    <w:bookmarkStart w:id="4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Wohnungsbauträgervertrag mit Auflassung — UR-Nr. 188/2026 KQ</dc:title>
  <dc:creator/>
  <cp:keywords/>
  <dcterms:created xsi:type="dcterms:W3CDTF">2026-06-16T20:41:43Z</dcterms:created>
  <dcterms:modified xsi:type="dcterms:W3CDTF">2026-06-16T20:41:43Z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 Urkunde mit eingebauten Mängeln zu Schulungszwecken</vt:lpwstr>
  </property>
</Properties>
</file>