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auträgervertrag"/>
    <w:p>
      <w:pPr>
        <w:pStyle w:val="Heading1"/>
      </w:pPr>
      <w:r>
        <w:t xml:space="preserve">Bauträgervertrag</w:t>
      </w:r>
    </w:p>
    <w:p>
      <w:r>
        <w:br w:type="page"/>
      </w:r>
    </w:p>
    <w:bookmarkEnd w:id="20"/>
    <w:bookmarkStart w:id="22" w:name="ur-nr.-7442026-bs"/>
    <w:p>
      <w:pPr>
        <w:pStyle w:val="Heading1"/>
      </w:pPr>
      <w:r>
        <w:t xml:space="preserve">UR-Nr. 744/2026 BS</w:t>
      </w:r>
    </w:p>
    <w:bookmarkStart w:id="21" w:name="verhandelt"/>
    <w:p>
      <w:pPr>
        <w:pStyle w:val="Heading2"/>
      </w:pPr>
      <w:r>
        <w:t xml:space="preserve">Verhandelt</w:t>
      </w:r>
    </w:p>
    <w:p>
      <w:pPr>
        <w:pStyle w:val="FirstParagraph"/>
      </w:pPr>
      <w:r>
        <w:t xml:space="preserve">zu Hamburg, am 12. Juni 2026</w:t>
      </w:r>
    </w:p>
    <w:p>
      <w:pPr>
        <w:pStyle w:val="BodyText"/>
      </w:pPr>
      <w:r>
        <w:t xml:space="preserve">Vor mir, der unterzeichnenden Notarin im Bezirk des Hanseatischen Oberlandesgerichts</w:t>
      </w:r>
    </w:p>
    <w:p>
      <w:pPr>
        <w:pStyle w:val="BodyText"/>
      </w:pPr>
      <w:r>
        <w:rPr>
          <w:bCs/>
          <w:b/>
        </w:rPr>
        <w:t xml:space="preserve">Dr. Cornelia Brakelmann-Stüve</w:t>
      </w:r>
    </w:p>
    <w:p>
      <w:pPr>
        <w:pStyle w:val="BodyText"/>
      </w:pPr>
      <w:r>
        <w:t xml:space="preserve">Ballindamm 17, 20095 Hamburg</w:t>
      </w:r>
    </w:p>
    <w:p>
      <w:pPr>
        <w:pStyle w:val="BodyText"/>
      </w:pPr>
      <w:r>
        <w:t xml:space="preserve">erschienen heute:</w:t>
      </w:r>
    </w:p>
    <w:p>
      <w:pPr>
        <w:pStyle w:val="BodyText"/>
      </w:pPr>
      <w:r>
        <w:t xml:space="preserve">Herr</w:t>
      </w:r>
      <w:r>
        <w:t xml:space="preserve"> </w:t>
      </w:r>
      <w:r>
        <w:rPr>
          <w:bCs/>
          <w:b/>
        </w:rPr>
        <w:t xml:space="preserve">Gisbert Tönnemann-Loose</w:t>
      </w:r>
      <w:r>
        <w:t xml:space="preserve">, geboren am 24.09.1972,</w:t>
      </w:r>
    </w:p>
    <w:p>
      <w:pPr>
        <w:pStyle w:val="BodyText"/>
      </w:pPr>
      <w:r>
        <w:t xml:space="preserve">geschäftsansässig: Mundsburger Damm 5, 22087 Hamburg,</w:t>
      </w:r>
    </w:p>
    <w:p>
      <w:pPr>
        <w:pStyle w:val="BodyText"/>
      </w:pPr>
      <w:r>
        <w:t xml:space="preserve">der Notarin von Person bekannt,</w:t>
      </w:r>
    </w:p>
    <w:p>
      <w:pPr>
        <w:pStyle w:val="BodyText"/>
      </w:pPr>
      <w:r>
        <w:t xml:space="preserve">handelnd nicht im eigenen Namen, sondern als alleinvertretungsberechtigter, von den Beschränkungen des § 181 BGB befreiter Prokurist für die</w:t>
      </w:r>
    </w:p>
    <w:p>
      <w:pPr>
        <w:pStyle w:val="BodyText"/>
      </w:pPr>
      <w:r>
        <w:rPr>
          <w:bCs/>
          <w:b/>
        </w:rPr>
        <w:t xml:space="preserve">Marewald Wohnbau GmbH &amp; Co. KG</w:t>
      </w:r>
    </w:p>
    <w:p>
      <w:pPr>
        <w:pStyle w:val="BodyText"/>
      </w:pPr>
      <w:r>
        <w:t xml:space="preserve">(Amtsgericht Hamburg, HRA 121 540; Komplementärin: Marewald Verwaltungs GmbH, Amtsgericht Hamburg, HRB 158 994),</w:t>
      </w:r>
    </w:p>
    <w:p>
      <w:pPr>
        <w:pStyle w:val="BodyText"/>
      </w:pPr>
      <w:r>
        <w:t xml:space="preserve">Geschäftsanschrift: Mundsburger Damm 5, 22087 Hamburg,</w:t>
      </w:r>
    </w:p>
    <w:p>
      <w:pPr>
        <w:pStyle w:val="BodyText"/>
      </w:pPr>
      <w:r>
        <w:t xml:space="preserve">— nachstehend auch „Verkäufer” genannt —.</w:t>
      </w:r>
    </w:p>
    <w:p>
      <w:pPr>
        <w:pStyle w:val="BodyText"/>
      </w:pPr>
      <w:r>
        <w:t xml:space="preserve">Die Vertretungsberechtigung wurde der Notarin durch Einsicht in das Handelsregister am heutigen Tage nachgewiesen.</w:t>
      </w:r>
    </w:p>
    <w:p>
      <w:pPr>
        <w:pStyle w:val="BodyText"/>
      </w:pPr>
      <w:r>
        <w:t xml:space="preserve">Frau</w:t>
      </w:r>
      <w:r>
        <w:t xml:space="preserve"> </w:t>
      </w:r>
      <w:r>
        <w:rPr>
          <w:bCs/>
          <w:b/>
        </w:rPr>
        <w:t xml:space="preserve">Dr. Henrike Salentin-Voßkamp</w:t>
      </w:r>
      <w:r>
        <w:t xml:space="preserve">, geboren am 07.05.1979,</w:t>
      </w:r>
    </w:p>
    <w:p>
      <w:pPr>
        <w:pStyle w:val="BodyText"/>
      </w:pPr>
      <w:r>
        <w:t xml:space="preserve">wohnhaft: Wandsbeker Chaussee 162, 22089 Hamburg,</w:t>
      </w:r>
    </w:p>
    <w:p>
      <w:pPr>
        <w:pStyle w:val="BodyText"/>
      </w:pPr>
      <w:r>
        <w:t xml:space="preserve">ausgewiesen durch gültigen Personalausweis,</w:t>
      </w:r>
    </w:p>
    <w:p>
      <w:pPr>
        <w:pStyle w:val="BodyText"/>
      </w:pPr>
      <w:r>
        <w:t xml:space="preserve">— nachstehend auch „Käufer” genannt —.</w:t>
      </w:r>
    </w:p>
    <w:p>
      <w:pPr>
        <w:pStyle w:val="BodyText"/>
      </w:pPr>
      <w:r>
        <w:t xml:space="preserve">Auf Befragen der Notarin erklärten der Erschienene zu 1. auf Rechnung des von ihm Vertretenen und die Erschienene zu 2. auf eigene Rechnung zu handeln.</w:t>
      </w:r>
    </w:p>
    <w:p>
      <w:pPr>
        <w:pStyle w:val="BodyText"/>
      </w:pPr>
      <w:r>
        <w:t xml:space="preserve">Die Notarin hat die Beteiligten befragt, ob bei der nachstehend zu beurkundenden Angelegenheit eine der mit ihr zur gemeinsamen Berufsausübung verbundenen Personen oder sie selbst außerhalb der Amtstätigkeit bereits tätig war oder ist. Die Beteiligten erklärten, dass dies nicht der Fall sei.</w:t>
      </w:r>
    </w:p>
    <w:p>
      <w:pPr>
        <w:pStyle w:val="BodyText"/>
      </w:pPr>
      <w:r>
        <w:t xml:space="preserve">Der Käufer erklärte im Hinblick auf § 17 Abs. 2a Satz 2 Nr. 2 BeurkG, dass ihm der beabsichtigte Text dieses Vertrages einschließlich der in Bezug genommenen Baubeschreibung und der Teilungserklärung am 26. Mai 2026 — somit mehr als zwei Wochen vor dem heutigen Beurkundungstag — von der Notarin zur Verfügung gestellt wurde und dass er ausreichend Gelegenheit zur Prüfung hatte.</w:t>
      </w:r>
    </w:p>
    <w:p>
      <w:pPr>
        <w:pStyle w:val="BodyText"/>
      </w:pPr>
      <w:r>
        <w:t xml:space="preserve">Die Erschienenen baten sodann um die Beurkundung des nachstehenden</w:t>
      </w:r>
    </w:p>
    <w:bookmarkEnd w:id="21"/>
    <w:bookmarkEnd w:id="22"/>
    <w:bookmarkStart w:id="24" w:name="wohnungsbauträgervertrag-mit-auflassung"/>
    <w:p>
      <w:pPr>
        <w:pStyle w:val="Heading1"/>
      </w:pPr>
      <w:r>
        <w:t xml:space="preserve">Wohnungsbauträgervertrag mit Auflassung</w:t>
      </w:r>
    </w:p>
    <w:bookmarkStart w:id="23" w:name="vorbemerkungen"/>
    <w:p>
      <w:pPr>
        <w:pStyle w:val="Heading2"/>
      </w:pPr>
      <w:r>
        <w:t xml:space="preserve">Vorbemerkungen</w:t>
      </w:r>
    </w:p>
    <w:p>
      <w:pPr>
        <w:pStyle w:val="FirstParagraph"/>
      </w:pPr>
      <w:r>
        <w:rPr>
          <w:bCs/>
          <w:b/>
        </w:rPr>
        <w:t xml:space="preserve">0.1</w:t>
      </w:r>
      <w:r>
        <w:t xml:space="preserve"> </w:t>
      </w:r>
      <w:r>
        <w:t xml:space="preserve">Der Verkäufer errichtet nach Maßgabe der erteilten Baugenehmigung auf dem Grundstück</w:t>
      </w:r>
    </w:p>
    <w:p>
      <w:pPr>
        <w:pStyle w:val="BlockText"/>
      </w:pPr>
      <w:r>
        <w:t xml:space="preserve">Gemarkung Eilbek, Flur 12, Flurstück 344/9, Gebäude- und Freifläche, „Marewald Höfe”, mit einer grundbuchlichen Größe von insgesamt 6.420 m², nachstehend auch das „Grundstück” genannt,</w:t>
      </w:r>
    </w:p>
    <w:p>
      <w:pPr>
        <w:pStyle w:val="FirstParagraph"/>
      </w:pPr>
      <w:r>
        <w:t xml:space="preserve">ein Wohnquartier aus vier Mehrfamilienhäusern (Häuser A bis D) mit insgesamt 61 Wohneinheiten, 3 Teileigentumseinheiten sowie einer Tiefgarage mit 58 Kfz-Stellplätzen nebst Gemeinschaftsflächen (Innenhof, Spielfläche, Wege, Pflanzflächen, Fahrradräume) und hat das Grundstück gemäß § 8 WEG aufgeteilt.</w:t>
      </w:r>
    </w:p>
    <w:p>
      <w:pPr>
        <w:pStyle w:val="BodyText"/>
      </w:pPr>
      <w:r>
        <w:t xml:space="preserve">Geringfügige Änderungen der Planung bleiben vorbehalten, soweit sie durch behördliche Auflagen, statische Erfordernisse oder die Fortschreibung der Ausführungsplanung veranlasst sind, den Vertragsgegenstand des Käufers in Lage, Größe, Zuschnitt, Wert und Nutzbarkeit nicht nachteilig berühren und dem Käufer in Textform mitgeteilt werden. Eine Kaufpreisanpassung ist mit solchen Änderungen nicht verbunden.</w:t>
      </w:r>
    </w:p>
    <w:p>
      <w:pPr>
        <w:pStyle w:val="BodyText"/>
      </w:pPr>
      <w:r>
        <w:rPr>
          <w:bCs/>
          <w:b/>
        </w:rPr>
        <w:t xml:space="preserve">0.2</w:t>
      </w:r>
      <w:r>
        <w:t xml:space="preserve"> </w:t>
      </w:r>
      <w:r>
        <w:t xml:space="preserve">Umfang und Beschränkungen des Wohnungs- und Teileigentums, die Rechtsbeziehungen der Eigentümer zueinander und die Verwaltung des gemeinschaftlichen Eigentums werden geregelt in der Teilungserklärung einschließlich Gemeinschaftsordnung vom 21. Oktober 2025 zur UR-Nr. 1502/2025 der amtierenden Notarin, in der Fassung des 1. Nachtrags vom 09. Februar 2026 zur UR-Nr. 188/2026 — nachfolgend auch „Teilungserklärung” und/oder „Bezugsurkunde 1” genannt.</w:t>
      </w:r>
    </w:p>
    <w:p>
      <w:pPr>
        <w:pStyle w:val="BodyText"/>
      </w:pPr>
      <w:r>
        <w:rPr>
          <w:bCs/>
          <w:b/>
        </w:rPr>
        <w:t xml:space="preserve">0.3</w:t>
      </w:r>
      <w:r>
        <w:t xml:space="preserve"> </w:t>
      </w:r>
      <w:r>
        <w:t xml:space="preserve">Die Baubeschreibung in der Fassung Mai 2026, Version 3.0 (Anlage Baubeschreibung zu dieser Urkunde) ist Gegenstand der Beurkundung und Bestandteil der vom Verkäufer geschuldeten Leistung. Auf das Verlesen wird nach § 13a BeurkG bzw. durch beigefügte Anlage nicht verzichtet; die Baubeschreibung wurde mitverlesen bzw. als Anlage mitbeurkundet. Visualisierungen, Exposés und die Musterwohnung sind nicht Vertragsbestandteil.</w:t>
      </w:r>
    </w:p>
    <w:p>
      <w:pPr>
        <w:pStyle w:val="BodyText"/>
      </w:pPr>
      <w:r>
        <w:rPr>
          <w:bCs/>
          <w:b/>
        </w:rPr>
        <w:t xml:space="preserve">0.4</w:t>
      </w:r>
      <w:r>
        <w:t xml:space="preserve"> </w:t>
      </w:r>
      <w:r>
        <w:t xml:space="preserve">Die Abgeschlossenheitsbescheinigung liegt vor. Die Baugenehmigung für die Häuser A bis D vom 14. April 2026 (Az. HH-Wb-2026/0471) liegt vor und wurde der Notarin nachgewiesen.</w:t>
      </w:r>
    </w:p>
    <w:p>
      <w:pPr>
        <w:pStyle w:val="BodyText"/>
      </w:pPr>
      <w:r>
        <w:rPr>
          <w:bCs/>
          <w:b/>
        </w:rPr>
        <w:t xml:space="preserve">0.5</w:t>
      </w:r>
      <w:r>
        <w:t xml:space="preserve"> </w:t>
      </w:r>
      <w:r>
        <w:t xml:space="preserve">Gegenstand dieses Vertrages sind der in § 1 beschriebene Kaufgegenstand sowie die in § 5 und der Anlage Baubeschreibung beschriebene Herstellungsverpflichtung.</w:t>
      </w:r>
    </w:p>
    <w:p>
      <w:r>
        <w:br w:type="page"/>
      </w:r>
    </w:p>
    <w:bookmarkEnd w:id="23"/>
    <w:bookmarkEnd w:id="24"/>
    <w:bookmarkStart w:id="25" w:name="kaufgegenstand"/>
    <w:p>
      <w:pPr>
        <w:pStyle w:val="Heading1"/>
      </w:pPr>
      <w:r>
        <w:t xml:space="preserve">§ 1 Kaufgegenstand</w:t>
      </w:r>
    </w:p>
    <w:p>
      <w:pPr>
        <w:pStyle w:val="FirstParagraph"/>
      </w:pPr>
      <w:r>
        <w:rPr>
          <w:bCs/>
          <w:b/>
        </w:rPr>
        <w:t xml:space="preserve">1.1</w:t>
      </w:r>
      <w:r>
        <w:t xml:space="preserve"> </w:t>
      </w:r>
      <w:r>
        <w:t xml:space="preserve">Der Verkäufer ist eingetragener Alleineigentümer des folgenden, im Wohnungsgrundbuch des Amtsgerichts Hamburg von Eilbek, Blatt 9 318, eingetragenen Wohnungseigentums:</w:t>
      </w:r>
    </w:p>
    <w:p>
      <w:pPr>
        <w:pStyle w:val="BlockText"/>
      </w:pPr>
      <w:r>
        <w:t xml:space="preserve">Miteigentumsanteil von 312/100 000 an dem Grundstück Gemarkung Eilbek, Flur 12, Flurstück 344/9, verbunden mit dem Sondereigentum an der im Aufteilungsplan mit der Nummer C-2.14 bezeichneten Wohnung im 2. Obergeschoss des Hauses C nebst Kellerabteil Nr. K-C14 und Sondernutzungsrecht an dem Balkon B-C14 sowie dem Tiefgaragenstellplatz Nr. TG-58.</w:t>
      </w:r>
    </w:p>
    <w:p>
      <w:pPr>
        <w:pStyle w:val="FirstParagraph"/>
      </w:pPr>
      <w:r>
        <w:rPr>
          <w:bCs/>
          <w:b/>
        </w:rPr>
        <w:t xml:space="preserve">1.2</w:t>
      </w:r>
      <w:r>
        <w:t xml:space="preserve"> </w:t>
      </w:r>
      <w:r>
        <w:t xml:space="preserve">Die Sondereigentumseinheit nebst Sondernutzungsrecht am Stellplatz TG-58 und den unter § 5 beschriebenen Bauleistungen wird nachfolgend „Kaufgegenstand” genannt.</w:t>
      </w:r>
    </w:p>
    <w:p>
      <w:pPr>
        <w:pStyle w:val="BodyText"/>
      </w:pPr>
      <w:r>
        <w:rPr>
          <w:bCs/>
          <w:b/>
        </w:rPr>
        <w:t xml:space="preserve">1.3</w:t>
      </w:r>
      <w:r>
        <w:t xml:space="preserve"> </w:t>
      </w:r>
      <w:r>
        <w:t xml:space="preserve">Die Notarin hat das Grundbuch gemäß § 1.1 am heutigen Tage elektronisch eingesehen.</w:t>
      </w:r>
    </w:p>
    <w:p>
      <w:pPr>
        <w:pStyle w:val="BodyText"/>
      </w:pPr>
      <w:r>
        <w:t xml:space="preserve">In Abteilung II sind beschränkte persönliche Dienstbarkeiten zugunsten der Versorgungs- und Netzbetreiber sowie der Freien und Hansestadt Hamburg eingetragen; diese werden vom Käufer übernommen.</w:t>
      </w:r>
    </w:p>
    <w:p>
      <w:pPr>
        <w:pStyle w:val="BodyText"/>
      </w:pPr>
      <w:r>
        <w:t xml:space="preserve">In Abteilung III ist eine Gesamtgrundschuld zugunsten der Norddeutsche Grundkreditbank AG eingetragen. Der Verkäufer wird die lastenfreie Übertragung des Kaufgegenstandes nach Maßgabe von § 3 und § 10 sicherstellen.</w:t>
      </w:r>
    </w:p>
    <w:p>
      <w:r>
        <w:br w:type="page"/>
      </w:r>
    </w:p>
    <w:bookmarkEnd w:id="25"/>
    <w:bookmarkStart w:id="26" w:name="kaufpreis"/>
    <w:p>
      <w:pPr>
        <w:pStyle w:val="Heading1"/>
      </w:pPr>
      <w:r>
        <w:t xml:space="preserve">§ 2 Kaufpreis</w:t>
      </w:r>
    </w:p>
    <w:p>
      <w:pPr>
        <w:pStyle w:val="FirstParagraph"/>
      </w:pPr>
      <w:r>
        <w:rPr>
          <w:bCs/>
          <w:b/>
        </w:rPr>
        <w:t xml:space="preserve">2.1</w:t>
      </w:r>
      <w:r>
        <w:t xml:space="preserve"> </w:t>
      </w:r>
      <w:r>
        <w:t xml:space="preserve">Der Kaufpreis für den Kaufgegenstand beträgt insgesamt</w:t>
      </w:r>
    </w:p>
    <w:p>
      <w:pPr>
        <w:pStyle w:val="BlockText"/>
      </w:pPr>
      <w:r>
        <w:rPr>
          <w:bCs/>
          <w:b/>
        </w:rPr>
        <w:t xml:space="preserve">642.000,00 EUR</w:t>
      </w:r>
    </w:p>
    <w:p>
      <w:pPr>
        <w:pStyle w:val="FirstParagraph"/>
      </w:pPr>
      <w:r>
        <w:t xml:space="preserve">zzgl. eines Aufpreises für den Tiefgaragenstellplatz TG-58 von 32.000,00 EUR. Der Gesamtkaufpreis beträgt damit</w:t>
      </w:r>
      <w:r>
        <w:t xml:space="preserve"> </w:t>
      </w:r>
      <w:r>
        <w:rPr>
          <w:bCs/>
          <w:b/>
        </w:rPr>
        <w:t xml:space="preserve">674.000,00 EUR</w:t>
      </w:r>
      <w:r>
        <w:t xml:space="preserve">.</w:t>
      </w:r>
    </w:p>
    <w:p>
      <w:pPr>
        <w:pStyle w:val="BodyText"/>
      </w:pPr>
      <w:r>
        <w:rPr>
          <w:bCs/>
          <w:b/>
        </w:rPr>
        <w:t xml:space="preserve">2.2</w:t>
      </w:r>
      <w:r>
        <w:t xml:space="preserve"> </w:t>
      </w:r>
      <w:r>
        <w:t xml:space="preserve">Der Kaufpreis ist ein Festpreis und umfasst die vollständige Herstellung des Kaufgegenstandes in der Ausstattungslinie „Marewald Komfort C” nach § 5 und der Anlage Baubeschreibung. Er ist nicht an Baukostenindizes oder Materialpreise gekoppelt; eine Preisanpassung findet nur nach Maßgabe des § 5.7 statt.</w:t>
      </w:r>
    </w:p>
    <w:p>
      <w:pPr>
        <w:pStyle w:val="BodyText"/>
      </w:pPr>
      <w:r>
        <w:rPr>
          <w:bCs/>
          <w:b/>
        </w:rPr>
        <w:t xml:space="preserve">2.3</w:t>
      </w:r>
      <w:r>
        <w:t xml:space="preserve"> </w:t>
      </w:r>
      <w:r>
        <w:t xml:space="preserve">Nicht im Kaufpreis enthalten sind die bei Notar, Grundbuchamt und Behörden anfallenden Gebühren, die Grunderwerbsteuer, die Kosten der Finanzierung des Käufers sowie Kosten gesondert beauftragter Sonderwünsche (§ 3.5).</w:t>
      </w:r>
    </w:p>
    <w:p>
      <w:r>
        <w:br w:type="page"/>
      </w:r>
    </w:p>
    <w:bookmarkEnd w:id="26"/>
    <w:bookmarkStart w:id="27" w:name="kaufpreiszahlung-fälligkeit-sicherheiten"/>
    <w:p>
      <w:pPr>
        <w:pStyle w:val="Heading1"/>
      </w:pPr>
      <w:r>
        <w:t xml:space="preserve">§ 3 Kaufpreiszahlung, Fälligkeit, Sicherheiten</w:t>
      </w:r>
    </w:p>
    <w:p>
      <w:pPr>
        <w:pStyle w:val="FirstParagraph"/>
      </w:pPr>
      <w:r>
        <w:rPr>
          <w:bCs/>
          <w:b/>
        </w:rPr>
        <w:t xml:space="preserve">3.1</w:t>
      </w:r>
      <w:r>
        <w:t xml:space="preserve"> </w:t>
      </w:r>
      <w:r>
        <w:t xml:space="preserve">Die Kaufpreiszahlungen sind frühestens fällig, wenn die Notarin den Parteien schriftlich mitgeteilt hat, dass</w:t>
      </w:r>
    </w:p>
    <w:p>
      <w:pPr>
        <w:numPr>
          <w:ilvl w:val="0"/>
          <w:numId w:val="1001"/>
        </w:numPr>
      </w:pPr>
      <w:r>
        <w:t xml:space="preserve">der Vertrag rechtswirksam zustande gekommen ist und keine vertraglichen Rücktrittsrechte des Verkäufers mehr bestehen,</w:t>
      </w:r>
    </w:p>
    <w:p>
      <w:pPr>
        <w:numPr>
          <w:ilvl w:val="0"/>
          <w:numId w:val="1001"/>
        </w:numPr>
      </w:pPr>
      <w:r>
        <w:t xml:space="preserve">die Auflassungsvormerkung zugunsten des Käufers an vereinbarter Rangstelle im Grundbuch eingetragen ist,</w:t>
      </w:r>
    </w:p>
    <w:p>
      <w:pPr>
        <w:numPr>
          <w:ilvl w:val="0"/>
          <w:numId w:val="1001"/>
        </w:numPr>
      </w:pPr>
      <w:r>
        <w:t xml:space="preserve">die Freistellungserklärung der Norddeutsche Grundkreditbank AG nach § 3 MaBV — auch für den Fall der nicht vollendeten Bauausführung — vorliegt, und</w:t>
      </w:r>
    </w:p>
    <w:p>
      <w:pPr>
        <w:numPr>
          <w:ilvl w:val="0"/>
          <w:numId w:val="1001"/>
        </w:numPr>
      </w:pPr>
      <w:r>
        <w:t xml:space="preserve">die Baugenehmigung für Haus C vorliegt.</w:t>
      </w:r>
    </w:p>
    <w:p>
      <w:pPr>
        <w:pStyle w:val="FirstParagraph"/>
      </w:pPr>
      <w:r>
        <w:t xml:space="preserve">Diese Voraussetzungen entsprechen § 3 Abs. 1 der Makler- und Bauträgerverordnung (MaBV); von ihnen wird nicht zulasten des Käufers abgewichen.</w:t>
      </w:r>
    </w:p>
    <w:p>
      <w:pPr>
        <w:pStyle w:val="BodyText"/>
      </w:pPr>
      <w:r>
        <w:rPr>
          <w:bCs/>
          <w:b/>
        </w:rPr>
        <w:t xml:space="preserve">3.2</w:t>
      </w:r>
      <w:r>
        <w:t xml:space="preserve"> </w:t>
      </w:r>
      <w:r>
        <w:t xml:space="preserve">Der Käufer zahlt den Kaufpreis nach Baufortschritt in sieben Teilbeträgen entsprechend § 3 Abs. 2 MaBV: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Rate</w:t>
            </w:r>
          </w:p>
        </w:tc>
        <w:tc>
          <w:tcPr/>
          <w:p>
            <w:pPr>
              <w:pStyle w:val="Compact"/>
              <w:jc w:val="left"/>
            </w:pPr>
            <w:r>
              <w:t xml:space="preserve">Bautenstand</w:t>
            </w:r>
          </w:p>
        </w:tc>
        <w:tc>
          <w:tcPr/>
          <w:p>
            <w:pPr>
              <w:pStyle w:val="Compact"/>
              <w:jc w:val="left"/>
            </w:pPr>
            <w:r>
              <w:t xml:space="preserve">Anteil</w:t>
            </w:r>
          </w:p>
        </w:tc>
      </w:tr>
      <w:tr>
        <w:tc>
          <w:tcPr/>
          <w:p>
            <w:pPr>
              <w:pStyle w:val="Compact"/>
              <w:jc w:val="left"/>
            </w:pPr>
            <w:r>
              <w:t xml:space="preserve">1. Rate</w:t>
            </w:r>
          </w:p>
        </w:tc>
        <w:tc>
          <w:tcPr/>
          <w:p>
            <w:pPr>
              <w:pStyle w:val="Compact"/>
              <w:jc w:val="left"/>
            </w:pPr>
            <w:r>
              <w:t xml:space="preserve">nach Beginn der Erdarbeiten</w:t>
            </w:r>
          </w:p>
        </w:tc>
        <w:tc>
          <w:tcPr/>
          <w:p>
            <w:pPr>
              <w:pStyle w:val="Compact"/>
              <w:jc w:val="left"/>
            </w:pPr>
            <w:r>
              <w:t xml:space="preserve">30,0 %</w:t>
            </w:r>
          </w:p>
        </w:tc>
      </w:tr>
      <w:tr>
        <w:tc>
          <w:tcPr/>
          <w:p>
            <w:pPr>
              <w:pStyle w:val="Compact"/>
              <w:jc w:val="left"/>
            </w:pPr>
            <w:r>
              <w:t xml:space="preserve">2. Rate</w:t>
            </w:r>
          </w:p>
        </w:tc>
        <w:tc>
          <w:tcPr/>
          <w:p>
            <w:pPr>
              <w:pStyle w:val="Compact"/>
              <w:jc w:val="left"/>
            </w:pPr>
            <w:r>
              <w:t xml:space="preserve">nach Rohbaufertigstellung einschließlich Zimmererarbeiten</w:t>
            </w:r>
          </w:p>
        </w:tc>
        <w:tc>
          <w:tcPr/>
          <w:p>
            <w:pPr>
              <w:pStyle w:val="Compact"/>
              <w:jc w:val="left"/>
            </w:pPr>
            <w:r>
              <w:t xml:space="preserve">28,0 %</w:t>
            </w:r>
          </w:p>
        </w:tc>
      </w:tr>
      <w:tr>
        <w:tc>
          <w:tcPr/>
          <w:p>
            <w:pPr>
              <w:pStyle w:val="Compact"/>
              <w:jc w:val="left"/>
            </w:pPr>
            <w:r>
              <w:t xml:space="preserve">3. Rate</w:t>
            </w:r>
          </w:p>
        </w:tc>
        <w:tc>
          <w:tcPr/>
          <w:p>
            <w:pPr>
              <w:pStyle w:val="Compact"/>
              <w:jc w:val="left"/>
            </w:pPr>
            <w:r>
              <w:t xml:space="preserve">nach Dachflächen/Dachrinnen, Rohinstallation Heizung/Sanitär/Elektro und Fenstereinbau einschließlich Verglasung</w:t>
            </w:r>
          </w:p>
        </w:tc>
        <w:tc>
          <w:tcPr/>
          <w:p>
            <w:pPr>
              <w:pStyle w:val="Compact"/>
              <w:jc w:val="left"/>
            </w:pPr>
            <w:r>
              <w:t xml:space="preserve">18,9 %</w:t>
            </w:r>
          </w:p>
        </w:tc>
      </w:tr>
      <w:tr>
        <w:tc>
          <w:tcPr/>
          <w:p>
            <w:pPr>
              <w:pStyle w:val="Compact"/>
              <w:jc w:val="left"/>
            </w:pPr>
            <w:r>
              <w:t xml:space="preserve">4. Rate</w:t>
            </w:r>
          </w:p>
        </w:tc>
        <w:tc>
          <w:tcPr/>
          <w:p>
            <w:pPr>
              <w:pStyle w:val="Compact"/>
              <w:jc w:val="left"/>
            </w:pPr>
            <w:r>
              <w:t xml:space="preserve">nach Innenputz, Estrich und Fliesenarbeiten im Sanitärbereich</w:t>
            </w:r>
          </w:p>
        </w:tc>
        <w:tc>
          <w:tcPr/>
          <w:p>
            <w:pPr>
              <w:pStyle w:val="Compact"/>
              <w:jc w:val="left"/>
            </w:pPr>
            <w:r>
              <w:t xml:space="preserve">9,1 %</w:t>
            </w:r>
          </w:p>
        </w:tc>
      </w:tr>
      <w:tr>
        <w:tc>
          <w:tcPr/>
          <w:p>
            <w:pPr>
              <w:pStyle w:val="Compact"/>
              <w:jc w:val="left"/>
            </w:pPr>
            <w:r>
              <w:t xml:space="preserve">5. Rate</w:t>
            </w:r>
          </w:p>
        </w:tc>
        <w:tc>
          <w:tcPr/>
          <w:p>
            <w:pPr>
              <w:pStyle w:val="Compact"/>
              <w:jc w:val="left"/>
            </w:pPr>
            <w:r>
              <w:t xml:space="preserve">nach Bezugsfertigkeit Zug um Zug gegen Besitzübergabe</w:t>
            </w:r>
          </w:p>
        </w:tc>
        <w:tc>
          <w:tcPr/>
          <w:p>
            <w:pPr>
              <w:pStyle w:val="Compact"/>
              <w:jc w:val="left"/>
            </w:pPr>
            <w:r>
              <w:t xml:space="preserve">8,4 %</w:t>
            </w:r>
          </w:p>
        </w:tc>
      </w:tr>
      <w:tr>
        <w:tc>
          <w:tcPr/>
          <w:p>
            <w:pPr>
              <w:pStyle w:val="Compact"/>
              <w:jc w:val="left"/>
            </w:pPr>
            <w:r>
              <w:t xml:space="preserve">6. Rate</w:t>
            </w:r>
          </w:p>
        </w:tc>
        <w:tc>
          <w:tcPr/>
          <w:p>
            <w:pPr>
              <w:pStyle w:val="Compact"/>
              <w:jc w:val="left"/>
            </w:pPr>
            <w:r>
              <w:t xml:space="preserve">nach Fassadenarbeiten</w:t>
            </w:r>
          </w:p>
        </w:tc>
        <w:tc>
          <w:tcPr/>
          <w:p>
            <w:pPr>
              <w:pStyle w:val="Compact"/>
              <w:jc w:val="left"/>
            </w:pPr>
            <w:r>
              <w:t xml:space="preserve">2,1 %</w:t>
            </w:r>
          </w:p>
        </w:tc>
      </w:tr>
      <w:tr>
        <w:tc>
          <w:tcPr/>
          <w:p>
            <w:pPr>
              <w:pStyle w:val="Compact"/>
              <w:jc w:val="left"/>
            </w:pPr>
            <w:r>
              <w:t xml:space="preserve">7. Rate</w:t>
            </w:r>
          </w:p>
        </w:tc>
        <w:tc>
          <w:tcPr/>
          <w:p>
            <w:pPr>
              <w:pStyle w:val="Compact"/>
              <w:jc w:val="left"/>
            </w:pPr>
            <w:r>
              <w:t xml:space="preserve">nach vollständiger Fertigstellung einschließlich der Außenanlagen</w:t>
            </w:r>
          </w:p>
        </w:tc>
        <w:tc>
          <w:tcPr/>
          <w:p>
            <w:pPr>
              <w:pStyle w:val="Compact"/>
              <w:jc w:val="left"/>
            </w:pPr>
            <w:r>
              <w:t xml:space="preserve">3,5 %</w:t>
            </w:r>
          </w:p>
        </w:tc>
      </w:tr>
    </w:tbl>
    <w:p>
      <w:pPr>
        <w:pStyle w:val="BodyText"/>
      </w:pPr>
      <w:r>
        <w:t xml:space="preserve">Eine Rate wird fällig, wenn der zugehörige Bautenstand tatsächlich erreicht ist und der Verkäufer den Käufer schriftlich unter Bezeichnung des erreichten Meilensteins zur Zahlung auffordert. Der Käufer ist berechtigt, den Bautenstand vor Zahlung selbst oder durch eine Person seines Vertrauens zu überprüfen (§ 8); ist der bezeichnete Bautenstand nicht erreicht, wird die Rate nicht fällig. Die Schlussrate (7. Rate) wird erst nach vollständiger Fertigstellung einschließlich der dem Kaufgegenstand zugeordneten Außenanlagen und nach Beseitigung der im Abnahmeprotokoll festgehaltenen Mängel und Restarbeiten fällig.</w:t>
      </w:r>
    </w:p>
    <w:p>
      <w:pPr>
        <w:pStyle w:val="BodyText"/>
      </w:pPr>
      <w:r>
        <w:rPr>
          <w:bCs/>
          <w:b/>
        </w:rPr>
        <w:t xml:space="preserve">3.3</w:t>
      </w:r>
      <w:r>
        <w:t xml:space="preserve"> </w:t>
      </w:r>
      <w:r>
        <w:t xml:space="preserve">Sicherheit für rechtzeitige und mangelfreie Herstellung. Der Verkäufer stellt dem Käufer bei der ersten Abschlagszahlung eine Sicherheit in Höhe von 5 % des Gesamtkaufpreises (§ 650m Abs. 2 BGB) für die rechtzeitige Herstellung des Werkes ohne wesentliche Mängel. Die Sicherheit kann nach Wahl des Verkäufers durch Einbehalt des Käufers von der ersten Rate oder durch unbefristete, selbstschuldnerische Bürgschaft eines im Inland zum Geschäftsbetrieb befugten Kreditinstituts geleistet werden. Die Sicherheit ist nach mangelfreier Abnahme der Sondereigentumseinheit zurückzugeben; in Höhe noch nicht beseitigter, im Abnahmeprotokoll festgehaltener wesentlicher Mängel bleibt sie bestehen.</w:t>
      </w:r>
    </w:p>
    <w:p>
      <w:pPr>
        <w:pStyle w:val="BodyText"/>
      </w:pPr>
      <w:r>
        <w:rPr>
          <w:bCs/>
          <w:b/>
        </w:rPr>
        <w:t xml:space="preserve">3.4</w:t>
      </w:r>
      <w:r>
        <w:t xml:space="preserve"> </w:t>
      </w:r>
      <w:r>
        <w:t xml:space="preserve">Reservierungsentgelt. Ein vor Beurkundung gezahltes Reservierungsentgelt von 5.000,00 EUR wird mit der ersten Kaufpreisrate verrechnet. Kommt der Vertrag aus vom Käufer nicht zu vertretenden Gründen nicht zustande, wird das Entgelt erstattet.</w:t>
      </w:r>
    </w:p>
    <w:p>
      <w:pPr>
        <w:pStyle w:val="BodyText"/>
      </w:pPr>
      <w:r>
        <w:rPr>
          <w:bCs/>
          <w:b/>
        </w:rPr>
        <w:t xml:space="preserve">3.5</w:t>
      </w:r>
      <w:r>
        <w:t xml:space="preserve"> </w:t>
      </w:r>
      <w:r>
        <w:t xml:space="preserve">Sonderwünsche. Sonderwünsche außerhalb der Ausstattungslinie „Marewald Komfort C” werden gesondert auf Grundlage eines Nachtragsangebots beauftragt. Bauwerksbezogene Sonderwünsche werden mit der Rate fällig, die dem Bautenstand des betroffenen Gewerks entspricht; eine Vorauszahlung vor Leistung wird nur gegen Sicherheit nach § 7 MaBV verlangt. Die ersten drei Beratungsstunden in der Bemusterung sind im Kaufpreis enthalten; weiterer Beratungsaufwand wird mit 150,00 EUR netto je Stunde vergütet.</w:t>
      </w:r>
    </w:p>
    <w:p>
      <w:r>
        <w:br w:type="page"/>
      </w:r>
    </w:p>
    <w:bookmarkEnd w:id="27"/>
    <w:bookmarkStart w:id="28" w:name="Xacd27a9a0599f387afb098c717c3b96c90edba0"/>
    <w:p>
      <w:pPr>
        <w:pStyle w:val="Heading1"/>
      </w:pPr>
      <w:r>
        <w:t xml:space="preserve">§ 4 Belastungsvollmacht, Kaufpreisfinanzierung</w:t>
      </w:r>
    </w:p>
    <w:p>
      <w:pPr>
        <w:pStyle w:val="FirstParagraph"/>
      </w:pPr>
      <w:r>
        <w:rPr>
          <w:bCs/>
          <w:b/>
        </w:rPr>
        <w:t xml:space="preserve">4.1</w:t>
      </w:r>
      <w:r>
        <w:t xml:space="preserve"> </w:t>
      </w:r>
      <w:r>
        <w:t xml:space="preserve">Der Verkäufer bevollmächtigt den Käufer, an dem Kaufgegenstand bereits vor Eigentumsumschreibung Grundpfandrechte zugunsten finanzierender Kreditinstitute zu bestellen und eintragen zu lassen.</w:t>
      </w:r>
    </w:p>
    <w:p>
      <w:pPr>
        <w:pStyle w:val="BodyText"/>
      </w:pPr>
      <w:r>
        <w:rPr>
          <w:bCs/>
          <w:b/>
        </w:rPr>
        <w:t xml:space="preserve">4.2</w:t>
      </w:r>
      <w:r>
        <w:t xml:space="preserve"> </w:t>
      </w:r>
      <w:r>
        <w:t xml:space="preserve">Eine persönliche Haftung des Käufers mit sofortiger Zwangsvollstreckungsunterwerfung darf bis zur Höhe des Gesamtkaufpreises von 674.000,00 EUR nebst marktüblicher dinglicher Zinsen von bis zu 15 % jährlich und einmaliger Nebenleistung begründet werden, soweit die finanzierende Bank dies verlangt. Die Sicherungsabrede mit der Bank hat sicherzustellen, dass Zahlungen nur auf den Kaufpreis dieses Vertrages erfolgen, solange das Eigentum nicht umgeschrieben ist.</w:t>
      </w:r>
    </w:p>
    <w:p>
      <w:pPr>
        <w:pStyle w:val="BodyText"/>
      </w:pPr>
      <w:r>
        <w:rPr>
          <w:bCs/>
          <w:b/>
        </w:rPr>
        <w:t xml:space="preserve">4.3</w:t>
      </w:r>
      <w:r>
        <w:t xml:space="preserve"> </w:t>
      </w:r>
      <w:r>
        <w:t xml:space="preserve">Der Käufer trägt die Kosten der Bestellung, Rangbeschaffung und Löschung der Finanzierungsgrundpfandrechte. Der Verkäufer bleibt verpflichtet, die Lastenfreistellung nach § 3.1 c) und § 10 sicherzustellen.</w:t>
      </w:r>
    </w:p>
    <w:p>
      <w:r>
        <w:br w:type="page"/>
      </w:r>
    </w:p>
    <w:bookmarkEnd w:id="28"/>
    <w:bookmarkStart w:id="29" w:name="baupflicht-baubeschreibung-termine"/>
    <w:p>
      <w:pPr>
        <w:pStyle w:val="Heading1"/>
      </w:pPr>
      <w:r>
        <w:t xml:space="preserve">§ 5 Baupflicht, Baubeschreibung, Termine</w:t>
      </w:r>
    </w:p>
    <w:p>
      <w:pPr>
        <w:pStyle w:val="FirstParagraph"/>
      </w:pPr>
      <w:r>
        <w:rPr>
          <w:bCs/>
          <w:b/>
        </w:rPr>
        <w:t xml:space="preserve">5.1</w:t>
      </w:r>
      <w:r>
        <w:t xml:space="preserve"> </w:t>
      </w:r>
      <w:r>
        <w:t xml:space="preserve">Der Verkäufer verpflichtet sich, den Kaufgegenstand entsprechend der mitbeurkundeten Anlage Baubeschreibung (Fassung Mai 2026, Version 3.0), den genehmigten Plänen und den anerkannten Regeln der Technik herzustellen.</w:t>
      </w:r>
    </w:p>
    <w:p>
      <w:pPr>
        <w:pStyle w:val="BodyText"/>
      </w:pPr>
      <w:r>
        <w:rPr>
          <w:bCs/>
          <w:b/>
        </w:rPr>
        <w:t xml:space="preserve">5.2</w:t>
      </w:r>
      <w:r>
        <w:t xml:space="preserve"> </w:t>
      </w:r>
      <w:r>
        <w:t xml:space="preserve">Planung und Bauüberwachung organisiert der Verkäufer in eigener Verantwortung. Der Käufer erhält die zur Finanzierung, öffentlich-rechtlichen Nachweisführung, Abnahme und späteren Verwaltung erforderlichen Unterlagen nach § 650n BGB; insbesondere werden ihm bzw. der Gemeinschaft die Planungs- und Nachweisunterlagen spätestens mit der Fertigstellung übergeben. Im Übrigen bleiben interne Steuerungsunterlagen dem Verkäufer vorbehalten.</w:t>
      </w:r>
    </w:p>
    <w:p>
      <w:pPr>
        <w:pStyle w:val="BodyText"/>
      </w:pPr>
      <w:r>
        <w:rPr>
          <w:bCs/>
          <w:b/>
        </w:rPr>
        <w:t xml:space="preserve">5.3</w:t>
      </w:r>
      <w:r>
        <w:t xml:space="preserve"> </w:t>
      </w:r>
      <w:r>
        <w:t xml:space="preserve">Soweit die Baubeschreibung Wahlmöglichkeiten vorsieht, erhält der Käufer im Bemusterungszentrum „Marewald Auswahl”, Mundsburger Damm 5, Hamburg, Gelegenheit zur Auswahl, sofern der Baufortschritt es zulässt. Trifft der Käufer trotz Aufforderung und angemessener Frist von mindestens vier Wochen keine Auswahl, bestimmt der Verkäufer die Ausführung aus der Ausstattungslinie „Marewald Komfort C” nach billigem Ermessen unter Berücksichtigung des einheitlichen Erscheinungsbildes.</w:t>
      </w:r>
    </w:p>
    <w:p>
      <w:pPr>
        <w:pStyle w:val="BodyText"/>
      </w:pPr>
      <w:r>
        <w:rPr>
          <w:bCs/>
          <w:b/>
        </w:rPr>
        <w:t xml:space="preserve">5.4</w:t>
      </w:r>
      <w:r>
        <w:t xml:space="preserve"> </w:t>
      </w:r>
      <w:r>
        <w:t xml:space="preserve">Auf eine von Baubeschreibung, Plänen und Vertrag abweichende Ausführung besteht kein Anspruch. Verkaufsunterlagen und Musterwohnung begründen keine Beschaffenheitsvereinbarung.</w:t>
      </w:r>
    </w:p>
    <w:p>
      <w:pPr>
        <w:pStyle w:val="BodyText"/>
      </w:pPr>
      <w:r>
        <w:rPr>
          <w:bCs/>
          <w:b/>
        </w:rPr>
        <w:t xml:space="preserve">5.5</w:t>
      </w:r>
      <w:r>
        <w:t xml:space="preserve"> </w:t>
      </w:r>
      <w:r>
        <w:t xml:space="preserve">Enthält die Baubeschreibung zu notwendigen Leistungen keine oder unbestimmte Angaben, schuldet der Verkäufer eine Ausführung mittlerer Art und Güte, die der Ausstattungslinie „Marewald Komfort C” und dem anerkannten Stand der Technik entspricht.</w:t>
      </w:r>
    </w:p>
    <w:p>
      <w:pPr>
        <w:pStyle w:val="BodyText"/>
      </w:pPr>
      <w:r>
        <w:rPr>
          <w:bCs/>
          <w:b/>
        </w:rPr>
        <w:t xml:space="preserve">5.6</w:t>
      </w:r>
      <w:r>
        <w:t xml:space="preserve"> </w:t>
      </w:r>
      <w:r>
        <w:t xml:space="preserve">Der Verkäufer schuldet die Einhaltung der anerkannten Regeln der Technik</w:t>
      </w:r>
      <w:r>
        <w:t xml:space="preserve"> </w:t>
      </w:r>
      <w:r>
        <w:rPr>
          <w:bCs/>
          <w:b/>
        </w:rPr>
        <w:t xml:space="preserve">im Zeitpunkt der Abnahme</w:t>
      </w:r>
      <w:r>
        <w:t xml:space="preserve">. Ändern sich die anerkannten Regeln der Technik zwischen Vertragsschluss und Abnahme, klärt der Verkäufer den Käufer über die Änderung und ihre Folgen auf; etwaige Mehrkosten einer über den Vertragsstand hinausgehenden Ausführung trägt der Käufer nur nach gesonderter Vereinbarung.</w:t>
      </w:r>
    </w:p>
    <w:p>
      <w:pPr>
        <w:pStyle w:val="BodyText"/>
      </w:pPr>
      <w:r>
        <w:rPr>
          <w:bCs/>
          <w:b/>
        </w:rPr>
        <w:t xml:space="preserve">5.7</w:t>
      </w:r>
      <w:r>
        <w:t xml:space="preserve"> </w:t>
      </w:r>
      <w:r>
        <w:t xml:space="preserve">Änderungen der Planung und Ausführung sind nur zulässig, wenn ein konkreter triftiger Grund vorliegt — behördliche Auflagen, Gesetzesänderungen, statische oder bauphysikalische Notwendigkeit oder nachgewiesene Lieferunfähigkeit eines vorgesehenen Produkts — und die geänderte Ausführung gleichwertig ist sowie Wert, Nutzbarkeit, Zuschnitt und Gestaltungseindruck des Kaufgegenstandes nicht nachteilig verändert. Der Verkäufer teilt Änderungen in Textform mit Begründung mit. Verteuert sich die Herstellung ausschließlich infolge einer nach Beurkundung in Kraft getretenen, öffentlich-rechtlich zwingenden Anforderung, kann der Verkäufer die tatsächlichen, nachgewiesenen Mehrkosten dieses Gewerks weitergeben; übersteigen sie insgesamt 3 % des Gesamtkaufpreises, kann der Käufer vom Vertrag zurücktreten oder die Mehrkosten tragen. Ein darüber hinausgehendes Preisanpassungsrecht besteht nicht.</w:t>
      </w:r>
    </w:p>
    <w:p>
      <w:pPr>
        <w:pStyle w:val="BodyText"/>
      </w:pPr>
      <w:r>
        <w:rPr>
          <w:bCs/>
          <w:b/>
        </w:rPr>
        <w:t xml:space="preserve">5.8</w:t>
      </w:r>
      <w:r>
        <w:t xml:space="preserve"> </w:t>
      </w:r>
      <w:r>
        <w:t xml:space="preserve">Termine</w:t>
      </w:r>
    </w:p>
    <w:p>
      <w:pPr>
        <w:pStyle w:val="BodyText"/>
      </w:pPr>
      <w:r>
        <w:t xml:space="preserve">5.8.1 Der Verkäufer stellt den Kaufgegenstand</w:t>
      </w:r>
      <w:r>
        <w:t xml:space="preserve"> </w:t>
      </w:r>
      <w:r>
        <w:rPr>
          <w:bCs/>
          <w:b/>
        </w:rPr>
        <w:t xml:space="preserve">verbindlich bis zum 31. März 2028</w:t>
      </w:r>
      <w:r>
        <w:t xml:space="preserve"> </w:t>
      </w:r>
      <w:r>
        <w:t xml:space="preserve">bezugsfertig her. Gerät der Verkäufer mit diesem Termin in Verzug, gelten die §§ 286 ff. BGB; einer gesonderten Mahnung bedarf es nicht (§ 286 Abs. 2 Nr. 1 BGB).</w:t>
      </w:r>
    </w:p>
    <w:p>
      <w:pPr>
        <w:pStyle w:val="BodyText"/>
      </w:pPr>
      <w:r>
        <w:t xml:space="preserve">5.8.2 Die Frist verlängert sich nur um die Dauer einer tatsächlichen, vom Verkäufer nicht zu vertretenden Baubehinderung (insbesondere höhere Gewalt, Streik, hoheitliche Anordnungen), wenn der Verkäufer dem Käufer den Hinderungsgrund, dessen Beginn und Ende sowie die konkrete Auswirkung auf den Bauablauf in Textform mitteilt. Eine pauschale Berufung auf Witterung, Lieferketten oder Personalsituation genügt nicht.</w:t>
      </w:r>
    </w:p>
    <w:p>
      <w:pPr>
        <w:pStyle w:val="BodyText"/>
      </w:pPr>
      <w:r>
        <w:t xml:space="preserve">5.8.3 Bei vom Verkäufer zu vertretender Überschreitung des Termins schuldet er eine Vertragsstrafe von 0,2 % des Gesamtkaufpreises je vollendeter Woche, höchstens 5 % des Gesamtkaufpreises. Die Vertragsstrafe wird auf einen weitergehenden Verzugsschaden angerechnet. Die gesetzliche Haftung für Schäden aus der Verletzung des Lebens, des Körpers oder der Gesundheit sowie für Vorsatz und grobe Fahrlässigkeit bleibt unberührt.</w:t>
      </w:r>
    </w:p>
    <w:p>
      <w:pPr>
        <w:pStyle w:val="BodyText"/>
      </w:pPr>
      <w:r>
        <w:rPr>
          <w:bCs/>
          <w:b/>
        </w:rPr>
        <w:t xml:space="preserve">5.9</w:t>
      </w:r>
      <w:r>
        <w:t xml:space="preserve"> </w:t>
      </w:r>
      <w:r>
        <w:t xml:space="preserve">Wohnfläche. Die Wohnfläche beträgt ca. 84,6 m² (Berechnung nach Wohnflächenverordnung). Weicht die tatsächliche Wohnfläche um mehr als 3 % nach unten ab, wird der Kaufpreis im Verhältnis der Mehrabweichung angepasst; weitergehende gesetzliche Rechte bleiben unberührt.</w:t>
      </w:r>
    </w:p>
    <w:p>
      <w:pPr>
        <w:pStyle w:val="BodyText"/>
      </w:pPr>
      <w:r>
        <w:rPr>
          <w:bCs/>
          <w:b/>
        </w:rPr>
        <w:t xml:space="preserve">5.10</w:t>
      </w:r>
      <w:r>
        <w:t xml:space="preserve"> </w:t>
      </w:r>
      <w:r>
        <w:t xml:space="preserve">Energiestandard. Haus C wird nach den Anforderungen des Gebäudeenergiegesetzes (GEG) in der zum Bauantrag geltenden Fassung errichtet und an die Quartiers-Wärmeversorgung (Wärmepumpe mit Spitzenlastkessel) angeschlossen. Eine bestimmte KfW-Effizienzhausklasse oder Förderfähigkeit wird nicht geschuldet, soweit nicht in der Baubeschreibung mit Kennwert vereinbart.</w:t>
      </w:r>
    </w:p>
    <w:p>
      <w:pPr>
        <w:pStyle w:val="BodyText"/>
      </w:pPr>
      <w:r>
        <w:rPr>
          <w:bCs/>
          <w:b/>
        </w:rPr>
        <w:t xml:space="preserve">5.11</w:t>
      </w:r>
      <w:r>
        <w:t xml:space="preserve"> </w:t>
      </w:r>
      <w:r>
        <w:t xml:space="preserve">Baugrund und Baugrube liegen im Verantwortungsbereich des Verkäufers als Bauherr. Der geotechnische Bericht „ME-2026/07” der NordGrund GmbH vom 03.03.2026 ist dem Käufer im Datenraum zugänglich. Quartiertypische Einwirkungen aus der weiteren Bautätigkeit (Lärm, Staub, temporäre Wegeführung) sind hinzunehmen, soweit sie die Nutzbarkeit nicht dauerhaft aufheben; sie lassen die Herstellungspflicht und die Mängelrechte im Übrigen unberührt.</w:t>
      </w:r>
    </w:p>
    <w:p>
      <w:r>
        <w:br w:type="page"/>
      </w:r>
    </w:p>
    <w:bookmarkEnd w:id="29"/>
    <w:bookmarkStart w:id="30" w:name="besitzübergang-abnahme"/>
    <w:p>
      <w:pPr>
        <w:pStyle w:val="Heading1"/>
      </w:pPr>
      <w:r>
        <w:t xml:space="preserve">§ 6 Besitzübergang, Abnahme</w:t>
      </w:r>
    </w:p>
    <w:p>
      <w:pPr>
        <w:pStyle w:val="FirstParagraph"/>
      </w:pPr>
      <w:r>
        <w:rPr>
          <w:bCs/>
          <w:b/>
        </w:rPr>
        <w:t xml:space="preserve">6.1</w:t>
      </w:r>
      <w:r>
        <w:t xml:space="preserve"> </w:t>
      </w:r>
      <w:r>
        <w:t xml:space="preserve">Besitz, Nutzen, Lasten und Gefahr gehen mit Übergabe der Sondereigentumseinheit über. Die Übergabe erfolgt Zug um Zug gegen Zahlung der bis dahin fälligen Raten; das gesetzliche Zurückbehaltungsrecht des Käufers wegen festgestellter Mängel bleibt unberührt.</w:t>
      </w:r>
    </w:p>
    <w:p>
      <w:pPr>
        <w:pStyle w:val="BodyText"/>
      </w:pPr>
      <w:r>
        <w:rPr>
          <w:bCs/>
          <w:b/>
        </w:rPr>
        <w:t xml:space="preserve">6.2</w:t>
      </w:r>
      <w:r>
        <w:t xml:space="preserve"> </w:t>
      </w:r>
      <w:r>
        <w:t xml:space="preserve">Abnahme der Sondereigentumseinheit. Der Verkäufer zeigt die bezugsfertige Herstellung an und lädt zu einer gemeinsamen Begehung. Über die Abnahme wird ein Protokoll mit Mängeln und Restarbeiten erstellt; der Käufer kann eine Person seines Vertrauens hinzuziehen. Erscheint der Käufer nach Aufforderung und Ablauf einer angemessenen Frist ohne Angabe wesentlicher Mängel nicht, kann die Abnahme nach § 640 Abs. 2 BGB als erfolgt gelten; hierauf und auf die Folgen ist der Käufer als Verbraucher in der Aufforderung in Textform hinzuweisen.</w:t>
      </w:r>
    </w:p>
    <w:p>
      <w:pPr>
        <w:pStyle w:val="BodyText"/>
      </w:pPr>
      <w:r>
        <w:rPr>
          <w:bCs/>
          <w:b/>
        </w:rPr>
        <w:t xml:space="preserve">6.3</w:t>
      </w:r>
      <w:r>
        <w:t xml:space="preserve"> </w:t>
      </w:r>
      <w:r>
        <w:t xml:space="preserve">Abnahme des Gemeinschaftseigentums. Jeder Erwerber bleibt berechtigt, das Gemeinschaftseigentum auf seine Abnahmereife selbst oder durch eine Person seines Vertrauens zu prüfen und die Abnahme persönlich zu erklären oder zu verweigern. Der Verkäufer bietet zur Koordination einen gemeinsamen Abnahmetermin unter Hinzuziehung eines öffentlich bestellten und vereidigten Sachverständigen an; dessen Feststellungen sind ein Vorschlag und binden den einzelnen Erwerber nicht. Eine Übertragung der Abnahme auf den Verkäufer, eine ihm nahestehende Person, den Erstverwalter oder einen vom Verkäufer benannten Dritten mit bindender Wirkung für den Erwerber findet nicht statt; eine Abnahmefiktion durch bloßen Zeitablauf oder durch Erklärung eines Dritten ist ausgeschlossen.</w:t>
      </w:r>
    </w:p>
    <w:p>
      <w:r>
        <w:br w:type="page"/>
      </w:r>
    </w:p>
    <w:bookmarkEnd w:id="30"/>
    <w:bookmarkStart w:id="31" w:name="erschließungs--und-anschlusskosten"/>
    <w:p>
      <w:pPr>
        <w:pStyle w:val="Heading1"/>
      </w:pPr>
      <w:r>
        <w:t xml:space="preserve">§ 7 Erschließungs- und Anschlusskosten</w:t>
      </w:r>
    </w:p>
    <w:p>
      <w:pPr>
        <w:pStyle w:val="FirstParagraph"/>
      </w:pPr>
      <w:r>
        <w:rPr>
          <w:bCs/>
          <w:b/>
        </w:rPr>
        <w:t xml:space="preserve">7.1</w:t>
      </w:r>
      <w:r>
        <w:t xml:space="preserve"> </w:t>
      </w:r>
      <w:r>
        <w:t xml:space="preserve">Die Kosten der erstmaligen Erschließung und der Anschlüsse an Ver- und Entsorgungsanlagen trägt der Käufer anteilig nach seinem Miteigentumsanteil, soweit sie nicht bereits im Kaufpreis enthalten sind.</w:t>
      </w:r>
    </w:p>
    <w:p>
      <w:pPr>
        <w:pStyle w:val="BodyText"/>
      </w:pPr>
      <w:r>
        <w:rPr>
          <w:bCs/>
          <w:b/>
        </w:rPr>
        <w:t xml:space="preserve">7.2</w:t>
      </w:r>
      <w:r>
        <w:t xml:space="preserve"> </w:t>
      </w:r>
      <w:r>
        <w:t xml:space="preserve">Der Verkäufer schätzt die auf den Käufer entfallenden Erschließungs- und Anschlusskosten auf voraussichtlich 9.000,00 EUR bis 14.000,00 EUR. Die Schätzung beruht auf den derzeit bekannten Bescheiden und Satzungen; maßgeblich ist die spätere behördliche Abrechnung.</w:t>
      </w:r>
    </w:p>
    <w:p>
      <w:r>
        <w:br w:type="page"/>
      </w:r>
    </w:p>
    <w:bookmarkEnd w:id="31"/>
    <w:bookmarkStart w:id="32" w:name="X95a8d91ab13c2e8761b739cae98aa801cad362c"/>
    <w:p>
      <w:pPr>
        <w:pStyle w:val="Heading1"/>
      </w:pPr>
      <w:r>
        <w:t xml:space="preserve">§ 8 Zutritt zur Baustelle, eigene Sachverständige</w:t>
      </w:r>
    </w:p>
    <w:p>
      <w:pPr>
        <w:pStyle w:val="FirstParagraph"/>
      </w:pPr>
      <w:r>
        <w:rPr>
          <w:bCs/>
          <w:b/>
        </w:rPr>
        <w:t xml:space="preserve">8.1</w:t>
      </w:r>
      <w:r>
        <w:t xml:space="preserve"> </w:t>
      </w:r>
      <w:r>
        <w:t xml:space="preserve">Der Käufer darf die Baustelle aus Gründen der Verkehrssicherheit nur nach Anmeldung und in Begleitung betreten. Der Verkäufer ermöglicht dem Käufer Besichtigungen jedenfalls zu den für die Ratenfälligkeit maßgeblichen Bautenständen (Rohbau, Fenstereinbau, Estrich, Bezugsfertigkeit) sowie zur Abnahme.</w:t>
      </w:r>
    </w:p>
    <w:p>
      <w:pPr>
        <w:pStyle w:val="BodyText"/>
      </w:pPr>
      <w:r>
        <w:rPr>
          <w:bCs/>
          <w:b/>
        </w:rPr>
        <w:t xml:space="preserve">8.2</w:t>
      </w:r>
      <w:r>
        <w:t xml:space="preserve"> </w:t>
      </w:r>
      <w:r>
        <w:t xml:space="preserve">Der Käufer darf zu diesen Terminen einen eigenen Sachverständigen oder Bauingenieur hinzuziehen, der den Bautenstand prüft, die eigene Einheit und die für sie maßgeblichen Gemeinschaftsbereiche dokumentiert und an der Abnahme teilnimmt. Weisungen an Baubeteiligte erteilt der Sachverständige nicht. Ein prüffähiger Bautenstandsvermerk des Sachverständigen ist für die Frage der Ratenfälligkeit (§ 3.2) zu berücksichtigen.</w:t>
      </w:r>
    </w:p>
    <w:p>
      <w:r>
        <w:br w:type="page"/>
      </w:r>
    </w:p>
    <w:bookmarkEnd w:id="32"/>
    <w:bookmarkStart w:id="33" w:name="mängelrechte-verjährung"/>
    <w:p>
      <w:pPr>
        <w:pStyle w:val="Heading1"/>
      </w:pPr>
      <w:r>
        <w:t xml:space="preserve">§ 9 Mängelrechte, Verjährung</w:t>
      </w:r>
    </w:p>
    <w:p>
      <w:pPr>
        <w:pStyle w:val="FirstParagraph"/>
      </w:pPr>
      <w:r>
        <w:rPr>
          <w:bCs/>
          <w:b/>
        </w:rPr>
        <w:t xml:space="preserve">9.1</w:t>
      </w:r>
      <w:r>
        <w:t xml:space="preserve"> </w:t>
      </w:r>
      <w:r>
        <w:t xml:space="preserve">Für das herzustellende Bauwerk gelten die Mängelrechte des Werkvertragsrechts (§§ 633 ff. BGB) ohne Einschränkung. Für den Grund und Boden im Übrigen sind Sachmängelansprüche ausgeschlossen, ausgenommen Vorsatz und arglistig verschwiegene Mängel.</w:t>
      </w:r>
    </w:p>
    <w:p>
      <w:pPr>
        <w:pStyle w:val="BodyText"/>
      </w:pPr>
      <w:r>
        <w:rPr>
          <w:bCs/>
          <w:b/>
        </w:rPr>
        <w:t xml:space="preserve">9.2</w:t>
      </w:r>
      <w:r>
        <w:t xml:space="preserve"> </w:t>
      </w:r>
      <w:r>
        <w:t xml:space="preserve">Die Verjährungsfrist für Mängelansprüche am Bauwerk beträgt fünf Jahre ab Abnahme (§ 634a Abs. 1 Nr. 2 BGB).</w:t>
      </w:r>
    </w:p>
    <w:p>
      <w:pPr>
        <w:pStyle w:val="BodyText"/>
      </w:pPr>
      <w:r>
        <w:rPr>
          <w:bCs/>
          <w:b/>
        </w:rPr>
        <w:t xml:space="preserve">9.3</w:t>
      </w:r>
      <w:r>
        <w:t xml:space="preserve"> </w:t>
      </w:r>
      <w:r>
        <w:t xml:space="preserve">Mängel sollen dem Verkäufer in Textform an die Gewährleistungsstelle des Verkäufers angezeigt werden; die Anzeige ist Obliegenheit und keine Voraussetzung für den Bestand der Mängelrechte. Der Käufer setzt dem Verkäufer zur Nacherfüllung eine angemessene Frist. Nach erfolglosem Fristablauf bleiben die gesetzlichen Rechte einschließlich Selbstvornahme und Kostenvorschuss (§ 637 BGB), Minderung, Rücktritt und Schadensersatz unberührt.</w:t>
      </w:r>
    </w:p>
    <w:p>
      <w:pPr>
        <w:pStyle w:val="BodyText"/>
      </w:pPr>
      <w:r>
        <w:rPr>
          <w:bCs/>
          <w:b/>
        </w:rPr>
        <w:t xml:space="preserve">9.4</w:t>
      </w:r>
      <w:r>
        <w:t xml:space="preserve"> </w:t>
      </w:r>
      <w:r>
        <w:t xml:space="preserve">Bei wartungsabhängigen Bauteilen gelten die übergebenen Wartungs- und Bedienungshinweise. Verschleiß bei bestimmungsgemäßem Gebrauch ist kein Mangel. Eine Verkürzung der gesetzlichen Mängelverjährung oder eine Beweislastverschiebung zulasten des Käufers ist mit dieser Regelung nicht verbunden.</w:t>
      </w:r>
    </w:p>
    <w:p>
      <w:r>
        <w:br w:type="page"/>
      </w:r>
    </w:p>
    <w:bookmarkEnd w:id="33"/>
    <w:bookmarkStart w:id="34" w:name="vormerkung"/>
    <w:p>
      <w:pPr>
        <w:pStyle w:val="Heading1"/>
      </w:pPr>
      <w:r>
        <w:t xml:space="preserve">§ 10 Vormerkung</w:t>
      </w:r>
    </w:p>
    <w:p>
      <w:pPr>
        <w:pStyle w:val="FirstParagraph"/>
      </w:pPr>
      <w:r>
        <w:rPr>
          <w:bCs/>
          <w:b/>
        </w:rPr>
        <w:t xml:space="preserve">10.1</w:t>
      </w:r>
      <w:r>
        <w:t xml:space="preserve"> </w:t>
      </w:r>
      <w:r>
        <w:t xml:space="preserve">Zur Sicherung des Anspruchs des Käufers auf Eigentumsverschaffung wird eine Auflassungsvormerkung nach § 883 BGB zugunsten des Käufers im Wohnungsgrundbuch eingetragen.</w:t>
      </w:r>
    </w:p>
    <w:p>
      <w:pPr>
        <w:pStyle w:val="BodyText"/>
      </w:pPr>
      <w:r>
        <w:rPr>
          <w:bCs/>
          <w:b/>
        </w:rPr>
        <w:t xml:space="preserve">10.2</w:t>
      </w:r>
      <w:r>
        <w:t xml:space="preserve"> </w:t>
      </w:r>
      <w:r>
        <w:t xml:space="preserve">Der Käufer erteilt die Bewilligung zur Löschung der Vormerkung und übergibt sie der Notarin treuhänderisch. Die Notarin darf von der Bewilligung nur Gebrauch machen, wenn feststeht, dass der gesicherte Anspruch endgültig nicht mehr besteht (insbesondere nach wirksamem Rücktritt oder einvernehmlicher Aufhebung)</w:t>
      </w:r>
      <w:r>
        <w:t xml:space="preserve"> </w:t>
      </w:r>
      <w:r>
        <w:rPr>
          <w:bCs/>
          <w:b/>
        </w:rPr>
        <w:t xml:space="preserve">und</w:t>
      </w:r>
      <w:r>
        <w:t xml:space="preserve"> </w:t>
      </w:r>
      <w:r>
        <w:t xml:space="preserve">dem Käufer geleistete Zahlungen Zug um Zug zurückgewährt sind oder hierfür Sicherheit geleistet ist. Eine Löschung allein aufgrund einer einseitigen Verzugsbehauptung des Verkäufers ist ausgeschlossen.</w:t>
      </w:r>
    </w:p>
    <w:p>
      <w:pPr>
        <w:pStyle w:val="BodyText"/>
      </w:pPr>
      <w:r>
        <w:rPr>
          <w:bCs/>
          <w:b/>
        </w:rPr>
        <w:t xml:space="preserve">10.3</w:t>
      </w:r>
      <w:r>
        <w:t xml:space="preserve"> </w:t>
      </w:r>
      <w:r>
        <w:t xml:space="preserve">Der Käufer beantragt die Löschung der Vormerkung Zug um Zug mit Vollzug der Auflassung.</w:t>
      </w:r>
    </w:p>
    <w:p>
      <w:r>
        <w:br w:type="page"/>
      </w:r>
    </w:p>
    <w:bookmarkEnd w:id="34"/>
    <w:bookmarkStart w:id="35" w:name="auflassung"/>
    <w:p>
      <w:pPr>
        <w:pStyle w:val="Heading1"/>
      </w:pPr>
      <w:r>
        <w:t xml:space="preserve">§ 11 Auflassung</w:t>
      </w:r>
    </w:p>
    <w:p>
      <w:pPr>
        <w:pStyle w:val="FirstParagraph"/>
      </w:pPr>
      <w:r>
        <w:t xml:space="preserve">Verkäufer und Käufer sind über den Eigentumsübergang einig und bewilligen und beantragen die Eintragung. Die Notarin wird angewiesen, die Auflassung erst nach vollständiger Kaufpreiszahlung und nach Vorliegen der Lastenfreistellung für den Kaufgegenstand zur Eintragung zu bringen.</w:t>
      </w:r>
    </w:p>
    <w:p>
      <w:r>
        <w:br w:type="page"/>
      </w:r>
    </w:p>
    <w:bookmarkEnd w:id="35"/>
    <w:bookmarkStart w:id="36" w:name="vollmachten"/>
    <w:p>
      <w:pPr>
        <w:pStyle w:val="Heading1"/>
      </w:pPr>
      <w:r>
        <w:t xml:space="preserve">§ 12 Vollmachten</w:t>
      </w:r>
    </w:p>
    <w:p>
      <w:pPr>
        <w:pStyle w:val="FirstParagraph"/>
      </w:pPr>
      <w:r>
        <w:rPr>
          <w:bCs/>
          <w:b/>
        </w:rPr>
        <w:t xml:space="preserve">12.1</w:t>
      </w:r>
      <w:r>
        <w:t xml:space="preserve"> </w:t>
      </w:r>
      <w:r>
        <w:t xml:space="preserve">Der Käufer bevollmächtigt den Verkäufer, die Teilungserklärung einschließlich Gemeinschaftsordnung und die Aufteilungspläne zu ändern oder zu ergänzen, soweit dies zum Vollzug der Aufteilung, zur Berichtigung offenbarer Unrichtigkeiten, zur Anpassung an behördliche Auflagen oder zur zeichnerischen Anpassung nach der Ausführungsplanung erforderlich ist. Die Vollmacht berechtigt nicht zu Änderungen, die den Miteigentumsanteil, die Lage, den Zuschnitt, den Wert, die Nutzbarkeit, die Kostenlast, die Stimmrechte oder die Sondernutzungsrechte des Käufers nachteilig berühren; solche Änderungen bedürfen seiner gesonderten Zustimmung.</w:t>
      </w:r>
    </w:p>
    <w:p>
      <w:pPr>
        <w:pStyle w:val="BodyText"/>
      </w:pPr>
      <w:r>
        <w:rPr>
          <w:bCs/>
          <w:b/>
        </w:rPr>
        <w:t xml:space="preserve">12.2</w:t>
      </w:r>
      <w:r>
        <w:t xml:space="preserve"> </w:t>
      </w:r>
      <w:r>
        <w:t xml:space="preserve">Die Vollmacht ist von den Beschränkungen des § 181 BGB befreit und im Innenverhältnis nur im vorstehenden Rahmen und unter Wahrung der berechtigten Interessen des Käufers auszuüben. Der Verkäufer teilt dem Käufer Gebrauch und Inhalt der Änderung in Textform mit.</w:t>
      </w:r>
    </w:p>
    <w:p>
      <w:pPr>
        <w:pStyle w:val="BodyText"/>
      </w:pPr>
      <w:r>
        <w:rPr>
          <w:bCs/>
          <w:b/>
        </w:rPr>
        <w:t xml:space="preserve">12.3</w:t>
      </w:r>
      <w:r>
        <w:t xml:space="preserve"> </w:t>
      </w:r>
      <w:r>
        <w:t xml:space="preserve">Der Käufer bevollmächtigt den Verkäufer ferner, die zum Vollzug dieses Vertrages erforderlichen verfahrensrechtlichen Erklärungen gegenüber Grundbuchamt und Behörden abzugeben.</w:t>
      </w:r>
    </w:p>
    <w:p>
      <w:r>
        <w:br w:type="page"/>
      </w:r>
    </w:p>
    <w:bookmarkEnd w:id="36"/>
    <w:bookmarkStart w:id="37" w:name="schlussbestimmungen"/>
    <w:p>
      <w:pPr>
        <w:pStyle w:val="Heading1"/>
      </w:pPr>
      <w:r>
        <w:t xml:space="preserve">§ 13 Schlussbestimmungen</w:t>
      </w:r>
    </w:p>
    <w:p>
      <w:pPr>
        <w:pStyle w:val="FirstParagraph"/>
      </w:pPr>
      <w:r>
        <w:rPr>
          <w:bCs/>
          <w:b/>
        </w:rPr>
        <w:t xml:space="preserve">13.1</w:t>
      </w:r>
      <w:r>
        <w:t xml:space="preserve"> </w:t>
      </w:r>
      <w:r>
        <w:t xml:space="preserve">Mündliche Nebenabreden bestehen nicht. Änderungen bedürfen der notariellen Beurkundung, soweit gesetzlich vorgeschrieben.</w:t>
      </w:r>
    </w:p>
    <w:p>
      <w:pPr>
        <w:pStyle w:val="BodyText"/>
      </w:pPr>
      <w:r>
        <w:rPr>
          <w:bCs/>
          <w:b/>
        </w:rPr>
        <w:t xml:space="preserve">13.2</w:t>
      </w:r>
      <w:r>
        <w:t xml:space="preserve"> </w:t>
      </w:r>
      <w:r>
        <w:t xml:space="preserve">Ist eine Bestimmung unwirksam, bleibt der Vertrag im Übrigen wirksam; an die Stelle der unwirksamen Bestimmung tritt die gesetzliche Regelung (§ 306 BGB).</w:t>
      </w:r>
    </w:p>
    <w:p>
      <w:pPr>
        <w:pStyle w:val="BodyText"/>
      </w:pPr>
      <w:r>
        <w:rPr>
          <w:bCs/>
          <w:b/>
        </w:rPr>
        <w:t xml:space="preserve">13.3</w:t>
      </w:r>
      <w:r>
        <w:t xml:space="preserve"> </w:t>
      </w:r>
      <w:r>
        <w:t xml:space="preserve">Die Kosten dieser Urkunde und ihres Vollzugs trägt der Käufer. Der gesetzliche Verbrauchergerichtsstand bleibt unberührt; eine Abweichung von § 29c ZPO wird nicht vereinbart.</w:t>
      </w:r>
    </w:p>
    <w:p>
      <w:pPr>
        <w:pStyle w:val="BodyText"/>
      </w:pPr>
      <w:r>
        <w:rPr>
          <w:bCs/>
          <w:b/>
        </w:rPr>
        <w:t xml:space="preserve">13.4</w:t>
      </w:r>
      <w:r>
        <w:t xml:space="preserve"> </w:t>
      </w:r>
      <w:r>
        <w:t xml:space="preserve">Der Käufer trägt die auf seine Einheit entfallenden Kosten der erstmaligen Einrichtung der WEG-Verwaltung. Der erste Verwalter wird für höchstens drei Jahre bestellt (§ 26 Abs. 2 WEG). Wartungs- und Betriebsführungsverträge für die Erstbetriebsphase werden mit ordentlicher Kündigungsmöglichkeit zum Ablauf des zweiten Betriebsjahres abgeschlossen; eine längere Bindung der Gemeinschaft an Unternehmen des Verkäuferumfeldes erfolgt nicht.</w:t>
      </w:r>
    </w:p>
    <w:p>
      <w:r>
        <w:br w:type="page"/>
      </w:r>
    </w:p>
    <w:bookmarkEnd w:id="37"/>
    <w:bookmarkStart w:id="38" w:name="belehrungen"/>
    <w:p>
      <w:pPr>
        <w:pStyle w:val="Heading1"/>
      </w:pPr>
      <w:r>
        <w:t xml:space="preserve">§ 14 Belehrungen</w:t>
      </w:r>
    </w:p>
    <w:p>
      <w:pPr>
        <w:pStyle w:val="FirstParagraph"/>
      </w:pPr>
      <w:r>
        <w:t xml:space="preserve">Die Notarin hat die Beteiligten belehrt über Inhalt und Bedeutung des Vertrages, die Eigentumsübertragung erst mit Grundbucheintragung, die Bedeutung der Auflassungsvormerkung und der Belastungsvollmacht, die MaBV-Fälligkeitsvoraussetzungen, die 5-%-Sicherheit nach § 650m Abs. 2 BGB, die fünfjährige Mängelverjährung sowie die Möglichkeit, eigene technische Berater hinzuzuziehen. Sie hat darauf hingewiesen, dass sie als unparteiische Amtsträgerin keine wirtschaftliche, steuerliche oder bautechnische Beratung übernimmt und Baugrund, Bauüberwachung und Wirtschaftlichkeit von Wartungsverträgen nicht geprüft hat.</w:t>
      </w:r>
    </w:p>
    <w:p>
      <w:r>
        <w:br w:type="page"/>
      </w:r>
    </w:p>
    <w:bookmarkEnd w:id="38"/>
    <w:bookmarkStart w:id="39" w:name="X4f67cac4119bae2ce85a655d240d61c8e478a46"/>
    <w:p>
      <w:pPr>
        <w:pStyle w:val="Heading1"/>
      </w:pPr>
      <w:r>
        <w:t xml:space="preserve">Bezugsurkunden, Anlagen und Vollzugshinweise</w:t>
      </w:r>
    </w:p>
    <w:p>
      <w:pPr>
        <w:pStyle w:val="FirstParagraph"/>
      </w:pPr>
      <w:r>
        <w:rPr>
          <w:bCs/>
          <w:b/>
        </w:rPr>
        <w:t xml:space="preserve">Bezugsurkunde 1</w:t>
      </w:r>
      <w:r>
        <w:t xml:space="preserve"> </w:t>
      </w:r>
      <w:r>
        <w:t xml:space="preserve">— Teilungserklärung einschließlich Gemeinschaftsordnung vom 21. Oktober 2025, UR-Nr. 1502/2025, nebst 1. Nachtrag vom 09. Februar 2026, UR-Nr. 188/2026.</w:t>
      </w:r>
    </w:p>
    <w:p>
      <w:pPr>
        <w:pStyle w:val="BodyText"/>
      </w:pPr>
      <w:r>
        <w:rPr>
          <w:bCs/>
          <w:b/>
        </w:rPr>
        <w:t xml:space="preserve">Anlage Baubeschreibung</w:t>
      </w:r>
      <w:r>
        <w:t xml:space="preserve"> </w:t>
      </w:r>
      <w:r>
        <w:t xml:space="preserve">— Baubeschreibung Fassung Mai 2026, Version 3.0; mitbeurkundeter Bestandteil dieser Urkunde und des geschuldeten Bausolls.</w:t>
      </w:r>
    </w:p>
    <w:p>
      <w:pPr>
        <w:pStyle w:val="BodyText"/>
      </w:pPr>
      <w:r>
        <w:t xml:space="preserve">Die Notarin wird mit dem Vollzug beauftragt und stellt Anträge erst, wenn die erforderlichen Erklärungen und Nachweise vorliegen. Mitteilungen über den Eintritt der Fälligkeitsvoraussetzungen nach § 3 erfolgen schriftlich an beide Parteien.</w:t>
      </w:r>
    </w:p>
    <w:p>
      <w:r>
        <w:br w:type="page"/>
      </w:r>
    </w:p>
    <w:bookmarkEnd w:id="39"/>
    <w:bookmarkStart w:id="40" w:name="geschäftswert-und-kosten"/>
    <w:p>
      <w:pPr>
        <w:pStyle w:val="Heading1"/>
      </w:pPr>
      <w:r>
        <w:t xml:space="preserve">Geschäftswert und Kosten</w:t>
      </w:r>
    </w:p>
    <w:p>
      <w:pPr>
        <w:pStyle w:val="FirstParagraph"/>
      </w:pPr>
      <w:r>
        <w:t xml:space="preserve">Der Geschäftswert dieser Urkunde wird mit dem Gesamtkaufpreis von 674.000,00 EUR angegeben. Die Kosten dieser Urkunde und ihres Vollzugs trägt nach § 13.3 der Käufer.</w:t>
      </w:r>
    </w:p>
    <w:p>
      <w:r>
        <w:br w:type="page"/>
      </w:r>
    </w:p>
    <w:bookmarkEnd w:id="40"/>
    <w:bookmarkStart w:id="41" w:name="unterschriften"/>
    <w:p>
      <w:pPr>
        <w:pStyle w:val="Heading1"/>
      </w:pPr>
      <w:r>
        <w:t xml:space="preserve">Unterschriften</w:t>
      </w:r>
    </w:p>
    <w:p>
      <w:pPr>
        <w:pStyle w:val="FirstParagraph"/>
      </w:pPr>
      <w:r>
        <w:t xml:space="preserve">Diese Niederschrift nebst Anlage Baubeschreibung wurde den Erschienenen von der Notarin vorgelesen, von ihnen genehmigt und sodann eigenhändig unterschrieben:</w:t>
      </w:r>
    </w:p>
    <w:p>
      <w:pPr>
        <w:pStyle w:val="BodyText"/>
      </w:pPr>
      <w:r>
        <w:br/>
      </w:r>
    </w:p>
    <w:p>
      <w:pPr>
        <w:pStyle w:val="BodyText"/>
      </w:pPr>
      <w:r>
        <w:br/>
      </w:r>
    </w:p>
    <w:p>
      <w:pPr>
        <w:pStyle w:val="BodyText"/>
      </w:pPr>
      <w:r>
        <w:t xml:space="preserve">——————————————————————————</w:t>
      </w:r>
    </w:p>
    <w:p>
      <w:pPr>
        <w:pStyle w:val="BodyText"/>
      </w:pPr>
      <w:r>
        <w:t xml:space="preserve">Gisbert Tönnemann-Loose (für Verkäufer)</w:t>
      </w:r>
    </w:p>
    <w:p>
      <w:pPr>
        <w:pStyle w:val="BodyText"/>
      </w:pPr>
      <w:r>
        <w:br/>
      </w:r>
    </w:p>
    <w:p>
      <w:pPr>
        <w:pStyle w:val="BodyText"/>
      </w:pPr>
      <w:r>
        <w:br/>
      </w:r>
    </w:p>
    <w:p>
      <w:pPr>
        <w:pStyle w:val="BodyText"/>
      </w:pPr>
      <w:r>
        <w:t xml:space="preserve">——————————————————————————</w:t>
      </w:r>
    </w:p>
    <w:p>
      <w:pPr>
        <w:pStyle w:val="BodyText"/>
      </w:pPr>
      <w:r>
        <w:t xml:space="preserve">Dr. Henrike Salentin-Voßkamp (Käufer)</w:t>
      </w:r>
    </w:p>
    <w:p>
      <w:pPr>
        <w:pStyle w:val="BodyText"/>
      </w:pPr>
      <w:r>
        <w:br/>
      </w:r>
    </w:p>
    <w:p>
      <w:pPr>
        <w:pStyle w:val="BodyText"/>
      </w:pPr>
      <w:r>
        <w:br/>
      </w:r>
    </w:p>
    <w:p>
      <w:pPr>
        <w:pStyle w:val="BodyText"/>
      </w:pPr>
      <w:r>
        <w:t xml:space="preserve">——————————————————————————</w:t>
      </w:r>
    </w:p>
    <w:p>
      <w:pPr>
        <w:pStyle w:val="BodyText"/>
      </w:pPr>
      <w:r>
        <w:t xml:space="preserve">Dr. Cornelia Brakelmann-Stüve, Notarin</w:t>
      </w:r>
    </w:p>
    <w:p>
      <w:r>
        <w:br w:type="page"/>
      </w:r>
    </w:p>
    <w:bookmarkEnd w:id="41"/>
    <w:bookmarkStart w:id="43" w:name="anlage-baubeschreibung"/>
    <w:p>
      <w:pPr>
        <w:pStyle w:val="Heading1"/>
      </w:pPr>
      <w:r>
        <w:t xml:space="preserve">Anlage: Baubeschreibung</w:t>
      </w:r>
    </w:p>
    <w:p>
      <w:pPr>
        <w:pStyle w:val="FirstParagraph"/>
      </w:pPr>
      <w:r>
        <w:t xml:space="preserve">Bauvorhaben: Wohnquartier „Marewald Höfe”, Gemarkung Eilbek, Flur 12, Flurstück 344/9</w:t>
      </w:r>
    </w:p>
    <w:p>
      <w:pPr>
        <w:pStyle w:val="BodyText"/>
      </w:pPr>
      <w:r>
        <w:t xml:space="preserve">Bauträgerin: Marewald Wohnbau GmbH &amp; Co. KG, Mundsburger Damm 5, 22087 Hamburg</w:t>
      </w:r>
    </w:p>
    <w:p>
      <w:pPr>
        <w:pStyle w:val="BodyText"/>
      </w:pPr>
      <w:r>
        <w:t xml:space="preserve">Fassung: Mai 2026 — Version 3.0</w:t>
      </w:r>
    </w:p>
    <w:p>
      <w:pPr>
        <w:pStyle w:val="BodyText"/>
      </w:pPr>
      <w:r>
        <w:t xml:space="preserve">Bezug: Haus C, Wohnung C-2.14 (2. Obergeschoss) nebst Kellerabteil K-C14, Balkon B-C14 und Tiefgaragenstellplatz TG-58</w:t>
      </w:r>
    </w:p>
    <w:bookmarkStart w:id="42" w:name="vorbemerkungen-zur-baubeschreibung"/>
    <w:p>
      <w:pPr>
        <w:pStyle w:val="Heading2"/>
      </w:pPr>
      <w:r>
        <w:t xml:space="preserve">Vorbemerkungen zur Baubeschreibung</w:t>
      </w:r>
    </w:p>
    <w:p>
      <w:pPr>
        <w:pStyle w:val="FirstParagraph"/>
      </w:pPr>
      <w:r>
        <w:rPr>
          <w:bCs/>
          <w:b/>
        </w:rPr>
        <w:t xml:space="preserve">V.1</w:t>
      </w:r>
      <w:r>
        <w:t xml:space="preserve"> </w:t>
      </w:r>
      <w:r>
        <w:t xml:space="preserve">Diese Baubeschreibung beschreibt das Bausoll abschließend und ist mitbeurkundeter Bestandteil des Kaufvertrages. Wo sie konkrete Werte, Klassen oder Fabrikatsfamilien nennt, sind diese verbindlich; wo sie „gleichwertig” zulässt, ist die Gleichwertigkeit am genannten Kennwert zu messen.</w:t>
      </w:r>
    </w:p>
    <w:p>
      <w:pPr>
        <w:pStyle w:val="BodyText"/>
      </w:pPr>
      <w:r>
        <w:rPr>
          <w:bCs/>
          <w:b/>
        </w:rPr>
        <w:t xml:space="preserve">V.2</w:t>
      </w:r>
      <w:r>
        <w:t xml:space="preserve"> </w:t>
      </w:r>
      <w:r>
        <w:t xml:space="preserve">Benannte Fabrikate sind beispielhaft; der Verkäufer darf gleichwertige Produkte einsetzen, wenn der genannte Mindeststandard (Maß, Klasse, Kennwert) eingehalten wird. Ein Anspruch auf ein bestimmtes Fabrikat besteht nur, wenn es ausdrücklich als verbindlich bezeichnet ist.</w:t>
      </w:r>
    </w:p>
    <w:p>
      <w:pPr>
        <w:pStyle w:val="BodyText"/>
      </w:pPr>
      <w:r>
        <w:rPr>
          <w:bCs/>
          <w:b/>
        </w:rPr>
        <w:t xml:space="preserve">V.3</w:t>
      </w:r>
      <w:r>
        <w:t xml:space="preserve"> </w:t>
      </w:r>
      <w:r>
        <w:t xml:space="preserve">Maßangaben in Plänen sind, soweit nicht als verbindlich bezeichnet, ca.-Angaben; geringfügige, bauphysikalisch oder statisch bedingte Verschiebungen von Schächten, Unterzügen und abgehängten Decken bleiben vorbehalten und sind kein Mangel, solange die genannten Kennwerte und die Nutzbarkeit erhalten bleiben.</w:t>
      </w:r>
    </w:p>
    <w:p>
      <w:r>
        <w:br w:type="page"/>
      </w:r>
    </w:p>
    <w:bookmarkEnd w:id="42"/>
    <w:bookmarkEnd w:id="43"/>
    <w:bookmarkStart w:id="44" w:name="allgemeines-konstruktion"/>
    <w:p>
      <w:pPr>
        <w:pStyle w:val="Heading1"/>
      </w:pPr>
      <w:r>
        <w:t xml:space="preserve">1 Allgemeines, Konstruktion</w:t>
      </w:r>
    </w:p>
    <w:p>
      <w:pPr>
        <w:pStyle w:val="FirstParagraph"/>
      </w:pPr>
      <w:r>
        <w:rPr>
          <w:bCs/>
          <w:b/>
        </w:rPr>
        <w:t xml:space="preserve">1.1</w:t>
      </w:r>
      <w:r>
        <w:t xml:space="preserve"> </w:t>
      </w:r>
      <w:r>
        <w:t xml:space="preserve">Haus C wird in Massivbauweise (Stahlbeton/Mauerwerk) mit Flachdach errichtet. Die Wohnung C-2.14 liegt im 2. Obergeschoss.</w:t>
      </w:r>
    </w:p>
    <w:p>
      <w:pPr>
        <w:pStyle w:val="BodyText"/>
      </w:pPr>
      <w:r>
        <w:rPr>
          <w:bCs/>
          <w:b/>
        </w:rPr>
        <w:t xml:space="preserve">1.2</w:t>
      </w:r>
      <w:r>
        <w:t xml:space="preserve"> </w:t>
      </w:r>
      <w:r>
        <w:t xml:space="preserve">Die Ausstattung entspricht der Linie „Marewald Komfort C”. Soweit einzelne Festlegungen offenbleiben, gilt mittlere Art und Güte nach Abschnitt V und § 5.5 des Vertrages.</w:t>
      </w:r>
    </w:p>
    <w:bookmarkEnd w:id="44"/>
    <w:bookmarkStart w:id="45" w:name="baugrund-gründung-abdichtung"/>
    <w:p>
      <w:pPr>
        <w:pStyle w:val="Heading1"/>
      </w:pPr>
      <w:r>
        <w:t xml:space="preserve">2 Baugrund, Gründung, Abdichtung</w:t>
      </w:r>
    </w:p>
    <w:p>
      <w:pPr>
        <w:pStyle w:val="FirstParagraph"/>
      </w:pPr>
      <w:r>
        <w:rPr>
          <w:bCs/>
          <w:b/>
        </w:rPr>
        <w:t xml:space="preserve">2.1</w:t>
      </w:r>
      <w:r>
        <w:t xml:space="preserve"> </w:t>
      </w:r>
      <w:r>
        <w:t xml:space="preserve">Gründung und Abdichtung erfolgen nach dem geprüften Standsicherheitsnachweis und dem Abdichtungskonzept. Erdberührte Bauteile werden nach der einschlägigen Abdichtungsnorm gegen die nach Baugrundgutachten maßgebliche Wassereinwirkung abgedichtet (mindestens gegen Bodenfeuchte und nichtstauendes Sickerwasser; bei drückendem Wasser als wasserundurchlässige Konstruktion).</w:t>
      </w:r>
    </w:p>
    <w:bookmarkEnd w:id="45"/>
    <w:bookmarkStart w:id="46" w:name="fassade-wärmedämmung"/>
    <w:p>
      <w:pPr>
        <w:pStyle w:val="Heading1"/>
      </w:pPr>
      <w:r>
        <w:t xml:space="preserve">3 Fassade, Wärmedämmung</w:t>
      </w:r>
    </w:p>
    <w:p>
      <w:pPr>
        <w:pStyle w:val="FirstParagraph"/>
      </w:pPr>
      <w:r>
        <w:rPr>
          <w:bCs/>
          <w:b/>
        </w:rPr>
        <w:t xml:space="preserve">3.1</w:t>
      </w:r>
      <w:r>
        <w:t xml:space="preserve"> </w:t>
      </w:r>
      <w:r>
        <w:t xml:space="preserve">Die Außenwände erhalten ein Wärmedämmverbundsystem oder eine vorgehängte Fassade nach Fassadenkonzept Haus C. Der wärmeschutztechnische Standard entspricht mindestens den GEG-Anforderungen zum Bauantrag (§ 5.10 des Vertrages).</w:t>
      </w:r>
    </w:p>
    <w:bookmarkEnd w:id="46"/>
    <w:bookmarkStart w:id="47" w:name="fenster-außentüren"/>
    <w:p>
      <w:pPr>
        <w:pStyle w:val="Heading1"/>
      </w:pPr>
      <w:r>
        <w:t xml:space="preserve">4 Fenster, Außentüren</w:t>
      </w:r>
    </w:p>
    <w:p>
      <w:pPr>
        <w:pStyle w:val="FirstParagraph"/>
      </w:pPr>
      <w:r>
        <w:rPr>
          <w:bCs/>
          <w:b/>
        </w:rPr>
        <w:t xml:space="preserve">4.1</w:t>
      </w:r>
      <w:r>
        <w:t xml:space="preserve"> </w:t>
      </w:r>
      <w:r>
        <w:t xml:space="preserve">Fenster der Wohnung C-2.14 werden als Kunststoff- oder Kunststoff-Aluminium-Fenster mit Dreischeiben-Isolierverglasung (Uw ≤ 1,0 W/(m²·K)) ausgeführt. Mindestens die Schlafraumfenster erhalten außenliegenden Sonnenschutz; Profil, Öffnungsart und Farbton bestimmt der Verkäufer im Rahmen des Fassadenkonzepts.</w:t>
      </w:r>
    </w:p>
    <w:bookmarkEnd w:id="47"/>
    <w:bookmarkStart w:id="48" w:name="innenwände-putz-estrich"/>
    <w:p>
      <w:pPr>
        <w:pStyle w:val="Heading1"/>
      </w:pPr>
      <w:r>
        <w:t xml:space="preserve">5 Innenwände, Putz, Estrich</w:t>
      </w:r>
    </w:p>
    <w:p>
      <w:pPr>
        <w:pStyle w:val="FirstParagraph"/>
      </w:pPr>
      <w:r>
        <w:rPr>
          <w:bCs/>
          <w:b/>
        </w:rPr>
        <w:t xml:space="preserve">5.1</w:t>
      </w:r>
      <w:r>
        <w:t xml:space="preserve"> </w:t>
      </w:r>
      <w:r>
        <w:t xml:space="preserve">Wohnungstrennwände und Wände zum Treppenhaus werden nach Schallschutzanforderung (Abschnitt 11) ausgeführt. Innenwände werden verputzt oder in Trockenbau hergestellt und malerfertig vorbereitet; ein Anstrich der Wohnräume ist nicht enthalten. In den Wohnräumen wird ein schwimmender Estrich auf Trittschalldämmung eingebracht.</w:t>
      </w:r>
    </w:p>
    <w:bookmarkEnd w:id="48"/>
    <w:bookmarkStart w:id="49" w:name="bodenbeläge-fliesen"/>
    <w:p>
      <w:pPr>
        <w:pStyle w:val="Heading1"/>
      </w:pPr>
      <w:r>
        <w:t xml:space="preserve">6 Bodenbeläge, Fliesen</w:t>
      </w:r>
    </w:p>
    <w:p>
      <w:pPr>
        <w:pStyle w:val="FirstParagraph"/>
      </w:pPr>
      <w:r>
        <w:rPr>
          <w:bCs/>
          <w:b/>
        </w:rPr>
        <w:t xml:space="preserve">6.1</w:t>
      </w:r>
      <w:r>
        <w:t xml:space="preserve"> </w:t>
      </w:r>
      <w:r>
        <w:t xml:space="preserve">Wohn- und Schlafräume erhalten Mehrschicht-Parkett oder Design-Vinyl der Serie MK-Boden (Nutzungsklasse mindestens 23/31). Bad und Gäste-WC erhalten Feinsteinzeugfliesen der Serie MK-Bad (Formate 30 × 60 cm oder 60 × 60 cm). Die Auswahl erfolgt in der Bemusterung aus diesen Serien.</w:t>
      </w:r>
    </w:p>
    <w:bookmarkEnd w:id="49"/>
    <w:bookmarkStart w:id="50" w:name="innentüren-wohnungseingangstür"/>
    <w:p>
      <w:pPr>
        <w:pStyle w:val="Heading1"/>
      </w:pPr>
      <w:r>
        <w:t xml:space="preserve">7 Innentüren, Wohnungseingangstür</w:t>
      </w:r>
    </w:p>
    <w:p>
      <w:pPr>
        <w:pStyle w:val="FirstParagraph"/>
      </w:pPr>
      <w:r>
        <w:rPr>
          <w:bCs/>
          <w:b/>
        </w:rPr>
        <w:t xml:space="preserve">7.1</w:t>
      </w:r>
      <w:r>
        <w:t xml:space="preserve"> </w:t>
      </w:r>
      <w:r>
        <w:t xml:space="preserve">Innentüren als glatte Zimmertüren (CPL- oder Lackoberfläche). Die Wohnungseingangstür wird als einbruchhemmende Tür mindestens der Widerstandsklasse RC 2 mit Mehrfachverriegelung und Spion ausgeführt.</w:t>
      </w:r>
    </w:p>
    <w:bookmarkEnd w:id="50"/>
    <w:bookmarkStart w:id="51" w:name="sanitär-heizung-lüftung"/>
    <w:p>
      <w:pPr>
        <w:pStyle w:val="Heading1"/>
      </w:pPr>
      <w:r>
        <w:t xml:space="preserve">8 Sanitär, Heizung, Lüftung</w:t>
      </w:r>
    </w:p>
    <w:p>
      <w:pPr>
        <w:pStyle w:val="FirstParagraph"/>
      </w:pPr>
      <w:r>
        <w:rPr>
          <w:bCs/>
          <w:b/>
        </w:rPr>
        <w:t xml:space="preserve">8.1</w:t>
      </w:r>
      <w:r>
        <w:t xml:space="preserve"> </w:t>
      </w:r>
      <w:r>
        <w:t xml:space="preserve">Bad und Gäste-WC werden mit weißen Sanitärobjekten der Serie MK-Sanitär (Waschtisch, Wand-WC, bodengleiche Dusche, in C-2.14 zusätzlich Badewanne nach Ausführungsplan) und verchromten Einhebelmischern ausgestattet.</w:t>
      </w:r>
    </w:p>
    <w:p>
      <w:pPr>
        <w:pStyle w:val="BodyText"/>
      </w:pPr>
      <w:r>
        <w:rPr>
          <w:bCs/>
          <w:b/>
        </w:rPr>
        <w:t xml:space="preserve">8.2</w:t>
      </w:r>
      <w:r>
        <w:t xml:space="preserve"> </w:t>
      </w:r>
      <w:r>
        <w:t xml:space="preserve">Beheizung und Warmwasser erfolgen über die zentrale Quartiersversorgung (Wärmepumpe mit Spitzenlastkessel) und Fußbodenheizung in allen Aufenthaltsräumen. Innenliegende Bäder erhalten eine mechanische Entlüftung; eine bestimmte kontrollierte Wohnraumlüftung mit Wärmerückgewinnung wird nur geschuldet, soweit der GEG-Nachweis sie erfordert.</w:t>
      </w:r>
    </w:p>
    <w:bookmarkEnd w:id="51"/>
    <w:bookmarkStart w:id="52" w:name="elektro-medien"/>
    <w:p>
      <w:pPr>
        <w:pStyle w:val="Heading1"/>
      </w:pPr>
      <w:r>
        <w:t xml:space="preserve">9 Elektro, Medien</w:t>
      </w:r>
    </w:p>
    <w:p>
      <w:pPr>
        <w:pStyle w:val="FirstParagraph"/>
      </w:pPr>
      <w:r>
        <w:rPr>
          <w:bCs/>
          <w:b/>
        </w:rPr>
        <w:t xml:space="preserve">9.1</w:t>
      </w:r>
      <w:r>
        <w:t xml:space="preserve"> </w:t>
      </w:r>
      <w:r>
        <w:t xml:space="preserve">Die Elektroinstallation entspricht mindestens der Ausstattungsklasse 2 nach DIN 18015-2. Die Wohnung erhält einen Multimedia-Anschluss im Wohnbereich; eine bestimmte Bandbreite oder ein bestimmter Anbieter wird nicht geschuldet. Zusätzliche Elektropunkte sind Sonderwunsch.</w:t>
      </w:r>
    </w:p>
    <w:bookmarkEnd w:id="52"/>
    <w:bookmarkStart w:id="53" w:name="tiefgarage-stellplatz"/>
    <w:p>
      <w:pPr>
        <w:pStyle w:val="Heading1"/>
      </w:pPr>
      <w:r>
        <w:t xml:space="preserve">10 Tiefgarage, Stellplatz</w:t>
      </w:r>
    </w:p>
    <w:p>
      <w:pPr>
        <w:pStyle w:val="FirstParagraph"/>
      </w:pPr>
      <w:r>
        <w:rPr>
          <w:bCs/>
          <w:b/>
        </w:rPr>
        <w:t xml:space="preserve">10.1</w:t>
      </w:r>
      <w:r>
        <w:t xml:space="preserve"> </w:t>
      </w:r>
      <w:r>
        <w:t xml:space="preserve">Die Tiefgarage wird in Stahlbeton mit maschineller Be- und Entlüftung, Bodenbeschichtung, Entwässerung und der nach Brandschutzkonzept erforderlichen Ausstattung hergestellt. Der Stellplatz TG-58 hält mindestens die bauordnungsrechtlich erforderlichen Mindestmaße ein.</w:t>
      </w:r>
    </w:p>
    <w:bookmarkEnd w:id="53"/>
    <w:bookmarkStart w:id="54" w:name="schallschutz-verbindliche-mindestwerte"/>
    <w:p>
      <w:pPr>
        <w:pStyle w:val="Heading1"/>
      </w:pPr>
      <w:r>
        <w:t xml:space="preserve">11 Schallschutz (verbindliche Mindestwerte)</w:t>
      </w:r>
    </w:p>
    <w:p>
      <w:pPr>
        <w:pStyle w:val="FirstParagraph"/>
      </w:pPr>
      <w:r>
        <w:rPr>
          <w:bCs/>
          <w:b/>
        </w:rPr>
        <w:t xml:space="preserve">11.1</w:t>
      </w:r>
      <w:r>
        <w:t xml:space="preserve"> </w:t>
      </w:r>
      <w:r>
        <w:t xml:space="preserve">Geschuldet ist mindestens der Schallschutz nach DIN 4109-1 mit folgenden verbindlichen Mindest-Kennwerten für die Wohnung C-2.14:</w:t>
      </w:r>
    </w:p>
    <w:p>
      <w:pPr>
        <w:numPr>
          <w:ilvl w:val="0"/>
          <w:numId w:val="1002"/>
        </w:numPr>
        <w:pStyle w:val="Compact"/>
      </w:pPr>
      <w:r>
        <w:t xml:space="preserve">Luftschalldämmung gegenüber fremden Wohnungen und dem Treppenhaus: bewertetes Bau-Schalldämm-Maß R′w ≥ 54 dB;</w:t>
      </w:r>
    </w:p>
    <w:p>
      <w:pPr>
        <w:numPr>
          <w:ilvl w:val="0"/>
          <w:numId w:val="1002"/>
        </w:numPr>
        <w:pStyle w:val="Compact"/>
      </w:pPr>
      <w:r>
        <w:t xml:space="preserve">Trittschallschutz von fremden Wohnungen/Treppenhaus: bewerteter Norm-Trittschallpegel L′n,w ≤ 50 dB;</w:t>
      </w:r>
    </w:p>
    <w:p>
      <w:pPr>
        <w:numPr>
          <w:ilvl w:val="0"/>
          <w:numId w:val="1002"/>
        </w:numPr>
        <w:pStyle w:val="Compact"/>
      </w:pPr>
      <w:r>
        <w:t xml:space="preserve">Schallschutz gegenüber haustechnischen Anlagen (Aufzug, Lüftung, Wasserinstallation): nach DIN 4109-1.</w:t>
      </w:r>
    </w:p>
    <w:p>
      <w:pPr>
        <w:pStyle w:val="FirstParagraph"/>
      </w:pPr>
      <w:r>
        <w:rPr>
          <w:bCs/>
          <w:b/>
        </w:rPr>
        <w:t xml:space="preserve">11.2</w:t>
      </w:r>
      <w:r>
        <w:t xml:space="preserve"> </w:t>
      </w:r>
      <w:r>
        <w:t xml:space="preserve">Ein erhöhter Schallschutz (z. B. nach VDI 4100 oder Beiblatt 2 zu DIN 4109) wird</w:t>
      </w:r>
      <w:r>
        <w:t xml:space="preserve"> </w:t>
      </w:r>
      <w:r>
        <w:rPr>
          <w:bCs/>
          <w:b/>
        </w:rPr>
        <w:t xml:space="preserve">nicht</w:t>
      </w:r>
      <w:r>
        <w:t xml:space="preserve"> </w:t>
      </w:r>
      <w:r>
        <w:t xml:space="preserve">geschuldet, soweit er nicht hier mit Kennwert vereinbart ist.</w:t>
      </w:r>
    </w:p>
    <w:bookmarkEnd w:id="54"/>
    <w:bookmarkStart w:id="55" w:name="brand--wärme--feuchteschutz"/>
    <w:p>
      <w:pPr>
        <w:pStyle w:val="Heading1"/>
      </w:pPr>
      <w:r>
        <w:t xml:space="preserve">12 Brand-, Wärme-, Feuchteschutz</w:t>
      </w:r>
    </w:p>
    <w:p>
      <w:pPr>
        <w:pStyle w:val="FirstParagraph"/>
      </w:pPr>
      <w:r>
        <w:rPr>
          <w:bCs/>
          <w:b/>
        </w:rPr>
        <w:t xml:space="preserve">12.1</w:t>
      </w:r>
      <w:r>
        <w:t xml:space="preserve"> </w:t>
      </w:r>
      <w:r>
        <w:t xml:space="preserve">Brand-, Wärme- und Feuchteschutz werden im öffentlich-rechtlich erforderlichen Umfang nachgewiesen und ausgeführt. Die hierfür erforderlichen Nachweise werden nach § 650n BGB übergeben.</w:t>
      </w:r>
    </w:p>
    <w:bookmarkEnd w:id="55"/>
    <w:bookmarkStart w:id="56" w:name="außenanlagen-balkon"/>
    <w:p>
      <w:pPr>
        <w:pStyle w:val="Heading1"/>
      </w:pPr>
      <w:r>
        <w:t xml:space="preserve">13 Außenanlagen, Balkon</w:t>
      </w:r>
    </w:p>
    <w:p>
      <w:pPr>
        <w:pStyle w:val="FirstParagraph"/>
      </w:pPr>
      <w:r>
        <w:rPr>
          <w:bCs/>
          <w:b/>
        </w:rPr>
        <w:t xml:space="preserve">13.1</w:t>
      </w:r>
      <w:r>
        <w:t xml:space="preserve"> </w:t>
      </w:r>
      <w:r>
        <w:t xml:space="preserve">Innenhof, Wege, Pflanzflächen, Fahrradräume und Spielfläche werden nach dem Freiflächenkonzept hergestellt; ihre Fertigstellung kann witterungsbedingt nach dem Bezug der Wohnung liegen, ist aber Teil der vollständigen Fertigstellung (§ 3.2, 7. Rate). Der Balkon B-C14 erhält einen Plattenbelag auf Stelzlagern und eine Entwässerung nach Ausführungsplan.</w:t>
      </w:r>
    </w:p>
    <w:bookmarkEnd w:id="56"/>
    <w:bookmarkStart w:id="57" w:name="wohnfläche-bemusterung"/>
    <w:p>
      <w:pPr>
        <w:pStyle w:val="Heading1"/>
      </w:pPr>
      <w:r>
        <w:t xml:space="preserve">14 Wohnfläche, Bemusterung</w:t>
      </w:r>
    </w:p>
    <w:p>
      <w:pPr>
        <w:pStyle w:val="FirstParagraph"/>
      </w:pPr>
      <w:r>
        <w:rPr>
          <w:bCs/>
          <w:b/>
        </w:rPr>
        <w:t xml:space="preserve">14.1</w:t>
      </w:r>
      <w:r>
        <w:t xml:space="preserve"> </w:t>
      </w:r>
      <w:r>
        <w:t xml:space="preserve">Die Wohnfläche der Wohnung C-2.14 beträgt ca. 84,6 m² nach Wohnflächenverordnung; maßgeblich ist die nach Fertigstellung tatsächlich erbrachte Ausführung mit der Anpassungsregel des § 5.9 des Vertrages.</w:t>
      </w:r>
    </w:p>
    <w:p>
      <w:pPr>
        <w:pStyle w:val="BodyText"/>
      </w:pPr>
      <w:r>
        <w:rPr>
          <w:bCs/>
          <w:b/>
        </w:rPr>
        <w:t xml:space="preserve">14.2</w:t>
      </w:r>
      <w:r>
        <w:t xml:space="preserve"> </w:t>
      </w:r>
      <w:r>
        <w:t xml:space="preserve">Die Bemusterung erfolgt aus den Serien MK-Boden, MK-Bad, MK-Sanitär und MK-Tür. Drei Beratungsstunden sind im Kaufpreis enthalten; weiterer Aufwand wird nach § 3.5 des Vertrages vergütet. Auswahlen außerhalb dieser Serien sind Sonderwünsche.</w:t>
      </w:r>
    </w:p>
    <w:bookmarkEnd w:id="57"/>
    <w:bookmarkStart w:id="58" w:name="schlussbestimmungen-der-baubeschreibung"/>
    <w:p>
      <w:pPr>
        <w:pStyle w:val="Heading1"/>
      </w:pPr>
      <w:r>
        <w:t xml:space="preserve">Schlussbestimmungen der Baubeschreibung</w:t>
      </w:r>
    </w:p>
    <w:p>
      <w:pPr>
        <w:pStyle w:val="FirstParagraph"/>
      </w:pPr>
      <w:r>
        <w:t xml:space="preserve">Diese Baubeschreibung ist mit dem Kaufvertrag mitbeurkundet. Bei Widersprüchen zwischen Baubeschreibung, Plänen und Vertragstext gilt die für den Käufer günstigere Auslegung, soweit sich aus dem Vertrag nichts Eindeutiges ergibt (§ 305c Abs. 2 BGB).</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2026-06-18T19:27:52Z</dcterms:created>
  <dcterms:modified xsi:type="dcterms:W3CDTF">2026-06-18T19:27:52Z</dcterms:modified>
</cp:coreProperties>
</file>

<file path=docProps/custom.xml><?xml version="1.0" encoding="utf-8"?>
<Properties xmlns="http://schemas.openxmlformats.org/officeDocument/2006/custom-properties" xmlns:vt="http://schemas.openxmlformats.org/officeDocument/2006/docPropsVTypes"/>
</file>