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Wohnungsbauträgervertrag mit Auflassung — UR-Nr. 188/2026 KQ</w:t>
      </w:r>
    </w:p>
    <w:p>
      <w:pPr>
        <w:pStyle w:val="Subtitle"/>
      </w:pPr>
      <w:r>
        <w:t xml:space="preserve">Fiktive notarielle Urkunde zu Schulungszwecken</w:t>
      </w:r>
    </w:p>
    <w:p>
      <w:r>
        <w:br w:type="page"/>
      </w:r>
    </w:p>
    <w:bookmarkStart w:id="10" w:name="ur-nr.-1882026-kq"/>
    <w:p>
      <w:pPr>
        <w:pStyle w:val="Heading1"/>
      </w:pPr>
      <w:r>
        <w:t xml:space="preserve">UR-Nr. 188/2026 KQ</w:t>
      </w:r>
    </w:p>
    <w:bookmarkStart w:id="9" w:name="verhandelt"/>
    <w:p>
      <w:pPr>
        <w:pStyle w:val="Heading2"/>
      </w:pPr>
      <w:r>
        <w:t xml:space="preserve">Verhandelt</w:t>
      </w:r>
    </w:p>
    <w:p>
      <w:pPr>
        <w:pStyle w:val="FirstParagraph"/>
      </w:pPr>
      <w:r>
        <w:t xml:space="preserve">zu Berlin, am 14. März 2026</w:t>
      </w:r>
    </w:p>
    <w:p>
      <w:pPr>
        <w:pStyle w:val="BodyText"/>
      </w:pPr>
      <w:r>
        <w:t xml:space="preserve">Vor mir, dem unterzeichnenden Notar im Bezirk des Kammergerichts</w:t>
      </w:r>
    </w:p>
    <w:p>
      <w:pPr>
        <w:pStyle w:val="BodyText"/>
      </w:pPr>
      <w:r>
        <w:rPr>
          <w:b/>
          <w:bCs/>
        </w:rPr>
        <w:t xml:space="preserve">Dr. Adalbert von Sickingen-Querfurt</w:t>
      </w:r>
    </w:p>
    <w:p>
      <w:pPr>
        <w:pStyle w:val="BodyText"/>
      </w:pPr>
      <w:r>
        <w:t xml:space="preserve">Kurfürstendamm 211, 10719 Berlin</w:t>
      </w:r>
    </w:p>
    <w:p>
      <w:pPr>
        <w:pStyle w:val="BodyText"/>
      </w:pPr>
      <w:r>
        <w:t xml:space="preserve">erschienen heute:</w:t>
      </w:r>
    </w:p>
    <w:p>
      <w:pPr>
        <w:pStyle w:val="BodyText"/>
      </w:pPr>
      <w:r>
        <w:t xml:space="preserve">Frau</w:t>
      </w:r>
      <w:r>
        <w:t xml:space="preserve"> </w:t>
      </w:r>
      <w:r>
        <w:rPr>
          <w:b/>
          <w:bCs/>
        </w:rPr>
        <w:t xml:space="preserve">Roswitha Quendel-Bingenheimer</w:t>
      </w:r>
      <w:r>
        <w:t xml:space="preserve">, geboren am 11.08.1971,</w:t>
      </w:r>
    </w:p>
    <w:p>
      <w:pPr>
        <w:pStyle w:val="BodyText"/>
      </w:pPr>
      <w:r>
        <w:t xml:space="preserve">geschäftsansässig: Schloßstraße 88, 12163 Berlin,</w:t>
      </w:r>
    </w:p>
    <w:p>
      <w:pPr>
        <w:pStyle w:val="BodyText"/>
      </w:pPr>
      <w:r>
        <w:t xml:space="preserve">dem Notar von Person bekannt,</w:t>
      </w:r>
    </w:p>
    <w:p>
      <w:pPr>
        <w:pStyle w:val="BodyText"/>
      </w:pPr>
      <w:r>
        <w:t xml:space="preserve">handelnd nachfolgend nicht im eigenen Namen, sondern als Bevollmächtigte für die</w:t>
      </w:r>
    </w:p>
    <w:p>
      <w:pPr>
        <w:pStyle w:val="BodyText"/>
      </w:pPr>
      <w:r>
        <w:rPr>
          <w:b/>
          <w:bCs/>
        </w:rPr>
        <w:t xml:space="preserve">Hohenwartshofen Quartiersentwicklung GmbH &amp; Co. KG</w:t>
      </w:r>
    </w:p>
    <w:p>
      <w:pPr>
        <w:pStyle w:val="BodyText"/>
      </w:pPr>
      <w:r>
        <w:t xml:space="preserve">(vormals firmierend unter Hohenwartshofen-Drewitz Immobilien GmbH &amp; Co. KG; Amtsgericht Charlottenburg, HRA 52188 B; Komplementärin: Hohenwartshofen Verwaltungs GmbH, Amtsgericht Charlottenburg, HRB 187 552 B),</w:t>
      </w:r>
    </w:p>
    <w:p>
      <w:pPr>
        <w:pStyle w:val="BodyText"/>
      </w:pPr>
      <w:r>
        <w:t xml:space="preserve">Geschäftsanschrift: Schloßstraße 88, 12163 Berlin,</w:t>
      </w:r>
    </w:p>
    <w:p>
      <w:pPr>
        <w:pStyle w:val="BodyText"/>
      </w:pPr>
      <w:r>
        <w:t xml:space="preserve">— nachstehend auch „Verkäufer” genannt —,</w:t>
      </w:r>
    </w:p>
    <w:p>
      <w:pPr>
        <w:pStyle w:val="BodyText"/>
      </w:pPr>
      <w:r>
        <w:t xml:space="preserve">aufgrund notariell beglaubigter Vollmacht vom 22.10.2025, UR-Nr. 1402/2025 W des Notars Egmont Wachtelborn, Berlin. Das Original der Vollmacht lag bei Beurkundung vor; eine Fotokopie derselben wird in beglaubigter Fotokopie als Anhang a zu dieser Urkunde genommen.</w:t>
      </w:r>
    </w:p>
    <w:p>
      <w:pPr>
        <w:pStyle w:val="BodyText"/>
      </w:pPr>
      <w:r>
        <w:t xml:space="preserve">Herr</w:t>
      </w:r>
      <w:r>
        <w:t xml:space="preserve"> </w:t>
      </w:r>
      <w:r>
        <w:rPr>
          <w:b/>
          <w:bCs/>
        </w:rPr>
        <w:t xml:space="preserve">Dr. Eberwein Übelacker-Strohmeyer</w:t>
      </w:r>
      <w:r>
        <w:t xml:space="preserve">, geboren am 03.02.1968,</w:t>
      </w:r>
    </w:p>
    <w:p>
      <w:pPr>
        <w:pStyle w:val="BodyText"/>
      </w:pPr>
      <w:r>
        <w:t xml:space="preserve">wohnhaft: Königin-Luise-Straße 47, 14195 Berlin,</w:t>
      </w:r>
    </w:p>
    <w:p>
      <w:pPr>
        <w:pStyle w:val="BodyText"/>
      </w:pPr>
      <w:r>
        <w:t xml:space="preserve">ausgewiesen durch gültigen Personalausweis,</w:t>
      </w:r>
    </w:p>
    <w:p>
      <w:pPr>
        <w:pStyle w:val="BodyText"/>
      </w:pPr>
      <w:r>
        <w:t xml:space="preserve">— nachstehend auch „Käufer” genannt —.</w:t>
      </w:r>
    </w:p>
    <w:p>
      <w:pPr>
        <w:pStyle w:val="BodyText"/>
      </w:pPr>
      <w:r>
        <w:t xml:space="preserve">Auf Befragen des Notars erklärten die Erschienene zu 1. auf Rechnung des von ihr Vertretenen und der Erschienene zu 2. auf eigene Rechnung zu handeln.</w:t>
      </w:r>
    </w:p>
    <w:p>
      <w:pPr>
        <w:pStyle w:val="BodyText"/>
      </w:pPr>
      <w:r>
        <w:t xml:space="preserve">Der Notar hat darauf hingewiesen, dass er vor der Protokollierung die Beteiligten darüber zu befragen hat, ob bei der nachstehend zu beurkundenden Angelegenheit eine der mit ihm zur gemeinsamen Berufsausübung verbundenen Personen oder er selbst außerhalb seiner Amtstätigkeit bereits tätig war oder ist. Die Beteiligten erklärten, dass dies nicht der Fall sei.</w:t>
      </w:r>
    </w:p>
    <w:p>
      <w:pPr>
        <w:pStyle w:val="BodyText"/>
      </w:pPr>
      <w:r>
        <w:t xml:space="preserve">Der Käufer erklärte im Hinblick auf § 17 Abs. 2a BeurkG, dass ihm ein Entwurf des nachstehenden Kaufvertrages sowie je eine Kopie der Bezugsurkunden zur Verfügung gestellt wurde. Die Frist von zwei Wochen nach § 17 Abs. 2a S. 2 Nr. 2 BeurkG wurde im Hinblick auf den geplanten Vertriebsabschluss verkürzt; der Käufer erklärt ausdrücklich, mit der Verkürzung einverstanden zu sein und auf die volle zweiwöchige Frist zu verzichten.</w:t>
      </w:r>
    </w:p>
    <w:p>
      <w:pPr>
        <w:pStyle w:val="BodyText"/>
      </w:pPr>
      <w:r>
        <w:t xml:space="preserve">Die Erschienenen baten sodann um die Beurkundung des nachstehenden</w:t>
      </w:r>
    </w:p>
    <w:bookmarkEnd w:id="9"/>
    <w:bookmarkEnd w:id="10"/>
    <w:bookmarkStart w:id="12" w:name="wohnungsbauträgervertrags-mit-auflassung"/>
    <w:p>
      <w:pPr>
        <w:pStyle w:val="Heading1"/>
      </w:pPr>
      <w:r>
        <w:t xml:space="preserve">Wohnungsbauträgervertrags mit Auflassung</w:t>
      </w:r>
    </w:p>
    <w:bookmarkStart w:id="11" w:name="vorbemerkungen"/>
    <w:p>
      <w:pPr>
        <w:pStyle w:val="Heading2"/>
      </w:pPr>
      <w:r>
        <w:t xml:space="preserve">Vorbemerkungen</w:t>
      </w:r>
    </w:p>
    <w:p>
      <w:pPr>
        <w:pStyle w:val="FirstParagraph"/>
      </w:pPr>
      <w:r>
        <w:rPr>
          <w:b/>
          <w:bCs/>
        </w:rPr>
        <w:t xml:space="preserve">0.1</w:t>
      </w:r>
      <w:r>
        <w:t xml:space="preserve"> </w:t>
      </w:r>
      <w:r>
        <w:t xml:space="preserve">Der Verkäufer beabsichtigt, nach derzeitiger Planung auf dem Grundstück</w:t>
      </w:r>
    </w:p>
    <w:p>
      <w:pPr>
        <w:pStyle w:val="BlockText"/>
      </w:pPr>
      <w:r>
        <w:t xml:space="preserve">Gemarkung Kannenberg-Niederwall, Flur 7, Flurstück 218/4, Gebäude- und Freifläche, „Am Birkenpfuhl”, mit einer grundbuchlichen Größe von insgesamt 11.840 m², nachstehend auch das „Grundstück” genannt,</w:t>
      </w:r>
    </w:p>
    <w:p>
      <w:pPr>
        <w:pStyle w:val="FirstParagraph"/>
      </w:pPr>
      <w:r>
        <w:t xml:space="preserve">12 Mehrfamilienhäuser sowie ein Stadtvilla-Cluster (Häuser 9 bis 12) mit insgesamt 287 Wohneinheiten, 14 Teileigentumseinheiten sowie eine zweigeschossige Tiefgarage mit 198 Kfz-Tiefgaragenstellplätzen und 22 Motorradstellplätzen nebst Gemeinschaftsflächen (insbesondere einem Quartiersplatz, Spielplatz, Wegen, Pflanz- und Wasserflächen, Lounge im Erdgeschoss von Haus 5) zu errichten und hat dieses Grundstück gemäß § 8 WEG aufgeteilt.</w:t>
      </w:r>
    </w:p>
    <w:p>
      <w:pPr>
        <w:pStyle w:val="BodyText"/>
      </w:pPr>
      <w:r>
        <w:t xml:space="preserve">Da es sich um den derzeitigen Planungsstand handelt, der noch verändert werden kann, behält sich der Verkäufer das Recht vor, die vorstehende voraussichtliche Anzahl der Wohn- und Teileigentumseinheiten sowie der Stellplätze noch zu ändern. Ebenso behält sich der Verkäufer das Recht vor, einzelne derzeit geplante Mehrfamilienhäuser bzw. Bauabschnitte nicht zu errichten oder sonstige Änderungen der Planung vorzunehmen, die ihm aus wirtschaftlichen, baurechtlichen, statischen oder sonstigen Gründen erforderlich erscheinen. Der Käufer hat insoweit keinerlei Rechte oder Ansprüche.</w:t>
      </w:r>
    </w:p>
    <w:p>
      <w:pPr>
        <w:pStyle w:val="BodyText"/>
      </w:pPr>
      <w:r>
        <w:t xml:space="preserve">Der Verkäufer wies den Käufer darauf hin, dass sich aus den vorstehenden Baumaßnahmen sowie aus späteren Bauvorhaben des Verkäufers oder von Konzernunternehmen des Verkäufers auf den unmittelbar nordöstlich und südöstlich angrenzenden Nachbargrundstücken (sog. Baufelder Q2 und Q3) auch noch nach dem Übergabetag gemäß § 6 Beeinträchtigungen für den Käufer (z. B. durch Lärm, Staub, Erschütterungen, Sichteinschränkungen, eingeschränkte Wegeführung und temporäre Stromabschaltungen) ergeben können. Der Käufer ist insoweit zur uneingeschränkten Duldung verpflichtet, ohne dass ihm insoweit Rechte, Ansprüche oder Minderungsmöglichkeiten gegen den Verkäufer und jeweiligen Eigentümer der bezeichneten Nachbargrundstücke zustehen.</w:t>
      </w:r>
    </w:p>
    <w:p>
      <w:pPr>
        <w:pStyle w:val="BodyText"/>
      </w:pPr>
      <w:r>
        <w:rPr>
          <w:b/>
          <w:bCs/>
        </w:rPr>
        <w:t xml:space="preserve">0.2</w:t>
      </w:r>
      <w:r>
        <w:t xml:space="preserve"> </w:t>
      </w:r>
      <w:r>
        <w:t xml:space="preserve">Umfang und Beschränkungen des Wohnungs- und Teileigentums, die Rechtsbeziehungen der Wohnungs- und Teileigentümer zueinander und die Verwaltung des gemeinschaftlichen Eigentums werden geregelt in der Teilungserklärung einschließlich Gemeinschaftsordnung vom 18. Juli 2024 zur UR-Nr. 612/2024 W des Notars Egmont Wachtelborn, Berlin, in der Fassung des 1., 2., 3., 4., 5., 6. und 7. Nachtrags zur Teilungserklärung einschließlich Gemeinschaftsordnung vom 04. September 2024 zur UR-Nr. 731/2024 W, vom 12. November 2024 zur UR-Nr. 942/2024 W, vom 09. Januar 2025 zur UR-Nr. 28/2025 W, vom 03. April 2025 zur UR-Nr. 412/2025 W, vom 27. Juni 2025 zur UR-Nr. 698/2025 W, vom 19. September 2025 zur UR-Nr. 1108/2025 W und vom 04. Februar 2026 zur UR-Nr. 187/2026 W jeweils des Notars Egmont Wachtelborn, Berlin.</w:t>
      </w:r>
    </w:p>
    <w:p>
      <w:pPr>
        <w:pStyle w:val="BodyText"/>
      </w:pPr>
      <w:r>
        <w:t xml:space="preserve">— nachfolgend zusammen auch „Teilungserklärung” und/oder zusammen „Bezugsurkunde 1” genannt —.</w:t>
      </w:r>
    </w:p>
    <w:p>
      <w:pPr>
        <w:pStyle w:val="BodyText"/>
      </w:pPr>
      <w:r>
        <w:t xml:space="preserve">Der Kaufgegenstand wird nach näherer Maßgabe von § 5 grundsätzlich so errichtet, wie er sich aus der Baubeschreibung in der Fassung Februar 2026, Version 7.2 ergibt. Die Baubeschreibung ist nicht Gegenstand der Beurkundung; sie wird dem Käufer mit Vertragsunterzeichnung in einer aktuellen, ungebundenen Druckfassung übergeben.</w:t>
      </w:r>
    </w:p>
    <w:p>
      <w:pPr>
        <w:pStyle w:val="BodyText"/>
      </w:pPr>
      <w:r>
        <w:t xml:space="preserve">Der Käufer bestätigt mit Unterzeichnung dieses Vertrages, dass er die Baubeschreibung sowie sämtliche Bezugsurkunden in vollem Umfang erhalten, gelesen, verstanden und mit fachkundiger Hilfe geprüft hat und dass ihm sämtliche damit verbundenen technischen, rechtlichen und wirtschaftlichen Folgen vollumfänglich bewusst sind.</w:t>
      </w:r>
    </w:p>
    <w:p>
      <w:pPr>
        <w:pStyle w:val="BodyText"/>
      </w:pPr>
      <w:r>
        <w:rPr>
          <w:b/>
          <w:bCs/>
        </w:rPr>
        <w:t xml:space="preserve">0.3</w:t>
      </w:r>
      <w:r>
        <w:t xml:space="preserve"> </w:t>
      </w:r>
      <w:r>
        <w:t xml:space="preserve">Gegenstand dieses Vertrages sind der in § 1 beschriebene Kaufgegenstand sowie die in § 5 beschriebene Herstellungsverpflichtung.</w:t>
      </w:r>
    </w:p>
    <w:p>
      <w:pPr>
        <w:pStyle w:val="BodyText"/>
      </w:pPr>
      <w:r>
        <w:rPr>
          <w:b/>
          <w:bCs/>
        </w:rPr>
        <w:t xml:space="preserve">0.4</w:t>
      </w:r>
      <w:r>
        <w:t xml:space="preserve"> </w:t>
      </w:r>
      <w:r>
        <w:t xml:space="preserve">Die Abgeschlossenheitsbescheinigung zur Teilungserklärung liegt vor.</w:t>
      </w:r>
    </w:p>
    <w:p>
      <w:pPr>
        <w:pStyle w:val="BodyText"/>
      </w:pPr>
      <w:r>
        <w:rPr>
          <w:b/>
          <w:bCs/>
        </w:rPr>
        <w:t xml:space="preserve">0.5</w:t>
      </w:r>
      <w:r>
        <w:t xml:space="preserve"> </w:t>
      </w:r>
      <w:r>
        <w:t xml:space="preserve">Nach Auskunft des Verkäufers liegen die erforderlichen Baugenehmigungen des Landkreises Potsdam-Mittelmark vor; eine Baugenehmigung für Haus 4, in dem die hier verkaufte Wohnung liegt, wird in Kürze erwartet.</w:t>
      </w:r>
    </w:p>
    <w:p>
      <w:pPr>
        <w:pStyle w:val="BodyText"/>
      </w:pPr>
      <w:r>
        <w:rPr>
          <w:b/>
          <w:bCs/>
        </w:rPr>
        <w:t xml:space="preserve">0.6</w:t>
      </w:r>
      <w:r>
        <w:t xml:space="preserve"> </w:t>
      </w:r>
      <w:r>
        <w:t xml:space="preserve">Der Verkäufer weist darauf hin, dass die Erschließung des Grundstücks teilweise noch nicht abgeschlossen ist.</w:t>
      </w:r>
    </w:p>
    <w:p>
      <w:pPr>
        <w:pStyle w:val="BodyText"/>
      </w:pPr>
      <w:r>
        <w:rPr>
          <w:b/>
          <w:bCs/>
        </w:rPr>
        <w:t xml:space="preserve">0.7</w:t>
      </w:r>
      <w:r>
        <w:t xml:space="preserve"> </w:t>
      </w:r>
      <w:r>
        <w:t xml:space="preserve">Der Verkäufer hat für das Bauvorhaben interne Projektunterlagen, insbesondere Baugrund- und Planungsgutachten, Fachplanernachweise, Terminpläne, Kostenverfolgungen sowie Berichte der Projektsteuerung und Objektüberwachung erstellen lassen. Diese Unterlagen dienen ausschließlich der internen Steuerung des Gesamtprojekts. Sie werden dem Käufer nur insoweit zugänglich gemacht, als dies nach zwingenden gesetzlichen Vorschriften erforderlich ist oder der Verkäufer dies zur zweckmäßigen Vertragsdurchführung für angezeigt hält.</w:t>
      </w:r>
    </w:p>
    <w:p>
      <w:r>
        <w:br w:type="page"/>
      </w:r>
    </w:p>
    <w:bookmarkEnd w:id="11"/>
    <w:bookmarkEnd w:id="12"/>
    <w:bookmarkStart w:id="13" w:name="kaufgegenstand"/>
    <w:p>
      <w:pPr>
        <w:pStyle w:val="Heading1"/>
      </w:pPr>
      <w:r>
        <w:t xml:space="preserve">§ 1 Kaufgegenstand</w:t>
      </w:r>
    </w:p>
    <w:p>
      <w:pPr>
        <w:pStyle w:val="FirstParagraph"/>
      </w:pPr>
      <w:r>
        <w:rPr>
          <w:b/>
          <w:bCs/>
        </w:rPr>
        <w:t xml:space="preserve">1.1</w:t>
      </w:r>
      <w:r>
        <w:t xml:space="preserve"> </w:t>
      </w:r>
      <w:r>
        <w:t xml:space="preserve">Der Verkäufer ist eingetragener Alleineigentümer des folgenden, im Wohnungsgrundbuch des Amtsgerichts Potsdam für Kannenberg-Niederwall, Blatt 18 442, eingetragenen Wohnungseigentums:</w:t>
      </w:r>
    </w:p>
    <w:p>
      <w:pPr>
        <w:pStyle w:val="BlockText"/>
      </w:pPr>
      <w:r>
        <w:t xml:space="preserve">Miteigentumsanteil von 184/100 000 an dem Grundstück Gemarkung Kannenberg-Niederwall, Flur 7, Flurstück 218/4, verbunden mit dem Sondereigentum an der im Aufteilungsplan mit der Nummer 4.27 bezeichneten Wohnung im 3. Obergeschoss des Hauses 4 nebst Kellerabteil Nr. K-4.27 und Sondernutzungsrecht an der Terrasse T-4.27 sowie dem Tiefgaragenstellplatz Nr. TG-127.</w:t>
      </w:r>
    </w:p>
    <w:p>
      <w:pPr>
        <w:pStyle w:val="FirstParagraph"/>
      </w:pPr>
      <w:r>
        <w:rPr>
          <w:b/>
          <w:bCs/>
        </w:rPr>
        <w:t xml:space="preserve">1.2</w:t>
      </w:r>
      <w:r>
        <w:t xml:space="preserve"> </w:t>
      </w:r>
      <w:r>
        <w:t xml:space="preserve">Die Sondereigentumseinheit und das dort näher bezeichnete Sondernutzungsrecht an dem Tiefgaragenstellplatz Nr. TG-127 nebst den unter § 5 dieses Vertrages beschriebenen Bauleistungen werden nachfolgend zusammen als „Kaufgegenstand” bezeichnet.</w:t>
      </w:r>
    </w:p>
    <w:p>
      <w:pPr>
        <w:pStyle w:val="BodyText"/>
      </w:pPr>
      <w:r>
        <w:rPr>
          <w:b/>
          <w:bCs/>
        </w:rPr>
        <w:t xml:space="preserve">1.3</w:t>
      </w:r>
      <w:r>
        <w:t xml:space="preserve"> </w:t>
      </w:r>
      <w:r>
        <w:t xml:space="preserve">Der Notar hat das Grundbuch gemäß § 1.1 — ohne die Grundakten — elektronisch am heutigen Tage eingesehen.</w:t>
      </w:r>
    </w:p>
    <w:p>
      <w:pPr>
        <w:pStyle w:val="BodyText"/>
      </w:pPr>
      <w:r>
        <w:t xml:space="preserve">In Abteilung II sind eingetragen: beschränkte persönliche Dienstbarkeiten zugunsten der Stadtwerke Kannenberg GmbH, der ENBW Netze AG sowie der Gemeinde Kannenberg-Niederwall. Diese Lasten werden vom Käufer übernommen und sind im Kaufpreis nicht abgegolten.</w:t>
      </w:r>
    </w:p>
    <w:p>
      <w:pPr>
        <w:pStyle w:val="BodyText"/>
      </w:pPr>
      <w:r>
        <w:t xml:space="preserve">In Abteilung III ist eine Gesamtgrundschuld in Höhe von 92 800 000,00 EUR zugunsten der Pommersche Hypotheken-Bank AG eingetragen.</w:t>
      </w:r>
    </w:p>
    <w:p>
      <w:r>
        <w:br w:type="page"/>
      </w:r>
    </w:p>
    <w:bookmarkEnd w:id="13"/>
    <w:bookmarkStart w:id="14" w:name="kaufpreis"/>
    <w:p>
      <w:pPr>
        <w:pStyle w:val="Heading1"/>
      </w:pPr>
      <w:r>
        <w:t xml:space="preserve">§ 2 Kaufpreis</w:t>
      </w:r>
    </w:p>
    <w:p>
      <w:pPr>
        <w:pStyle w:val="FirstParagraph"/>
      </w:pPr>
      <w:r>
        <w:rPr>
          <w:b/>
          <w:bCs/>
        </w:rPr>
        <w:t xml:space="preserve">2.1</w:t>
      </w:r>
      <w:r>
        <w:t xml:space="preserve"> </w:t>
      </w:r>
      <w:r>
        <w:t xml:space="preserve">Der Kaufpreis für den Kaufgegenstand beträgt insgesamt</w:t>
      </w:r>
    </w:p>
    <w:p>
      <w:pPr>
        <w:pStyle w:val="BlockText"/>
      </w:pPr>
      <w:r>
        <w:rPr>
          <w:b/>
          <w:bCs/>
        </w:rPr>
        <w:t xml:space="preserve">789.500,00 EUR</w:t>
      </w:r>
    </w:p>
    <w:p>
      <w:pPr>
        <w:pStyle w:val="FirstParagraph"/>
      </w:pPr>
      <w:r>
        <w:t xml:space="preserve">zzgl. eines Aufpreises für den Tiefgaragenstellplatz von 38 500,00 EUR. Der Gesamtkaufpreis beträgt damit 828 000,00 EUR.</w:t>
      </w:r>
    </w:p>
    <w:p>
      <w:pPr>
        <w:pStyle w:val="BodyText"/>
      </w:pPr>
      <w:r>
        <w:rPr>
          <w:b/>
          <w:bCs/>
        </w:rPr>
        <w:t xml:space="preserve">2.2</w:t>
      </w:r>
      <w:r>
        <w:t xml:space="preserve"> </w:t>
      </w:r>
      <w:r>
        <w:t xml:space="preserve">Der Kaufpreis ist ein Fest-Kaufpreis. Er umfasst sämtliche Leistungen entsprechend der Herstellungsverpflichtung in § 5.</w:t>
      </w:r>
    </w:p>
    <w:p>
      <w:pPr>
        <w:pStyle w:val="BodyText"/>
      </w:pPr>
      <w:r>
        <w:rPr>
          <w:b/>
          <w:bCs/>
        </w:rPr>
        <w:t xml:space="preserve">2.3</w:t>
      </w:r>
      <w:r>
        <w:t xml:space="preserve"> </w:t>
      </w:r>
      <w:r>
        <w:t xml:space="preserve">Nicht im Kaufpreis enthalten sind die bei Notar, Grundbuchamt und Behörden anfallenden Gebühren, die Grunderwerbsteuer, sämtliche Kosten der Erschließung und der erstmaligen Anschlüsse an Ver- und Entsorgungsanlagen (vgl. § 7) sowie Kosten, die durch nachträgliche Sonderwünsche des Käufers veranlasst sind.</w:t>
      </w:r>
    </w:p>
    <w:p>
      <w:r>
        <w:br w:type="page"/>
      </w:r>
    </w:p>
    <w:bookmarkEnd w:id="14"/>
    <w:bookmarkStart w:id="15" w:name="kaufpreiszahlung-fälligkeit"/>
    <w:p>
      <w:pPr>
        <w:pStyle w:val="Heading1"/>
      </w:pPr>
      <w:r>
        <w:t xml:space="preserve">§ 3 Kaufpreiszahlung, Fälligkeit</w:t>
      </w:r>
    </w:p>
    <w:p>
      <w:pPr>
        <w:pStyle w:val="FirstParagraph"/>
      </w:pPr>
      <w:r>
        <w:rPr>
          <w:b/>
          <w:bCs/>
        </w:rPr>
        <w:t xml:space="preserve">3.1</w:t>
      </w:r>
      <w:r>
        <w:t xml:space="preserve"> </w:t>
      </w:r>
      <w:r>
        <w:t xml:space="preserve">Die Kaufpreiszahlungen sind frühestens fällig und zahlbar, wenn</w:t>
      </w:r>
    </w:p>
    <w:p>
      <w:pPr>
        <w:pStyle w:val="BodyText"/>
      </w:pPr>
      <w:r>
        <w:t xml:space="preserve">3.1.1 der Notar den Parteien schriftlich mitgeteilt hat, dass</w:t>
      </w:r>
    </w:p>
    <w:p>
      <w:pPr>
        <w:numPr>
          <w:ilvl w:val="0"/>
          <w:numId w:val="1001"/>
        </w:numPr>
      </w:pPr>
      <w:r>
        <w:t xml:space="preserve">der Vertrag rechtswirksam zustande gekommen ist,</w:t>
      </w:r>
    </w:p>
    <w:p>
      <w:pPr>
        <w:numPr>
          <w:ilvl w:val="0"/>
          <w:numId w:val="1001"/>
        </w:numPr>
      </w:pPr>
      <w:r>
        <w:t xml:space="preserve">die Eintragung der Auflassungsvormerkung zugunsten des Käufers im Grundbuch eingetragen oder eintragungsbereit beantragt ist,</w:t>
      </w:r>
    </w:p>
    <w:p>
      <w:pPr>
        <w:numPr>
          <w:ilvl w:val="0"/>
          <w:numId w:val="1001"/>
        </w:numPr>
      </w:pPr>
      <w:r>
        <w:t xml:space="preserve">die Lastenfreistellungserklärung der Pommersche Hypotheken-Bank AG für den Kaufgegenstand vorliegt oder die Vorlage zugesichert ist,</w:t>
      </w:r>
    </w:p>
    <w:p>
      <w:pPr>
        <w:pStyle w:val="FirstParagraph"/>
      </w:pPr>
      <w:r>
        <w:t xml:space="preserve">3.1.2 sowie die Baugenehmigung für Haus 4 vorliegt oder, wenn eine Baugenehmigung nicht oder nicht rechtzeitig erforderlich ist, mit dem Bau begonnen werden darf.</w:t>
      </w:r>
    </w:p>
    <w:p>
      <w:pPr>
        <w:pStyle w:val="BodyText"/>
      </w:pPr>
      <w:r>
        <w:rPr>
          <w:b/>
          <w:bCs/>
        </w:rPr>
        <w:t xml:space="preserve">3.2</w:t>
      </w:r>
      <w:r>
        <w:t xml:space="preserve"> </w:t>
      </w:r>
      <w:r>
        <w:t xml:space="preserve">Der Käufer hat den Kaufpreis nach folgendem Ratenplan zu zahlen, wobei der Verkäufer die Raten entsprechend dem tatsächlichen Bauablauf in sieben Teilbeträgen anfordern wird: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Rate</w:t>
            </w:r>
          </w:p>
        </w:tc>
        <w:tc>
          <w:tcPr/>
          <w:p>
            <w:pPr>
              <w:pStyle w:val="Compact"/>
            </w:pPr>
            <w:r>
              <w:t xml:space="preserve">Stichmonat</w:t>
            </w:r>
          </w:p>
        </w:tc>
        <w:tc>
          <w:tcPr/>
          <w:p>
            <w:pPr>
              <w:pStyle w:val="Compact"/>
            </w:pPr>
            <w:r>
              <w:t xml:space="preserve">Anteil</w:t>
            </w:r>
          </w:p>
        </w:tc>
      </w:tr>
      <w:tr>
        <w:tc>
          <w:tcPr/>
          <w:p>
            <w:pPr>
              <w:pStyle w:val="Compact"/>
            </w:pPr>
            <w:r>
              <w:t xml:space="preserve">1. Rate</w:t>
            </w:r>
          </w:p>
        </w:tc>
        <w:tc>
          <w:tcPr/>
          <w:p>
            <w:pPr>
              <w:pStyle w:val="Compact"/>
            </w:pPr>
            <w:r>
              <w:t xml:space="preserve">nach Beginn der Erdarbeiten</w:t>
            </w:r>
          </w:p>
        </w:tc>
        <w:tc>
          <w:tcPr/>
          <w:p>
            <w:pPr>
              <w:pStyle w:val="Compact"/>
            </w:pPr>
            <w:r>
              <w:t xml:space="preserve">30,0 %</w:t>
            </w:r>
          </w:p>
        </w:tc>
      </w:tr>
      <w:tr>
        <w:tc>
          <w:tcPr/>
          <w:p>
            <w:pPr>
              <w:pStyle w:val="Compact"/>
            </w:pPr>
            <w:r>
              <w:t xml:space="preserve">2. Rate</w:t>
            </w:r>
          </w:p>
        </w:tc>
        <w:tc>
          <w:tcPr/>
          <w:p>
            <w:pPr>
              <w:pStyle w:val="Compact"/>
            </w:pPr>
            <w:r>
              <w:t xml:space="preserve">nach Rohbaufertigstellung einschließlich Zimmererarbeiten</w:t>
            </w:r>
          </w:p>
        </w:tc>
        <w:tc>
          <w:tcPr/>
          <w:p>
            <w:pPr>
              <w:pStyle w:val="Compact"/>
            </w:pPr>
            <w:r>
              <w:t xml:space="preserve">28,0 %</w:t>
            </w:r>
          </w:p>
        </w:tc>
      </w:tr>
      <w:tr>
        <w:tc>
          <w:tcPr/>
          <w:p>
            <w:pPr>
              <w:pStyle w:val="Compact"/>
            </w:pPr>
            <w:r>
              <w:t xml:space="preserve">3. Rate</w:t>
            </w:r>
          </w:p>
        </w:tc>
        <w:tc>
          <w:tcPr/>
          <w:p>
            <w:pPr>
              <w:pStyle w:val="Compact"/>
            </w:pPr>
            <w:r>
              <w:t xml:space="preserve">nach Herstellung der Dachflächen und Dachrinnen, Ausführung der Rohinstallation der Heizungs-, Sanitär- und Elektroanlagen sowie Fenstereinbau einschließlich Verglasung</w:t>
            </w:r>
          </w:p>
        </w:tc>
        <w:tc>
          <w:tcPr/>
          <w:p>
            <w:pPr>
              <w:pStyle w:val="Compact"/>
            </w:pPr>
            <w:r>
              <w:t xml:space="preserve">18,9 %</w:t>
            </w:r>
          </w:p>
        </w:tc>
      </w:tr>
      <w:tr>
        <w:tc>
          <w:tcPr/>
          <w:p>
            <w:pPr>
              <w:pStyle w:val="Compact"/>
            </w:pPr>
            <w:r>
              <w:t xml:space="preserve">4. Rate</w:t>
            </w:r>
          </w:p>
        </w:tc>
        <w:tc>
          <w:tcPr/>
          <w:p>
            <w:pPr>
              <w:pStyle w:val="Compact"/>
            </w:pPr>
            <w:r>
              <w:t xml:space="preserve">nach Innenputz, Estrich und Fliesenarbeiten im Sanitärbereich</w:t>
            </w:r>
          </w:p>
        </w:tc>
        <w:tc>
          <w:tcPr/>
          <w:p>
            <w:pPr>
              <w:pStyle w:val="Compact"/>
            </w:pPr>
            <w:r>
              <w:t xml:space="preserve">9,1 %</w:t>
            </w:r>
          </w:p>
        </w:tc>
      </w:tr>
      <w:tr>
        <w:tc>
          <w:tcPr/>
          <w:p>
            <w:pPr>
              <w:pStyle w:val="Compact"/>
            </w:pPr>
            <w:r>
              <w:t xml:space="preserve">5. Rate</w:t>
            </w:r>
          </w:p>
        </w:tc>
        <w:tc>
          <w:tcPr/>
          <w:p>
            <w:pPr>
              <w:pStyle w:val="Compact"/>
            </w:pPr>
            <w:r>
              <w:t xml:space="preserve">nach Bezugsfertigkeit Zug um Zug gegen Besitzübergabe</w:t>
            </w:r>
          </w:p>
        </w:tc>
        <w:tc>
          <w:tcPr/>
          <w:p>
            <w:pPr>
              <w:pStyle w:val="Compact"/>
            </w:pPr>
            <w:r>
              <w:t xml:space="preserve">8,4 %</w:t>
            </w:r>
          </w:p>
        </w:tc>
      </w:tr>
      <w:tr>
        <w:tc>
          <w:tcPr/>
          <w:p>
            <w:pPr>
              <w:pStyle w:val="Compact"/>
            </w:pPr>
            <w:r>
              <w:t xml:space="preserve">6. Rate</w:t>
            </w:r>
          </w:p>
        </w:tc>
        <w:tc>
          <w:tcPr/>
          <w:p>
            <w:pPr>
              <w:pStyle w:val="Compact"/>
            </w:pPr>
            <w:r>
              <w:t xml:space="preserve">nach Fassadenarbeiten</w:t>
            </w:r>
          </w:p>
        </w:tc>
        <w:tc>
          <w:tcPr/>
          <w:p>
            <w:pPr>
              <w:pStyle w:val="Compact"/>
            </w:pPr>
            <w:r>
              <w:t xml:space="preserve">2,1 %</w:t>
            </w:r>
          </w:p>
        </w:tc>
      </w:tr>
      <w:tr>
        <w:tc>
          <w:tcPr/>
          <w:p>
            <w:pPr>
              <w:pStyle w:val="Compact"/>
            </w:pPr>
            <w:r>
              <w:t xml:space="preserve">7. Rate</w:t>
            </w:r>
          </w:p>
        </w:tc>
        <w:tc>
          <w:tcPr/>
          <w:p>
            <w:pPr>
              <w:pStyle w:val="Compact"/>
            </w:pPr>
            <w:r>
              <w:t xml:space="preserve">nach vollständiger Fertigstellung</w:t>
            </w:r>
          </w:p>
        </w:tc>
        <w:tc>
          <w:tcPr/>
          <w:p>
            <w:pPr>
              <w:pStyle w:val="Compact"/>
            </w:pPr>
            <w:r>
              <w:t xml:space="preserve">3,5 %</w:t>
            </w:r>
          </w:p>
        </w:tc>
      </w:tr>
    </w:tbl>
    <w:p>
      <w:pPr>
        <w:pStyle w:val="BodyText"/>
      </w:pPr>
      <w:r>
        <w:t xml:space="preserve">Die Raten sind jeweils zur Zahlung fällig, wenn der Verkäufer den Käufer unter Vorlage einer Bestätigung des vom Verkäufer beauftragten Bauleiters oder Projektcontrollers über den Baufortschritt schriftlich zur Zahlung aufgefordert hat. Eine eigene Prüfung des Bautenstandes durch den Käufer oder eine von ihm beauftragte Person bleibt nach Maßgabe von § 8 möglich, hemmt die Fälligkeit der jeweiligen Rate jedoch nicht, sofern der Käufer nicht binnen fünf Bankarbeitstagen nach Zugang der Zahlungsaufforderung einen gegenteiligen, prüffähigen Sachverständigenbericht vorlegt.</w:t>
      </w:r>
    </w:p>
    <w:p>
      <w:pPr>
        <w:pStyle w:val="BodyText"/>
      </w:pPr>
      <w:r>
        <w:t xml:space="preserve">Der Käufer kommt in Verzug, sobald der Verkäufer ihn nach Fälligkeit der Rate schriftlich unter Einhaltung einer Frist von 30 Kalendertagen per Einwurf-Einschreiben gemahnt hat und die Frist erfolglos verstrichen ist. Der Zugang einer bloßen Rechnung oder einer einfachen E-Mail begründet keinen Verzug.</w:t>
      </w:r>
    </w:p>
    <w:p>
      <w:pPr>
        <w:pStyle w:val="BodyText"/>
      </w:pPr>
      <w:r>
        <w:t xml:space="preserve">Im Verzugsfall trägt der Käufer die Beweislast dafür, dass den Verkäufer ein Verschulden an der Verzögerung trifft. Der Verkäufer ist nach Eintritt des Verzugs berechtigt, die Eintragung der Auflassungsvormerkung gemäß § 10 dieses Vertrages beim Grundbuchamt durch einseitige Erklärung gegenüber dem amtierenden Notar zur Löschung zu bringen; einer Mitwirkung des Käufers bedarf es nicht.</w:t>
      </w:r>
    </w:p>
    <w:p>
      <w:pPr>
        <w:pStyle w:val="BodyText"/>
      </w:pPr>
      <w:r>
        <w:rPr>
          <w:b/>
          <w:bCs/>
        </w:rPr>
        <w:t xml:space="preserve">3.3</w:t>
      </w:r>
      <w:r>
        <w:t xml:space="preserve"> </w:t>
      </w:r>
      <w:r>
        <w:t xml:space="preserve">Vertragserfüllungssicherheit</w:t>
      </w:r>
    </w:p>
    <w:p>
      <w:pPr>
        <w:pStyle w:val="BodyText"/>
      </w:pPr>
      <w:r>
        <w:t xml:space="preserve">Der Verkäufer hat dem Käufer keine Sicherheit nach § 650m Abs. 2 BGB zu stellen. Die Parteien sind sich einig, dass eine Sicherheitsleistung in dieser Form für den vorliegenden Vertrag nicht erforderlich ist. Der Käufer verzichtet ausdrücklich auf etwaige weitergehende gesetzliche Sicherungsrechte, soweit dies rechtlich zulässig ist.</w:t>
      </w:r>
    </w:p>
    <w:p>
      <w:pPr>
        <w:pStyle w:val="BodyText"/>
      </w:pPr>
      <w:r>
        <w:rPr>
          <w:b/>
          <w:bCs/>
        </w:rPr>
        <w:t xml:space="preserve">3.4</w:t>
      </w:r>
      <w:r>
        <w:t xml:space="preserve"> </w:t>
      </w:r>
      <w:r>
        <w:t xml:space="preserve">Reservierungsgebühr. Die Parteien erklären, dass der Käufer vor der Beurkundung an den Verkäufer eine Reservierungsgebühr in Höhe von 22 000,00 EUR gezahlt hat. Diese Reservierungsgebühr wird mit der 1. Kaufpreisrate nicht verrechnet, sondern verbleibt als Entgelt für die Reservierungsleistung beim Verkäufer.</w:t>
      </w:r>
    </w:p>
    <w:p>
      <w:pPr>
        <w:pStyle w:val="BodyText"/>
      </w:pPr>
      <w:r>
        <w:rPr>
          <w:b/>
          <w:bCs/>
        </w:rPr>
        <w:t xml:space="preserve">3.5</w:t>
      </w:r>
      <w:r>
        <w:t xml:space="preserve"> </w:t>
      </w:r>
      <w:r>
        <w:t xml:space="preserve">Sonderwünsche. Sonderwünsche des Käufers außerhalb der Standardausstattung sind vor Beginn der jeweils betroffenen Bauleistung vollständig und im Voraus zu zahlen. Die Vergütung für individuelle Beratungen durch den Verkäufer beträgt 180,00 EUR netto je angefangener Beratungsstunde. Eine Verrechnung im MaBV-Ratenplan findet nicht statt.</w:t>
      </w:r>
    </w:p>
    <w:p>
      <w:r>
        <w:br w:type="page"/>
      </w:r>
    </w:p>
    <w:bookmarkEnd w:id="15"/>
    <w:bookmarkStart w:id="16" w:name="Xacd27a9a0599f387afb098c717c3b96c90edba0"/>
    <w:p>
      <w:pPr>
        <w:pStyle w:val="Heading1"/>
      </w:pPr>
      <w:r>
        <w:t xml:space="preserve">§ 4 Belastungsvollmacht, Kaufpreisfinanzierung</w:t>
      </w:r>
    </w:p>
    <w:p>
      <w:pPr>
        <w:pStyle w:val="FirstParagraph"/>
      </w:pPr>
      <w:r>
        <w:rPr>
          <w:b/>
          <w:bCs/>
        </w:rPr>
        <w:t xml:space="preserve">4.1</w:t>
      </w:r>
      <w:r>
        <w:t xml:space="preserve"> </w:t>
      </w:r>
      <w:r>
        <w:t xml:space="preserve">Der Verkäufer bevollmächtigt und ermächtigt hiermit den Käufer, mit der Befugnis zur Erteilung von Untervollmachten, an dem Kaufgegenstand Grundpfandrechte zugunsten von Banken, Sparkassen oder sonstigen Kreditgebern zu bestellen und in das Grundbuch eintragen zu lassen.</w:t>
      </w:r>
    </w:p>
    <w:p>
      <w:pPr>
        <w:pStyle w:val="BodyText"/>
      </w:pPr>
      <w:r>
        <w:rPr>
          <w:b/>
          <w:bCs/>
        </w:rPr>
        <w:t xml:space="preserve">4.2</w:t>
      </w:r>
      <w:r>
        <w:t xml:space="preserve"> </w:t>
      </w:r>
      <w:r>
        <w:t xml:space="preserve">Eine persönliche Haftung des Käufers darf dabei begründet werden, soweit dies die finanzierende Bank zur Auszahlung der Darlehensvaluta verlangt. Eine betragsmäßige Begrenzung der persönlichen Haftung ist nicht erforderlich.</w:t>
      </w:r>
    </w:p>
    <w:p>
      <w:pPr>
        <w:pStyle w:val="BodyText"/>
      </w:pPr>
      <w:r>
        <w:rPr>
          <w:b/>
          <w:bCs/>
        </w:rPr>
        <w:t xml:space="preserve">4.3</w:t>
      </w:r>
      <w:r>
        <w:t xml:space="preserve"> </w:t>
      </w:r>
      <w:r>
        <w:t xml:space="preserve">Die Grundpfandrechte können in jeder Höhe und mit jeder gesetzlich zulässigen Verzinsung bestellt werden, ohne dass eine betragsmäßige Obergrenze einzuhalten ist. Der Käufer trägt sämtliche damit verbundenen Kosten.</w:t>
      </w:r>
    </w:p>
    <w:p>
      <w:r>
        <w:br w:type="page"/>
      </w:r>
    </w:p>
    <w:bookmarkEnd w:id="16"/>
    <w:bookmarkStart w:id="17" w:name="baupflicht-baubeschreibung"/>
    <w:p>
      <w:pPr>
        <w:pStyle w:val="Heading1"/>
      </w:pPr>
      <w:r>
        <w:t xml:space="preserve">§ 5 Baupflicht, Baubeschreibung</w:t>
      </w:r>
    </w:p>
    <w:p>
      <w:pPr>
        <w:pStyle w:val="FirstParagraph"/>
      </w:pPr>
      <w:r>
        <w:rPr>
          <w:b/>
          <w:bCs/>
        </w:rPr>
        <w:t xml:space="preserve">5.1</w:t>
      </w:r>
      <w:r>
        <w:t xml:space="preserve"> </w:t>
      </w:r>
      <w:r>
        <w:t xml:space="preserve">Der Verkäufer verpflichtet sich, den Kaufgegenstand nach Maßgabe der Baubeschreibung in der Fassung Februar 2026, Version 7.2, der Bezugsurkunden und der diesem Vertrag zugrunde liegenden Pläne herzustellen.</w:t>
      </w:r>
    </w:p>
    <w:p>
      <w:pPr>
        <w:pStyle w:val="BodyText"/>
      </w:pPr>
      <w:r>
        <w:rPr>
          <w:b/>
          <w:bCs/>
        </w:rPr>
        <w:t xml:space="preserve">5.2</w:t>
      </w:r>
      <w:r>
        <w:t xml:space="preserve"> </w:t>
      </w:r>
      <w:r>
        <w:t xml:space="preserve">Planung, Projektsteuerung und Objektüberwachung</w:t>
      </w:r>
    </w:p>
    <w:p>
      <w:pPr>
        <w:pStyle w:val="BodyText"/>
      </w:pPr>
      <w:r>
        <w:t xml:space="preserve">Der Verkäufer organisiert die Planung, Fachplanung, Projektsteuerung und Objektüberwachung des Bauvorhabens in eigener Verantwortung. Soweit für das Bauvorhaben Leistungen erbracht werden, die ihrer Art nach Leistungsphasen der Honorarordnung für Architekten und Ingenieure entsprechen, dienen diese Leistungen ausschließlich dem Verhältnis des Verkäufers zu seinen Planern und Fachplanern. Aus der Beauftragung oder Nichtbeauftragung einzelner Leistungsphasen, insbesondere der Ausführungsplanung, der Mitwirkung bei der Vergabe, der Objektüberwachung oder der Objektbetreuung, werden keine eigenen Rechte des Käufers gegen Planer, Fachplaner, Projektsteuerer, Bauleiter oder sonstige Baubeteiligte begründet.</w:t>
      </w:r>
    </w:p>
    <w:p>
      <w:pPr>
        <w:pStyle w:val="BodyText"/>
      </w:pPr>
      <w:r>
        <w:t xml:space="preserve">Die laufenden Berichte der Objektüberwachung, Bautagebücher, Prüfvermerke, Mängellisten, Kostenberichte und Terminfortschreibungen sind interne Arbeitsunterlagen des Verkäufers. Der Käufer erhält hieraus Auszüge nur, soweit sie nach zwingendem Recht zur Finanzierung, Förderung, öffentlich-rechtlichen Nachweisführung oder Abnahme erforderlich sind. Der Käufer erkennt an, dass die technische Qualitätssicherung des Verkäufers im Interesse einer einheitlichen Projektdurchführung zentralisiert erfolgt.</w:t>
      </w:r>
    </w:p>
    <w:p>
      <w:pPr>
        <w:pStyle w:val="BodyText"/>
      </w:pPr>
      <w:r>
        <w:rPr>
          <w:b/>
          <w:bCs/>
        </w:rPr>
        <w:t xml:space="preserve">5.3</w:t>
      </w:r>
      <w:r>
        <w:t xml:space="preserve"> </w:t>
      </w:r>
      <w:r>
        <w:t xml:space="preserve">Soweit die Baubeschreibung Wahlmöglichkeiten bei Material, Farbe oder Form vorsieht, erhält der Käufer im Rahmen einer Bemusterung die Möglichkeit, sofern der Baufortschritt es noch zulässt, eine entsprechende Auswahl zu treffen.</w:t>
      </w:r>
    </w:p>
    <w:p>
      <w:pPr>
        <w:pStyle w:val="BodyText"/>
      </w:pPr>
      <w:r>
        <w:t xml:space="preserve">Die Bemusterung erfolgt im vom Verkäufer benannten Bemusterungszentrum Berlin-Schöneberg. Im Kaufpreis enthalten sind drei Beratungsstunden. Darüber hinausgehender Beratungsaufwand des Verkäufers ist durch den Käufer mit einem Stundensatz von 180,00 EUR netto zu vergüten.</w:t>
      </w:r>
    </w:p>
    <w:p>
      <w:pPr>
        <w:pStyle w:val="BodyText"/>
      </w:pPr>
      <w:r>
        <w:t xml:space="preserve">Die Bemusterung hat spätestens vier Wochen nach Aufforderung des Verkäufers stattzufinden. Reagiert der Käufer auf die Aufforderung nicht oder nicht rechtzeitig, wählt der Verkäufer nach billigem Ermessen aus der Standardausstattung aus; ein Anspruch auf nachträgliche Änderung besteht nicht.</w:t>
      </w:r>
    </w:p>
    <w:p>
      <w:pPr>
        <w:pStyle w:val="BodyText"/>
      </w:pPr>
      <w:r>
        <w:rPr>
          <w:b/>
          <w:bCs/>
        </w:rPr>
        <w:t xml:space="preserve">5.4</w:t>
      </w:r>
      <w:r>
        <w:t xml:space="preserve"> </w:t>
      </w:r>
      <w:r>
        <w:t xml:space="preserve">Auf eine von den Bauplänen, der Baubeschreibung und dem Kaufvertrag abweichende Ausführung und Ausstattung des Vertragsgegenstandes hat der Käufer keinen Anspruch. Visualisierungen, Renderings, Vertriebsbroschüren, die Show-Wohnung sowie sonstige Verkaufsunterlagen sind ausdrücklich nicht Bestandteil dieses Vertrages und begründen keine Beschaffenheitsvereinbarung.</w:t>
      </w:r>
    </w:p>
    <w:p>
      <w:pPr>
        <w:pStyle w:val="BodyText"/>
      </w:pPr>
      <w:r>
        <w:rPr>
          <w:b/>
          <w:bCs/>
        </w:rPr>
        <w:t xml:space="preserve">5.5</w:t>
      </w:r>
      <w:r>
        <w:t xml:space="preserve"> </w:t>
      </w:r>
      <w:r>
        <w:t xml:space="preserve">Soweit die Baubeschreibung keine oder unbestimmte Angaben hinsichtlich notwendiger Leistungen enthält, ist der Verkäufer gemäß § 315 BGB zur Leistungsbestimmung nach billigem Ermessen berechtigt. Die von dem Verkäufer bestimmte Leistung muss von einfacher Art und Güte sein und der allgemeinen Qualität des Bauvorhabens entsprechen.</w:t>
      </w:r>
    </w:p>
    <w:p>
      <w:pPr>
        <w:pStyle w:val="BodyText"/>
      </w:pPr>
      <w:r>
        <w:rPr>
          <w:b/>
          <w:bCs/>
        </w:rPr>
        <w:t xml:space="preserve">5.6</w:t>
      </w:r>
      <w:r>
        <w:t xml:space="preserve"> </w:t>
      </w:r>
      <w:r>
        <w:t xml:space="preserve">Der Verkäufer hat die Leistungen nach den anerkannten Regeln der Technik</w:t>
      </w:r>
      <w:r>
        <w:t xml:space="preserve"> </w:t>
      </w:r>
      <w:r>
        <w:rPr>
          <w:b/>
          <w:bCs/>
        </w:rPr>
        <w:t xml:space="preserve">zum Tag der Erteilung der Baugenehmigung</w:t>
      </w:r>
      <w:r>
        <w:t xml:space="preserve"> </w:t>
      </w:r>
      <w:r>
        <w:t xml:space="preserve">zu errichten. Spätere Änderungen der anerkannten Regeln der Technik wirken sich auf die geschuldete Leistung nicht aus.</w:t>
      </w:r>
    </w:p>
    <w:p>
      <w:pPr>
        <w:pStyle w:val="BodyText"/>
      </w:pPr>
      <w:r>
        <w:rPr>
          <w:b/>
          <w:bCs/>
        </w:rPr>
        <w:t xml:space="preserve">5.7</w:t>
      </w:r>
      <w:r>
        <w:t xml:space="preserve"> </w:t>
      </w:r>
      <w:r>
        <w:t xml:space="preserve">Änderungen in Planung und Ausführung durch den Verkäufer sind zulässig, wenn sie aufgrund behördlicher Vorgaben oder Auflagen, Gesetzesänderungen, statischer Notwendigkeit, Bauablauf-Erfordernissen oder sonstigen Rechtsgründen erforderlich sind.</w:t>
      </w:r>
    </w:p>
    <w:p>
      <w:pPr>
        <w:pStyle w:val="BodyText"/>
      </w:pPr>
      <w:r>
        <w:rPr>
          <w:b/>
          <w:bCs/>
        </w:rPr>
        <w:t xml:space="preserve">5.8</w:t>
      </w:r>
      <w:r>
        <w:t xml:space="preserve"> </w:t>
      </w:r>
      <w:r>
        <w:t xml:space="preserve">Termine</w:t>
      </w:r>
    </w:p>
    <w:p>
      <w:pPr>
        <w:pStyle w:val="BodyText"/>
      </w:pPr>
      <w:r>
        <w:t xml:space="preserve">5.8.1 Der Verkäufer wird die gemäß § 5.1 geschuldeten Bauleistungen voraussichtlich bis 30.09.2027 bezugsfertig herstellen.</w:t>
      </w:r>
    </w:p>
    <w:p>
      <w:pPr>
        <w:pStyle w:val="BodyText"/>
      </w:pPr>
      <w:r>
        <w:t xml:space="preserve">Behinderungen bei der Herstellung des Bauvorhabens aus Umständen, die vom Verkäufer nicht zu vertreten sind, z. B. höhere Gewalt, Pandemielagen, Lieferengpässe, Streik, Aussperrung, Witterungsverhältnisse einschließlich Hitze- und Kälteperioden, Wechselkursbewegungen bei Baustoffen, Personalengpässe oder sonstige für den Verkäufer unabwendbare oder nicht zumutbare Umstände, verlängern die jeweils betroffene Herstellungsfrist um die Dauer der Behinderung zuzüglich eines angemessenen Zuschlags für die Wiederaufnahme.</w:t>
      </w:r>
    </w:p>
    <w:p>
      <w:pPr>
        <w:pStyle w:val="BodyText"/>
      </w:pPr>
      <w:r>
        <w:t xml:space="preserve">5.8.2 Bei vom Verkäufer zu vertretender Überschreitung des Spätesttermins für die Bezugsfertigkeit schuldet der Verkäufer dem Käufer als Vertragsstrafe einen Betrag von 0,5 ‰ der Sondereigentumsteilbetragssumme pro angefangenen Tag, gedeckelt auf insgesamt 12 % der Sondereigentumsteilbetragssumme. Die Geltendmachung weitergehender Schadensersatzansprüche ist ausgeschlossen, soweit nicht Vorsatz oder grobe Fahrlässigkeit vorliegen.</w:t>
      </w:r>
    </w:p>
    <w:p>
      <w:pPr>
        <w:pStyle w:val="BodyText"/>
      </w:pPr>
      <w:r>
        <w:rPr>
          <w:b/>
          <w:bCs/>
        </w:rPr>
        <w:t xml:space="preserve">5.9</w:t>
      </w:r>
      <w:r>
        <w:t xml:space="preserve"> </w:t>
      </w:r>
      <w:r>
        <w:t xml:space="preserve">Wohnfläche</w:t>
      </w:r>
    </w:p>
    <w:p>
      <w:pPr>
        <w:pStyle w:val="BodyText"/>
      </w:pPr>
      <w:r>
        <w:t xml:space="preserve">5.9.1 Die nach Maßgabe des § 5.1 herzustellende Wohnfläche beträgt ca. 118,4 m². Die Flächenberechnung erfolgt nach DIN 277.</w:t>
      </w:r>
    </w:p>
    <w:p>
      <w:pPr>
        <w:pStyle w:val="BodyText"/>
      </w:pPr>
      <w:r>
        <w:t xml:space="preserve">5.9.2 Aus einer Unterschreitung der vorstehenden Wohnfläche kann der Käufer nur Rechte herleiten, wenn die Unterschreitung 8 % der vorstehenden Wohnfläche übersteigt.</w:t>
      </w:r>
    </w:p>
    <w:p>
      <w:pPr>
        <w:pStyle w:val="BodyText"/>
      </w:pPr>
      <w:r>
        <w:rPr>
          <w:b/>
          <w:bCs/>
        </w:rPr>
        <w:t xml:space="preserve">5.10</w:t>
      </w:r>
      <w:r>
        <w:t xml:space="preserve"> </w:t>
      </w:r>
      <w:r>
        <w:t xml:space="preserve">Energiestandard. Das Bauvorhaben wird nach den zum Tag der Baugenehmigung geltenden energetischen Anforderungen errichtet. Eine bestimmte KfW-Effizienzhausklasse oder ein bestimmter GEG-Standard wird nicht geschuldet.</w:t>
      </w:r>
    </w:p>
    <w:p>
      <w:pPr>
        <w:pStyle w:val="BodyText"/>
      </w:pPr>
      <w:r>
        <w:rPr>
          <w:b/>
          <w:bCs/>
        </w:rPr>
        <w:t xml:space="preserve">5.11</w:t>
      </w:r>
      <w:r>
        <w:t xml:space="preserve"> </w:t>
      </w:r>
      <w:r>
        <w:t xml:space="preserve">Baugrund, Grundwasser und Baugrube. Dem Verkäufer liegen orientierende Baugrund- und Gründungsempfehlungen vor. Die darin enthaltenen Annahmen beruhen auf punktuellen Aufschlüssen und werden im Zuge der weiteren Ausführung fortgeschrieben. Abweichungen des tatsächlichen Baugrunds, Grundwasserstände, Wasserhaltungsmaßnahmen, Kampfmittel-, Altlasten- oder Entsorgungsbefunde sowie hierdurch erforderliche technische Anpassungen gelten nicht als Abweichung von der vereinbarten Beschaffenheit, sofern die Gebrauchstauglichkeit der Wohnung nach Fertigstellung nicht wesentlich beeinträchtigt wird. Die hierdurch verursachten Bauzeitverlängerungen gelten als vom Verkäufer nicht zu vertreten.</w:t>
      </w:r>
    </w:p>
    <w:p>
      <w:pPr>
        <w:pStyle w:val="BodyText"/>
      </w:pPr>
      <w:r>
        <w:rPr>
          <w:b/>
          <w:bCs/>
        </w:rPr>
        <w:t xml:space="preserve">5.12</w:t>
      </w:r>
      <w:r>
        <w:t xml:space="preserve"> </w:t>
      </w:r>
      <w:r>
        <w:t xml:space="preserve">Schall-, Wärme-, Feuchte- und Brandschutz. Die öffentlich-rechtlich erforderlichen Nachweise werden durch den Verkäufer eingeholt. Eine darüberhinausgehende Beschaffenheit, insbesondere ein erhöhter Schallschutz, eine bestimmte Behaglichkeitsklasse, eine bestimmte Raumluftqualität oder eine bestimmte sommerliche Kühlleistung, wird nur geschuldet, soweit dies in der Baubeschreibung ausdrücklich mit Zahlenwerten vereinbart ist. Kondensat-, Schimmel- oder Feuchteschäden, die auf ein nicht den jeweiligen Nutzungshinweisen entsprechendes Heizungs-, Lüftungs- oder Möblierungsverhalten zurückzuführen sind, stellen keinen Mangel dar.</w:t>
      </w:r>
    </w:p>
    <w:p>
      <w:pPr>
        <w:pStyle w:val="BodyText"/>
      </w:pPr>
      <w:r>
        <w:rPr>
          <w:b/>
          <w:bCs/>
        </w:rPr>
        <w:t xml:space="preserve">5.13</w:t>
      </w:r>
      <w:r>
        <w:t xml:space="preserve"> </w:t>
      </w:r>
      <w:r>
        <w:t xml:space="preserve">Technische Anlagen, Wartung, Betrieb. Der Käufer nimmt zur Kenntnis, dass Aufzüge, Lüftungsanlagen, Entwässerungsanlagen, Pumpen, Tiefgaragenentlüftung, Brandmelde- und Rauchabzugseinrichtungen, Heizungs- und Warmwassertechnik sowie etwaige Lade- oder Photovoltaikinfrastruktur regelmäßiger Wartung bedürfen. Der Verkäufer oder der Erstverwalter ist berechtigt, zur Sicherstellung der Erstbetriebsphase Wartungs-, Betriebsführungs-, Mess- und Energielieferungsverträge mit einer anfänglichen Laufzeit von bis zu sieben Jahren abzuschließen. Die daraus entstehenden Kosten tragen die Eigentümer nach Maßgabe der Teilungserklärung.</w:t>
      </w:r>
    </w:p>
    <w:p>
      <w:pPr>
        <w:pStyle w:val="BodyText"/>
      </w:pPr>
      <w:r>
        <w:rPr>
          <w:b/>
          <w:bCs/>
        </w:rPr>
        <w:t xml:space="preserve">5.14</w:t>
      </w:r>
      <w:r>
        <w:t xml:space="preserve"> </w:t>
      </w:r>
      <w:r>
        <w:t xml:space="preserve">Der Käufer erklärt, dass ihm von Vertriebsmitarbeitern oder anderen Beauftragten oder Mitarbeitern des Verkäufers keinerlei Zusagen zur Ausgestaltung des Kaufgegenstandes gemacht wurden, die nicht Gegenstand des vorliegenden Vertrages oder der diesem Vertrag in Bezug genommenen Urkunden sind.</w:t>
      </w:r>
    </w:p>
    <w:p>
      <w:r>
        <w:br w:type="page"/>
      </w:r>
    </w:p>
    <w:bookmarkEnd w:id="17"/>
    <w:bookmarkStart w:id="18" w:name="Xf95df7023395c5238d26d19148165edbf6ad5ae"/>
    <w:p>
      <w:pPr>
        <w:pStyle w:val="Heading1"/>
      </w:pPr>
      <w:r>
        <w:t xml:space="preserve">§ 6 Wirtschaftlicher Besitzübergang, Abnahme, Schlüsselübergabe</w:t>
      </w:r>
    </w:p>
    <w:p>
      <w:pPr>
        <w:pStyle w:val="FirstParagraph"/>
      </w:pPr>
      <w:r>
        <w:rPr>
          <w:b/>
          <w:bCs/>
        </w:rPr>
        <w:t xml:space="preserve">6.1</w:t>
      </w:r>
      <w:r>
        <w:t xml:space="preserve"> </w:t>
      </w:r>
      <w:r>
        <w:t xml:space="preserve">Besitz, Nutzen, Lasten, Steuern, Abgaben und Gefahren des Kaufgegenstandes gehen mit dem Tag der Übergabe der Sondereigentumseinheit auf den Käufer über. Die Schlüsselübergabe an den Käufer erfolgt erst nach vollständiger Zahlung des Gesamtkaufpreises einschließlich aller Sonderwunsch- und Mehrkostenbeträge. Bestehende, der Übergabe nicht entgegenstehende Mängel berechtigen den Käufer nicht zur Verweigerung der Zahlung der Schlussrate oder zur Forderung nach Schlüsselübergabe Zug um Zug gegen Sicherheitsleistung.</w:t>
      </w:r>
    </w:p>
    <w:p>
      <w:pPr>
        <w:pStyle w:val="BodyText"/>
      </w:pPr>
      <w:r>
        <w:rPr>
          <w:b/>
          <w:bCs/>
        </w:rPr>
        <w:t xml:space="preserve">6.2</w:t>
      </w:r>
      <w:r>
        <w:t xml:space="preserve"> </w:t>
      </w:r>
      <w:r>
        <w:t xml:space="preserve">Abnahme der Sondereigentumseinheit</w:t>
      </w:r>
    </w:p>
    <w:p>
      <w:pPr>
        <w:pStyle w:val="BodyText"/>
      </w:pPr>
      <w:r>
        <w:t xml:space="preserve">6.2.1 Die Sondereigentumseinheit wird vor Bezug nach einer gemeinsamen Begehung abgenommen. Hierzu teilt der Verkäufer dem Käufer schriftlich die bezugsfertige Herstellung mit und fordert ihn unter Setzung einer Frist von zehn Tagen zur Begehung und Abnahme auf.</w:t>
      </w:r>
    </w:p>
    <w:p>
      <w:pPr>
        <w:pStyle w:val="BodyText"/>
      </w:pPr>
      <w:r>
        <w:t xml:space="preserve">Erscheint der Käufer zum mitgeteilten Termin nicht oder verweigert er die Unterzeichnung der Niederschrift ohne Angabe eines Grundes, gilt die Sondereigentumseinheit mit Ablauf des Termins als abgenommen. Ein gesonderter Hinweis nach § 640 Abs. 2 S. 2 BGB ist hierfür nicht erforderlich, da der Käufer mit Unterzeichnung dieses Vertrages bereits umfassend belehrt worden ist.</w:t>
      </w:r>
    </w:p>
    <w:p>
      <w:pPr>
        <w:pStyle w:val="BodyText"/>
      </w:pPr>
      <w:r>
        <w:t xml:space="preserve">6.2.2 Schönheitsfehler und geringfügige Abweichungen, deren Beseitigung nicht mehr als 3 % der Sondereigentumsteilbetragssumme erfordern würde, sind als gewöhnlich und vertragsgemäß hinzunehmen und begründen keine Mängelrechte.</w:t>
      </w:r>
    </w:p>
    <w:p>
      <w:pPr>
        <w:pStyle w:val="BodyText"/>
      </w:pPr>
      <w:r>
        <w:rPr>
          <w:b/>
          <w:bCs/>
        </w:rPr>
        <w:t xml:space="preserve">6.3</w:t>
      </w:r>
      <w:r>
        <w:t xml:space="preserve"> </w:t>
      </w:r>
      <w:r>
        <w:t xml:space="preserve">Abnahme des Gemeinschaftseigentums</w:t>
      </w:r>
    </w:p>
    <w:p>
      <w:pPr>
        <w:pStyle w:val="BodyText"/>
      </w:pPr>
      <w:r>
        <w:t xml:space="preserve">6.3.1 Die Abnahme des Gemeinschaftseigentums obliegt der WEG-Verwaltung, die vom Verkäufer als Erstverwalter eingesetzt wird. Die WEG-Verwaltung ist berechtigt und verpflichtet, das Gemeinschaftseigentum nach Fertigstellung mit Wirkung für und gegen sämtliche Erwerber abzunehmen.</w:t>
      </w:r>
    </w:p>
    <w:p>
      <w:pPr>
        <w:pStyle w:val="BodyText"/>
      </w:pPr>
      <w:r>
        <w:t xml:space="preserve">6.3.2 Der vom Verkäufer eingesetzte Erstverwalter wird die Abnahme nach Begutachtung durch einen vom Verkäufer benannten Sachverständigen erklären. Die Kosten des Sachverständigen tragen Verkäufer und Käufer hälftig.</w:t>
      </w:r>
    </w:p>
    <w:p>
      <w:pPr>
        <w:pStyle w:val="BodyText"/>
      </w:pPr>
      <w:r>
        <w:t xml:space="preserve">6.3.3 Reicht die Begutachtung durch den Sachverständigen aus, gilt die Abnahme mit Übermittlung der Abnahmeerklärung an die WEG-Verwaltung als erfolgt; einer Mitwirkung der einzelnen Erwerber bedarf es nicht.</w:t>
      </w:r>
    </w:p>
    <w:p>
      <w:r>
        <w:br w:type="page"/>
      </w:r>
    </w:p>
    <w:bookmarkEnd w:id="18"/>
    <w:bookmarkStart w:id="19" w:name="erschließungskosten"/>
    <w:p>
      <w:pPr>
        <w:pStyle w:val="Heading1"/>
      </w:pPr>
      <w:r>
        <w:t xml:space="preserve">§ 7 Erschließungskosten</w:t>
      </w:r>
    </w:p>
    <w:p>
      <w:pPr>
        <w:pStyle w:val="FirstParagraph"/>
      </w:pPr>
      <w:r>
        <w:rPr>
          <w:b/>
          <w:bCs/>
        </w:rPr>
        <w:t xml:space="preserve">7.1</w:t>
      </w:r>
      <w:r>
        <w:t xml:space="preserve"> </w:t>
      </w:r>
      <w:r>
        <w:t xml:space="preserve">Sämtliche Kosten der Erschließung sowie der erstmaligen Anschlüsse des Kaufgegenstandes an Ver- und Entsorgungsanlagen einschließlich Anschlussgebühren, Herstellungsbeiträge und Abgaben nach den entsprechenden Verordnungen des Landes Brandenburg trägt der Käufer anteilig nach seinem Miteigentumsanteil.</w:t>
      </w:r>
    </w:p>
    <w:p>
      <w:pPr>
        <w:pStyle w:val="BodyText"/>
      </w:pPr>
      <w:r>
        <w:rPr>
          <w:b/>
          <w:bCs/>
        </w:rPr>
        <w:t xml:space="preserve">7.2</w:t>
      </w:r>
      <w:r>
        <w:t xml:space="preserve"> </w:t>
      </w:r>
      <w:r>
        <w:t xml:space="preserve">Die Höhe der auf den Käufer entfallenden Erschließungs- und Anschlusskosten kann zum Zeitpunkt der Beurkundung nicht abschließend beziffert werden. Vorbehaltlich abschließender Abrechnung schätzt der Verkäufer die Belastung auf voraussichtlich 28 000,00 EUR bis 42 000,00 EUR.</w:t>
      </w:r>
    </w:p>
    <w:p>
      <w:r>
        <w:br w:type="page"/>
      </w:r>
    </w:p>
    <w:bookmarkEnd w:id="19"/>
    <w:bookmarkStart w:id="20" w:name="zutritt-zur-baustelle"/>
    <w:p>
      <w:pPr>
        <w:pStyle w:val="Heading1"/>
      </w:pPr>
      <w:r>
        <w:t xml:space="preserve">§ 8 Zutritt zur Baustelle</w:t>
      </w:r>
    </w:p>
    <w:p>
      <w:pPr>
        <w:pStyle w:val="FirstParagraph"/>
      </w:pPr>
      <w:r>
        <w:rPr>
          <w:b/>
          <w:bCs/>
        </w:rPr>
        <w:t xml:space="preserve">8.1</w:t>
      </w:r>
      <w:r>
        <w:t xml:space="preserve"> </w:t>
      </w:r>
      <w:r>
        <w:t xml:space="preserve">Der Käufer darf das Grundstück während der Bauzeit aus Gründen der Verkehrssicherheit, des Arbeitsschutzes und der geordneten Bauabwicklung nur nach vorheriger Abstimmung mit dem Verkäufer betreten. Der Verkäufer bietet dem Käufer nach billigem Ermessen bis zu zwei begleitete Besichtigungstermine vor Bezugsfertigkeit sowie einen Termin zur Abnahme der Sondereigentumseinheit an. Weitergehende Besichtigungen können abgelehnt werden, wenn sie den Bauablauf, Sicherheitsvorgaben, Nachunternehmerinteressen oder den Vertrieb anderer Einheiten beeinträchtigen.</w:t>
      </w:r>
    </w:p>
    <w:p>
      <w:pPr>
        <w:pStyle w:val="BodyText"/>
      </w:pPr>
      <w:r>
        <w:rPr>
          <w:b/>
          <w:bCs/>
        </w:rPr>
        <w:t xml:space="preserve">8.2</w:t>
      </w:r>
      <w:r>
        <w:t xml:space="preserve"> </w:t>
      </w:r>
      <w:r>
        <w:t xml:space="preserve">Der Käufer kann zu den nach § 8.1 zugelassenen Terminen einen privaten Sachverständigen hinzuziehen, sofern dieser dem Verkäufer spätestens fünf Bankarbeitstage vor dem Termin benannt wird, einen geeigneten Versicherungsschutz nachweist und sich verpflichtet, keine Weisungen an Baubeteiligte zu erteilen, keine Bauteilöffnungen vorzunehmen und keine Fotos von fremden Einheiten, Beschäftigten, Nachunternehmerleistungen oder sicherheitsrelevanten Einrichtungen anzufertigen. Feststellungen des privaten Sachverständigen entfalten keine Bindungswirkung für die Objektüberwachung des Verkäufers und hemmen nicht die Fälligkeit angeforderter Raten.</w:t>
      </w:r>
    </w:p>
    <w:p>
      <w:pPr>
        <w:pStyle w:val="BodyText"/>
      </w:pPr>
      <w:r>
        <w:rPr>
          <w:b/>
          <w:bCs/>
        </w:rPr>
        <w:t xml:space="preserve">8.3</w:t>
      </w:r>
      <w:r>
        <w:t xml:space="preserve"> </w:t>
      </w:r>
      <w:r>
        <w:t xml:space="preserve">Verstöße gegen die Zutritts- und Verhaltensregelungen berechtigen den Verkäufer zur Geltendmachung einer Vertragsstrafe in Höhe von 2 500,00 EUR pro Vorfall. Weitergehende Ansprüche bleiben unberührt.</w:t>
      </w:r>
    </w:p>
    <w:p>
      <w:r>
        <w:br w:type="page"/>
      </w:r>
    </w:p>
    <w:bookmarkEnd w:id="20"/>
    <w:bookmarkStart w:id="21" w:name="haftung-mängelrechte-verzug-verjährung"/>
    <w:p>
      <w:pPr>
        <w:pStyle w:val="Heading1"/>
      </w:pPr>
      <w:r>
        <w:t xml:space="preserve">§ 9 Haftung, Mängelrechte, Verzug, Verjährung</w:t>
      </w:r>
    </w:p>
    <w:p>
      <w:pPr>
        <w:pStyle w:val="FirstParagraph"/>
      </w:pPr>
      <w:r>
        <w:rPr>
          <w:b/>
          <w:bCs/>
        </w:rPr>
        <w:t xml:space="preserve">9.1</w:t>
      </w:r>
      <w:r>
        <w:t xml:space="preserve"> </w:t>
      </w:r>
      <w:r>
        <w:t xml:space="preserve">Der Verkäufer schuldet den lastenfreien Besitz- und Eigentumsübergang des Vertragsgegenstandes, soweit nicht Lasten und Rechte ausdrücklich übernommen werden.</w:t>
      </w:r>
    </w:p>
    <w:p>
      <w:pPr>
        <w:pStyle w:val="BodyText"/>
      </w:pPr>
      <w:r>
        <w:rPr>
          <w:b/>
          <w:bCs/>
        </w:rPr>
        <w:t xml:space="preserve">9.2</w:t>
      </w:r>
      <w:r>
        <w:t xml:space="preserve"> </w:t>
      </w:r>
      <w:r>
        <w:t xml:space="preserve">Der Verkäufer schuldet weder die Verwendbarkeit des Kaufgegenstandes für Zwecke des Käufers noch dessen Eignung zur Erreichung steuerlicher Ziele des Käufers.</w:t>
      </w:r>
    </w:p>
    <w:p>
      <w:pPr>
        <w:pStyle w:val="BodyText"/>
      </w:pPr>
      <w:r>
        <w:rPr>
          <w:b/>
          <w:bCs/>
        </w:rPr>
        <w:t xml:space="preserve">9.3</w:t>
      </w:r>
      <w:r>
        <w:t xml:space="preserve"> </w:t>
      </w:r>
      <w:r>
        <w:t xml:space="preserve">Alle Ansprüche und Rechte des Käufers wegen eines Sachmangels des Grundstücks sind ausgeschlossen, ausgenommen Schadensersatzansprüche wegen Vorsatzes.</w:t>
      </w:r>
    </w:p>
    <w:p>
      <w:pPr>
        <w:pStyle w:val="BodyText"/>
      </w:pPr>
      <w:r>
        <w:rPr>
          <w:b/>
          <w:bCs/>
        </w:rPr>
        <w:t xml:space="preserve">9.4</w:t>
      </w:r>
      <w:r>
        <w:t xml:space="preserve"> </w:t>
      </w:r>
      <w:r>
        <w:t xml:space="preserve">Hinsichtlich des herzustellenden Bauwerks gelten die Regelungen des Werkvertragsrechts gem. §§ 633 ff. BGB mit folgender Maßgabe:</w:t>
      </w:r>
    </w:p>
    <w:p>
      <w:pPr>
        <w:pStyle w:val="Compact"/>
        <w:numPr>
          <w:ilvl w:val="0"/>
          <w:numId w:val="1002"/>
        </w:numPr>
      </w:pPr>
      <w:r>
        <w:t xml:space="preserve">Der Käufer kann zuerst nur Nacherfüllung verlangen. Ist das Verlangen der Nacherfüllung unzumutbar, verweigert der Verkäufer die Nacherfüllung oder schlägt diese dreimal fehl, kann der Käufer — jeweils bei Vorliegen der gesetzlichen Voraussetzungen — den Kaufpreis angemessen mindern oder vom Vertrag zurücktreten.</w:t>
      </w:r>
    </w:p>
    <w:p>
      <w:pPr>
        <w:pStyle w:val="Compact"/>
        <w:numPr>
          <w:ilvl w:val="0"/>
          <w:numId w:val="1002"/>
        </w:numPr>
      </w:pPr>
      <w:r>
        <w:t xml:space="preserve">Das Selbstvornahmerecht des Käufers nach § 637 BGB ist ausgeschlossen.</w:t>
      </w:r>
    </w:p>
    <w:p>
      <w:pPr>
        <w:pStyle w:val="Compact"/>
        <w:numPr>
          <w:ilvl w:val="0"/>
          <w:numId w:val="1002"/>
        </w:numPr>
      </w:pPr>
      <w:r>
        <w:t xml:space="preserve">Mängel sind binnen einer Ausschlussfrist von 14 Kalendertagen nach Entdeckung schriftlich gegenüber dem Verkäufer per Einwurf-Einschreiben zu rügen. Nach Ablauf dieser Frist sind sämtliche Ansprüche und Rechte wegen des Mangels ausgeschlossen.</w:t>
      </w:r>
    </w:p>
    <w:p>
      <w:pPr>
        <w:pStyle w:val="Compact"/>
        <w:numPr>
          <w:ilvl w:val="0"/>
          <w:numId w:val="1002"/>
        </w:numPr>
      </w:pPr>
      <w:r>
        <w:t xml:space="preserve">Die Verjährungsfrist für Mängelansprüche beträgt zwei Jahre ab schriftlicher Abnahmebestätigung durch den Verkäufer.</w:t>
      </w:r>
    </w:p>
    <w:p>
      <w:pPr>
        <w:pStyle w:val="Compact"/>
        <w:numPr>
          <w:ilvl w:val="0"/>
          <w:numId w:val="1002"/>
        </w:numPr>
      </w:pPr>
      <w:r>
        <w:t xml:space="preserve">Mängelbeseitigung erfolgt durch vom Verkäufer benannte und beauftragte Handwerker. Die Beauftragung anderer Handwerker durch den Käufer entbindet den Verkäufer von jeder Verpflichtung.</w:t>
      </w:r>
    </w:p>
    <w:p>
      <w:pPr>
        <w:pStyle w:val="FirstParagraph"/>
      </w:pPr>
      <w:r>
        <w:rPr>
          <w:b/>
          <w:bCs/>
        </w:rPr>
        <w:t xml:space="preserve">9.5</w:t>
      </w:r>
      <w:r>
        <w:t xml:space="preserve"> </w:t>
      </w:r>
      <w:r>
        <w:t xml:space="preserve">Schäden an Gebrauchsteilen und sonstigen Bauteilen, die aufgrund bestimmungsgemäßen Gebrauches über eine nur begrenzte Nutzungsdauer verfügen und/oder ständiger Wartung bedürfen, stellen keinen Mangel dar.</w:t>
      </w:r>
    </w:p>
    <w:p>
      <w:pPr>
        <w:pStyle w:val="BodyText"/>
      </w:pPr>
      <w:r>
        <w:rPr>
          <w:b/>
          <w:bCs/>
        </w:rPr>
        <w:t xml:space="preserve">9.6</w:t>
      </w:r>
      <w:r>
        <w:t xml:space="preserve"> </w:t>
      </w:r>
      <w:r>
        <w:t xml:space="preserve">Der Verkäufer ist berechtigt, dem Käufer für den Fall, dass bei der Abnahme unwesentliche Mängel und/oder unwesentliche Restarbeiten festgestellt werden, eine unwiderrufliche selbstschuldnerische Bürgschaft eines Bürgen gemäß § 2 Abs. 2 MaBV zur Abwendung des Zurückbehaltungsrechts auszuhändigen. Die Bürgschaft ist vom Käufer mit Unterzeichnung des Abnahmeprotokolls unverzüglich an den Verkäufer zurückzugeben; die Rückgabe ist unabhängig davon zu erklären, ob die Restarbeiten tatsächlich erbracht oder die Mängel tatsächlich beseitigt sind.</w:t>
      </w:r>
    </w:p>
    <w:p>
      <w:r>
        <w:br w:type="page"/>
      </w:r>
    </w:p>
    <w:bookmarkEnd w:id="21"/>
    <w:bookmarkStart w:id="22" w:name="vormerkung"/>
    <w:p>
      <w:pPr>
        <w:pStyle w:val="Heading1"/>
      </w:pPr>
      <w:r>
        <w:t xml:space="preserve">§ 10 Vormerkung</w:t>
      </w:r>
    </w:p>
    <w:p>
      <w:pPr>
        <w:pStyle w:val="FirstParagraph"/>
      </w:pPr>
      <w:r>
        <w:rPr>
          <w:b/>
          <w:bCs/>
        </w:rPr>
        <w:t xml:space="preserve">10.1</w:t>
      </w:r>
      <w:r>
        <w:t xml:space="preserve"> </w:t>
      </w:r>
      <w:r>
        <w:t xml:space="preserve">Zur Sicherung des Anspruchs des Käufers auf Verschaffung des Eigentums an dem Kaufgegenstand wird die Eintragung einer Eigentumsvormerkung nach § 883 BGB zugunsten des Käufers im Wohnungsgrundbuch durch den Verkäufer bewilligt und durch die Parteien beantragt.</w:t>
      </w:r>
    </w:p>
    <w:p>
      <w:pPr>
        <w:pStyle w:val="BodyText"/>
      </w:pPr>
      <w:r>
        <w:rPr>
          <w:b/>
          <w:bCs/>
        </w:rPr>
        <w:t xml:space="preserve">10.2</w:t>
      </w:r>
      <w:r>
        <w:t xml:space="preserve"> </w:t>
      </w:r>
      <w:r>
        <w:t xml:space="preserve">Die Vormerkung steht unter der auflösenden Bedingung der Einreichung einer Erklärung des amtierenden Notars beim Grundbuchamt, dass der gesicherte Anspruch nicht (mehr) besteht. Eine inhaltliche Prüfung dieser Erklärung durch das Grundbuchamt findet nicht statt. Der Verkäufer ist berechtigt, eine derartige Erklärung des Notars im Falle des Zahlungsverzuges des Käufers nach § 3.2 letzter Absatz unmittelbar herbeizuführen.</w:t>
      </w:r>
    </w:p>
    <w:p>
      <w:pPr>
        <w:pStyle w:val="BodyText"/>
      </w:pPr>
      <w:r>
        <w:rPr>
          <w:b/>
          <w:bCs/>
        </w:rPr>
        <w:t xml:space="preserve">10.3</w:t>
      </w:r>
      <w:r>
        <w:t xml:space="preserve"> </w:t>
      </w:r>
      <w:r>
        <w:t xml:space="preserve">Der Käufer beantragt schon heute die Löschung der Eigentumsvormerkung Zug um Zug mit Vollzug der Auflassung.</w:t>
      </w:r>
    </w:p>
    <w:p>
      <w:r>
        <w:br w:type="page"/>
      </w:r>
    </w:p>
    <w:bookmarkEnd w:id="22"/>
    <w:bookmarkStart w:id="23" w:name="auflassung"/>
    <w:p>
      <w:pPr>
        <w:pStyle w:val="Heading1"/>
      </w:pPr>
      <w:r>
        <w:t xml:space="preserve">§ 11 Auflassung</w:t>
      </w:r>
    </w:p>
    <w:p>
      <w:pPr>
        <w:pStyle w:val="FirstParagraph"/>
      </w:pPr>
      <w:r>
        <w:t xml:space="preserve">Verkäufer und Käufer sind über den Eigentumsübergang einig. Sie bewilligen und beantragen die Eintragung der Eigentumsänderung im Grundbuch. Der Notar wird angewiesen, die Auflassung erst nach Eingang des vollständigen Kaufpreises sowie Vorlage einer Bestätigung des Verkäufers über die Fertigstellung beim Grundbuchamt zur Eintragung zu bringen.</w:t>
      </w:r>
    </w:p>
    <w:p>
      <w:r>
        <w:br w:type="page"/>
      </w:r>
    </w:p>
    <w:bookmarkEnd w:id="23"/>
    <w:bookmarkStart w:id="24" w:name="vollmachten"/>
    <w:p>
      <w:pPr>
        <w:pStyle w:val="Heading1"/>
      </w:pPr>
      <w:r>
        <w:t xml:space="preserve">§ 12 Vollmachten</w:t>
      </w:r>
    </w:p>
    <w:p>
      <w:pPr>
        <w:pStyle w:val="FirstParagraph"/>
      </w:pPr>
      <w:r>
        <w:rPr>
          <w:b/>
          <w:bCs/>
        </w:rPr>
        <w:t xml:space="preserve">12.1</w:t>
      </w:r>
      <w:r>
        <w:t xml:space="preserve"> </w:t>
      </w:r>
      <w:r>
        <w:t xml:space="preserve">Der Käufer bevollmächtigt den Verkäufer unwiderruflich, die Teilungserklärung einschließlich Gemeinschaftsordnung jederzeit ohne weitere Mitwirkung des Käufers zu ändern, insbesondere zur Anpassung der Aufteilungspläne, zur Verschiebung von Sondernutzungsrechten und zur Änderung der Kostentragungsregelungen. Die Vollmacht erstreckt sich auch auf die Sondereigentumseinheit des Käufers, soweit dies aus baulichen oder wirtschaftlichen Gründen erforderlich ist.</w:t>
      </w:r>
    </w:p>
    <w:p>
      <w:pPr>
        <w:pStyle w:val="BodyText"/>
      </w:pPr>
      <w:r>
        <w:rPr>
          <w:b/>
          <w:bCs/>
        </w:rPr>
        <w:t xml:space="preserve">12.2</w:t>
      </w:r>
      <w:r>
        <w:t xml:space="preserve"> </w:t>
      </w:r>
      <w:r>
        <w:t xml:space="preserve">Die Vollmacht ist von den Beschränkungen des § 181 BGB befreit. Der Käufer verzichtet auf Widerruf, soweit dies rechtlich zulässig ist.</w:t>
      </w:r>
    </w:p>
    <w:p>
      <w:pPr>
        <w:pStyle w:val="BodyText"/>
      </w:pPr>
      <w:r>
        <w:rPr>
          <w:b/>
          <w:bCs/>
        </w:rPr>
        <w:t xml:space="preserve">12.3</w:t>
      </w:r>
      <w:r>
        <w:t xml:space="preserve"> </w:t>
      </w:r>
      <w:r>
        <w:t xml:space="preserve">Der Käufer bevollmächtigt den Verkäufer ferner, sämtliche zur Durchführung dieses Vertrages erforderlichen Anträge, Erklärungen und Verzichte beim Grundbuchamt, bei Behörden und gegenüber Dritten abzugeben.</w:t>
      </w:r>
    </w:p>
    <w:p>
      <w:r>
        <w:br w:type="page"/>
      </w:r>
    </w:p>
    <w:bookmarkEnd w:id="24"/>
    <w:bookmarkStart w:id="25" w:name="schlussbestimmungen"/>
    <w:p>
      <w:pPr>
        <w:pStyle w:val="Heading1"/>
      </w:pPr>
      <w:r>
        <w:t xml:space="preserve">§ 13 Schlussbestimmungen</w:t>
      </w:r>
    </w:p>
    <w:p>
      <w:pPr>
        <w:pStyle w:val="FirstParagraph"/>
      </w:pPr>
      <w:r>
        <w:rPr>
          <w:b/>
          <w:bCs/>
        </w:rPr>
        <w:t xml:space="preserve">13.1</w:t>
      </w:r>
      <w:r>
        <w:t xml:space="preserve"> </w:t>
      </w:r>
      <w:r>
        <w:t xml:space="preserve">Mündliche Nebenabreden bestehen nicht. Änderungen und Ergänzungen dieses Vertrages bedürfen der notariellen Beurkundung, soweit gesetzlich vorgeschrieben, im Übrigen der Schriftform.</w:t>
      </w:r>
    </w:p>
    <w:p>
      <w:pPr>
        <w:pStyle w:val="BodyText"/>
      </w:pPr>
      <w:r>
        <w:rPr>
          <w:b/>
          <w:bCs/>
        </w:rPr>
        <w:t xml:space="preserve">13.2</w:t>
      </w:r>
      <w:r>
        <w:t xml:space="preserve"> </w:t>
      </w:r>
      <w:r>
        <w:t xml:space="preserve">Sollte eine Bestimmung dieses Vertrages unwirksam sein oder werden, so wird die Wirksamkeit der übrigen Bestimmungen davon nicht berührt.</w:t>
      </w:r>
    </w:p>
    <w:p>
      <w:pPr>
        <w:pStyle w:val="BodyText"/>
      </w:pPr>
      <w:r>
        <w:rPr>
          <w:b/>
          <w:bCs/>
        </w:rPr>
        <w:t xml:space="preserve">13.3</w:t>
      </w:r>
      <w:r>
        <w:t xml:space="preserve"> </w:t>
      </w:r>
      <w:r>
        <w:t xml:space="preserve">Gerichtsstand für sämtliche Streitigkeiten aus diesem Vertrag ist Berlin, soweit dies rechtlich zulässig ist.</w:t>
      </w:r>
    </w:p>
    <w:p>
      <w:pPr>
        <w:pStyle w:val="BodyText"/>
      </w:pPr>
      <w:r>
        <w:rPr>
          <w:b/>
          <w:bCs/>
        </w:rPr>
        <w:t xml:space="preserve">13.4</w:t>
      </w:r>
      <w:r>
        <w:t xml:space="preserve"> </w:t>
      </w:r>
      <w:r>
        <w:t xml:space="preserve">Die Kosten dieser Urkunde und ihres Vollzugs trägt der Käufer.</w:t>
      </w:r>
    </w:p>
    <w:p>
      <w:pPr>
        <w:pStyle w:val="BodyText"/>
      </w:pPr>
      <w:r>
        <w:rPr>
          <w:b/>
          <w:bCs/>
        </w:rPr>
        <w:t xml:space="preserve">13.5</w:t>
      </w:r>
      <w:r>
        <w:t xml:space="preserve"> </w:t>
      </w:r>
      <w:r>
        <w:t xml:space="preserve">Der Käufer trägt die auf seine Einheit entfallenden Kosten der erstmaligen Einrichtung und Übergabe der WEG-Verwaltung, der technischen Betriebsführung, der Einweisung in gemeinschaftliche Anlagen sowie der für die Erstbetriebsphase abgeschlossenen Wartungs- und Dienstleistungsverträge. Eine Überprüfung der Wirtschaftlichkeit dieser Verträge durch einzelne Erwerber ist vor Übergabe des Gemeinschaftseigentums nicht geschuldet.</w:t>
      </w:r>
    </w:p>
    <w:p>
      <w:r>
        <w:br w:type="page"/>
      </w:r>
    </w:p>
    <w:bookmarkEnd w:id="25"/>
    <w:bookmarkStart w:id="26" w:name="belehrungen"/>
    <w:p>
      <w:pPr>
        <w:pStyle w:val="Heading1"/>
      </w:pPr>
      <w:r>
        <w:t xml:space="preserve">§ 14 Belehrungen</w:t>
      </w:r>
    </w:p>
    <w:p>
      <w:pPr>
        <w:pStyle w:val="FirstParagraph"/>
      </w:pPr>
      <w:r>
        <w:t xml:space="preserve">Der Notar hat die Beteiligten belehrt über:</w:t>
      </w:r>
    </w:p>
    <w:p>
      <w:pPr>
        <w:pStyle w:val="Compact"/>
        <w:numPr>
          <w:ilvl w:val="0"/>
          <w:numId w:val="1003"/>
        </w:numPr>
      </w:pPr>
      <w:r>
        <w:t xml:space="preserve">den Inhalt und die Bedeutung dieses Vertrages,</w:t>
      </w:r>
    </w:p>
    <w:p>
      <w:pPr>
        <w:pStyle w:val="Compact"/>
        <w:numPr>
          <w:ilvl w:val="0"/>
          <w:numId w:val="1003"/>
        </w:numPr>
      </w:pPr>
      <w:r>
        <w:t xml:space="preserve">die Bedeutung der Bezugnahme nach § 13a BeurkG,</w:t>
      </w:r>
    </w:p>
    <w:p>
      <w:pPr>
        <w:pStyle w:val="Compact"/>
        <w:numPr>
          <w:ilvl w:val="0"/>
          <w:numId w:val="1003"/>
        </w:numPr>
      </w:pPr>
      <w:r>
        <w:t xml:space="preserve">die Eigentumsübertragung erst mit Eintragung im Grundbuch,</w:t>
      </w:r>
    </w:p>
    <w:p>
      <w:pPr>
        <w:pStyle w:val="Compact"/>
        <w:numPr>
          <w:ilvl w:val="0"/>
          <w:numId w:val="1003"/>
        </w:numPr>
      </w:pPr>
      <w:r>
        <w:t xml:space="preserve">die Bedeutung der Auflassungsvormerkung,</w:t>
      </w:r>
    </w:p>
    <w:p>
      <w:pPr>
        <w:pStyle w:val="Compact"/>
        <w:numPr>
          <w:ilvl w:val="0"/>
          <w:numId w:val="1003"/>
        </w:numPr>
      </w:pPr>
      <w:r>
        <w:t xml:space="preserve">die Bedeutung der Belastungsvollmacht,</w:t>
      </w:r>
    </w:p>
    <w:p>
      <w:pPr>
        <w:pStyle w:val="Compact"/>
        <w:numPr>
          <w:ilvl w:val="0"/>
          <w:numId w:val="1003"/>
        </w:numPr>
      </w:pPr>
      <w:r>
        <w:t xml:space="preserve">die gesetzliche Verjährungsfrist für Mängelansprüche im Werkvertragsrecht,</w:t>
      </w:r>
    </w:p>
    <w:p>
      <w:pPr>
        <w:pStyle w:val="Compact"/>
        <w:numPr>
          <w:ilvl w:val="0"/>
          <w:numId w:val="1003"/>
        </w:numPr>
      </w:pPr>
      <w:r>
        <w:t xml:space="preserve">die Möglichkeit, eigene technische Berater hinzuzuziehen, wobei der Notar keine technische Prüfung des Baugrunds, der Bauüberwachung, der Fachplanung oder der Wirtschaftlichkeit von Betriebs- und Wartungsverträgen vorgenommen hat.</w:t>
      </w:r>
    </w:p>
    <w:p>
      <w:pPr>
        <w:pStyle w:val="FirstParagraph"/>
      </w:pPr>
      <w:r>
        <w:t xml:space="preserve">Der Notar hat nicht über die Wirksamkeit einzelner Klauseln dieses Vertrages belehrt; eine inhaltliche Kontrolle der Vertragsklauseln durch den Notar ist nicht erfolgt und auch nicht geschuldet.</w:t>
      </w:r>
    </w:p>
    <w:p>
      <w:r>
        <w:br w:type="page"/>
      </w:r>
    </w:p>
    <w:bookmarkEnd w:id="26"/>
    <w:bookmarkStart w:id="27" w:name="X4f67cac4119bae2ce85a655d240d61c8e478a46"/>
    <w:p>
      <w:pPr>
        <w:pStyle w:val="Heading1"/>
      </w:pPr>
      <w:r>
        <w:t xml:space="preserve">Bezugsurkunden, Anlagen und Vollzugshinweise</w:t>
      </w:r>
    </w:p>
    <w:p>
      <w:pPr>
        <w:pStyle w:val="FirstParagraph"/>
      </w:pPr>
      <w:r>
        <w:rPr>
          <w:b/>
          <w:bCs/>
        </w:rPr>
        <w:t xml:space="preserve">Bezugsurkunde 1</w:t>
      </w:r>
      <w:r>
        <w:t xml:space="preserve"> </w:t>
      </w:r>
      <w:r>
        <w:t xml:space="preserve">— Teilungserklärung einschließlich Gemeinschaftsordnung vom 18. Juli 2024, UR-Nr. 612/2024 W des Notars Egmont Wachtelborn, Berlin, in der Fassung des 1. bis 7. Nachtrags (UR-Nrn. 731/2024 W, 942/2024 W, 28/2025 W, 412/2025 W, 698/2025 W, 1108/2025 W und 187/2026 W). Auf das Verlesen wird gemäß § 13a BeurkG verzichtet (siehe Unterschriftenvermerk).</w:t>
      </w:r>
    </w:p>
    <w:p>
      <w:pPr>
        <w:pStyle w:val="BodyText"/>
      </w:pPr>
      <w:r>
        <w:rPr>
          <w:b/>
          <w:bCs/>
        </w:rPr>
        <w:t xml:space="preserve">Anhang a</w:t>
      </w:r>
      <w:r>
        <w:t xml:space="preserve"> </w:t>
      </w:r>
      <w:r>
        <w:t xml:space="preserve">— beglaubigte Fotokopie der Vollmacht der Erschienenen zu 1. vom 22.10.2025, UR-Nr. 1402/2025 W des Notars Egmont Wachtelborn, Berlin.</w:t>
      </w:r>
    </w:p>
    <w:p>
      <w:pPr>
        <w:pStyle w:val="BodyText"/>
      </w:pPr>
      <w:r>
        <w:rPr>
          <w:b/>
          <w:bCs/>
        </w:rPr>
        <w:t xml:space="preserve">Lose übergebene Unterlagen (nicht Gegenstand der Beurkundung):</w:t>
      </w:r>
      <w:r>
        <w:t xml:space="preserve"> </w:t>
      </w:r>
      <w:r>
        <w:t xml:space="preserve">Baubeschreibung in der Fassung Februar 2026, Version 7.2; Abgeschlossenheitsbescheinigung; Aufteilungsplan-Auszug zur Einheit 4.27. Diese Unterlagen wurden dem Käufer mit Vertragsunterzeichnung in Druckfassung ausgehändigt.</w:t>
      </w:r>
    </w:p>
    <w:p>
      <w:pPr>
        <w:pStyle w:val="BodyText"/>
      </w:pPr>
      <w:r>
        <w:t xml:space="preserve">Der Notar wird mit dem Vollzug beauftragt. Er soll Anträge erst stellen, wenn die hierfür erforderlichen Erklärungen und Nachweise vorliegen. Mitteilungen über den Eintritt der Fälligkeitsvoraussetzungen nach § 3 erfolgen schriftlich an beide Parteien.</w:t>
      </w:r>
    </w:p>
    <w:p>
      <w:r>
        <w:br w:type="page"/>
      </w:r>
    </w:p>
    <w:bookmarkEnd w:id="27"/>
    <w:bookmarkStart w:id="28" w:name="geschäftswert-und-kosten"/>
    <w:p>
      <w:pPr>
        <w:pStyle w:val="Heading1"/>
      </w:pPr>
      <w:r>
        <w:t xml:space="preserve">Geschäftswert und Kosten</w:t>
      </w:r>
    </w:p>
    <w:p>
      <w:pPr>
        <w:pStyle w:val="FirstParagraph"/>
      </w:pPr>
      <w:r>
        <w:t xml:space="preserve">Der Geschäftswert dieser Urkunde wird mit dem Gesamtkaufpreis von 828.000,00 EUR angegeben. Die Kosten dieser Urkunde und ihres Vollzugs trägt nach § 13.4 der Käufer. Auf die zusätzlich anfallende Grunderwerbsteuer sowie die Erschließungs- und Anschlusskosten nach § 7 wurde hingewiesen.</w:t>
      </w:r>
    </w:p>
    <w:p>
      <w:r>
        <w:br w:type="page"/>
      </w:r>
    </w:p>
    <w:bookmarkEnd w:id="28"/>
    <w:bookmarkStart w:id="29" w:name="unterschriften"/>
    <w:p>
      <w:pPr>
        <w:pStyle w:val="Heading1"/>
      </w:pPr>
      <w:r>
        <w:t xml:space="preserve">Unterschriften</w:t>
      </w:r>
    </w:p>
    <w:p>
      <w:pPr>
        <w:pStyle w:val="FirstParagraph"/>
      </w:pPr>
      <w:r>
        <w:t xml:space="preserve">Die Erschienenen erklärten, dass sie auf das Verlesen der Bezugsurkunden verzichten, da ihnen deren Inhalt bekannt ist. Diese Niederschrift wurde den Erschienenen vom Notar vorgelesen, von ihnen genehmigt und sodann eigenhändig wie folgt unterschrieben:</w:t>
      </w:r>
    </w:p>
    <w:p>
      <w:pPr>
        <w:pStyle w:val="BodyText"/>
      </w:pPr>
      <w:r>
        <w:br/>
      </w:r>
    </w:p>
    <w:p>
      <w:pPr>
        <w:pStyle w:val="BodyText"/>
      </w:pPr>
      <w:r>
        <w:br/>
      </w:r>
    </w:p>
    <w:p>
      <w:pPr>
        <w:pStyle w:val="BodyText"/>
      </w:pPr>
      <w:r>
        <w:t xml:space="preserve">——————————————————————————</w:t>
      </w:r>
    </w:p>
    <w:p>
      <w:pPr>
        <w:pStyle w:val="BodyText"/>
      </w:pPr>
      <w:r>
        <w:t xml:space="preserve">Roswitha Quendel-Bingenheimer (für Verkäufer)</w:t>
      </w:r>
    </w:p>
    <w:p>
      <w:pPr>
        <w:pStyle w:val="BodyText"/>
      </w:pPr>
      <w:r>
        <w:br/>
      </w:r>
    </w:p>
    <w:p>
      <w:pPr>
        <w:pStyle w:val="BodyText"/>
      </w:pPr>
      <w:r>
        <w:br/>
      </w:r>
    </w:p>
    <w:p>
      <w:pPr>
        <w:pStyle w:val="BodyText"/>
      </w:pPr>
      <w:r>
        <w:t xml:space="preserve">——————————————————————————</w:t>
      </w:r>
    </w:p>
    <w:p>
      <w:pPr>
        <w:pStyle w:val="BodyText"/>
      </w:pPr>
      <w:r>
        <w:t xml:space="preserve">Dr. Eberwein Übelacker-Strohmeyer (Käufer)</w:t>
      </w:r>
    </w:p>
    <w:p>
      <w:pPr>
        <w:pStyle w:val="BodyText"/>
      </w:pPr>
      <w:r>
        <w:br/>
      </w:r>
    </w:p>
    <w:p>
      <w:pPr>
        <w:pStyle w:val="BodyText"/>
      </w:pPr>
      <w:r>
        <w:br/>
      </w:r>
    </w:p>
    <w:p>
      <w:pPr>
        <w:pStyle w:val="BodyText"/>
      </w:pPr>
      <w:r>
        <w:t xml:space="preserve">——————————————————————————</w:t>
      </w:r>
    </w:p>
    <w:p>
      <w:pPr>
        <w:pStyle w:val="BodyText"/>
      </w:pPr>
      <w:r>
        <w:t xml:space="preserve">Dr. Adalbert von Sickingen-Querfurt, Notar</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Wohnungsbauträgervertrag mit Auflassung — UR-Nr. 188/2026 KQ</dc:title>
  <dc:creator/>
  <cp:keywords/>
  <dcterms:created xsi:type="dcterms:W3CDTF">2026-06-16T21:08:24Z</dcterms:created>
  <dcterms:modified xsi:type="dcterms:W3CDTF">2026-06-16T21:08:24Z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Fiktive notarielle Urkunde zu Schulungszwecken</vt:lpwstr>
  </property>
</Properties>
</file>