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Baubeschreibung — Fassung Februar 2026, Version 7.2 (Auszug)</w:t>
      </w:r>
    </w:p>
    <w:p>
      <w:pPr>
        <w:pStyle w:val="Subtitle"/>
      </w:pPr>
      <w:r>
        <w:t xml:space="preserve">Fiktive Baubeschreibung zu Schulungszwecken</w:t>
      </w:r>
    </w:p>
    <w:p>
      <w:r>
        <w:br w:type="page"/>
      </w:r>
    </w:p>
    <w:bookmarkStart w:id="10" w:name="baubeschreibung-quartier-am-birkenpfuhl"/>
    <w:p>
      <w:pPr>
        <w:pStyle w:val="Heading1"/>
      </w:pPr>
      <w:r>
        <w:t xml:space="preserve">Baubeschreibung „Quartier am Birkenpfuhl”</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9"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abschließend. Verkaufsunterlagen, Exposés, Visualisierungen, Renderings, Grundrissdarstellungen mit Möblierung sowie die Musterwohnung in Haus 5 dienen ausschließlich der Veranschaulichung und sind nicht Vertragsbestandteil.</w:t>
      </w:r>
    </w:p>
    <w:p>
      <w:pPr>
        <w:pStyle w:val="BodyText"/>
      </w:pPr>
      <w:r>
        <w:rPr>
          <w:b/>
          <w:bCs/>
        </w:rPr>
        <w:t xml:space="preserve">V.2</w:t>
      </w:r>
      <w:r>
        <w:t xml:space="preserve"> </w:t>
      </w:r>
      <w:r>
        <w:t xml:space="preserve">Die in dieser Baubeschreibung genannten Fabrikate, Hersteller, Typen und Modelle sind, soweit überhaupt benannt, beispielhaft zu verstehen. Der Verkäufer ist berechtigt, gleichwertige oder gleichartige Produkte anderer Hersteller einzusetzen, soweit dies aus Gründen der Lieferbarkeit, der Bauablaufplanung, der Wirtschaftlichkeit oder aus technischen Gründen zweckmäßig erscheint.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nach billigem Ermessen; die Ausführung muss von einfacher Art und Güte sein und dem allgemeinen Charakter des Bauvorhabens entsprechen.</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p>
      <w:r>
        <w:br w:type="page"/>
      </w:r>
    </w:p>
    <w:bookmarkEnd w:id="9"/>
    <w:bookmarkEnd w:id="10"/>
    <w:bookmarkStart w:id="11" w:name="allgemeines-gebäudekonzept"/>
    <w:p>
      <w:pPr>
        <w:pStyle w:val="Heading1"/>
      </w:pPr>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entspricht einem zeitgemäßen, gehobenen Standard üblicher Qualität. Die konkrete Ausgestaltung der einzelnen Gewerke ergibt sich aus den nachstehenden Abschnitten.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11"/>
    <w:bookmarkStart w:id="12"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orientierende Baugrunderkundungen zugrunde. Art und Tiefe der Gründung (Flach- oder Tiefgründung, Bodenaustausch, Bodenverbesserung) werden im Zuge der Ausführungsplanung durch den Tragwerksplaner festgelegt.</w:t>
      </w:r>
    </w:p>
    <w:p>
      <w:pPr>
        <w:pStyle w:val="BodyText"/>
      </w:pPr>
      <w:r>
        <w:rPr>
          <w:b/>
          <w:bCs/>
        </w:rPr>
        <w:t xml:space="preserve">2.2</w:t>
      </w:r>
      <w:r>
        <w:t xml:space="preserve"> </w:t>
      </w:r>
      <w:r>
        <w:t xml:space="preserve">Maßnahmen der Wasserhaltung, des Baugrubenverbaus,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erfolgt nach den einschlägigen technischen Regelwerken in einer für die vorgesehene Nutzung geeigneten Ausführung.</w:t>
      </w:r>
    </w:p>
    <w:bookmarkEnd w:id="12"/>
    <w:bookmarkStart w:id="13"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werden in Trockenbau- oder Mauerwerksausführung erstellt. Die genaue Ausführung wählt der Verkäufer.</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13"/>
    <w:bookmarkStart w:id="14"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erhalten ein Wärmedämmverbundsystem oder eine gleichwertige Dämmkonstruktion mit Putzoberfläche bzw. teilweiser Vorhangfassade nach Wahl des Verkäufers. Farbgebung und Materialität der Fassade legt der Verkäufer im Rahmen des Gestaltungskonzepts fest.</w:t>
      </w:r>
    </w:p>
    <w:p>
      <w:pPr>
        <w:pStyle w:val="BodyText"/>
      </w:pPr>
      <w:r>
        <w:rPr>
          <w:b/>
          <w:bCs/>
        </w:rPr>
        <w:t xml:space="preserve">4.2</w:t>
      </w:r>
      <w:r>
        <w:t xml:space="preserve"> </w:t>
      </w:r>
      <w:r>
        <w:t xml:space="preserve">Dämmstärken und Dämmstoffe werden nach den energetischen Nachweisen bemessen (vgl. Abschnitt 17).</w:t>
      </w:r>
    </w:p>
    <w:bookmarkEnd w:id="14"/>
    <w:bookmarkStart w:id="15"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15"/>
    <w:bookmarkStart w:id="16"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werden als Kunststoff- oder Aluminiumfenster mit Mehrscheiben-Isolierverglasung ausgeführt; die Profilwahl trifft der Verkäufer. Die Wohnung erhält Fenster in marktüblicher Ausführung.</w:t>
      </w:r>
    </w:p>
    <w:p>
      <w:pPr>
        <w:pStyle w:val="BodyText"/>
      </w:pPr>
      <w:r>
        <w:rPr>
          <w:b/>
          <w:bCs/>
        </w:rPr>
        <w:t xml:space="preserve">6.2</w:t>
      </w:r>
      <w:r>
        <w:t xml:space="preserve"> </w:t>
      </w:r>
      <w:r>
        <w:t xml:space="preserve">Ein Teil der Fenster und Fenstertüren wird mit außenliegendem Sonnenschutz ausgestattet. Welche Öffnungen Sonnenschutz erhalten, legt der Verkäufer fest.</w:t>
      </w:r>
    </w:p>
    <w:p>
      <w:pPr>
        <w:pStyle w:val="BodyText"/>
      </w:pPr>
      <w:r>
        <w:rPr>
          <w:b/>
          <w:bCs/>
        </w:rPr>
        <w:t xml:space="preserve">6.3</w:t>
      </w:r>
      <w:r>
        <w:t xml:space="preserve"> </w:t>
      </w:r>
      <w:r>
        <w:t xml:space="preserve">Die Wohnungseingangstür wird als Tür mit üblichem Einbruch- und Schallschutz in handelsüblicher Qualität ausgeführt.</w:t>
      </w:r>
    </w:p>
    <w:bookmarkEnd w:id="16"/>
    <w:bookmarkStart w:id="17"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17"/>
    <w:bookmarkStart w:id="18" w:name="bodenbeläge"/>
    <w:p>
      <w:pPr>
        <w:pStyle w:val="Heading1"/>
      </w:pPr>
      <w:r>
        <w:t xml:space="preserve">8 Bodenbeläge</w:t>
      </w:r>
    </w:p>
    <w:p>
      <w:pPr>
        <w:pStyle w:val="FirstParagraph"/>
      </w:pPr>
      <w:r>
        <w:rPr>
          <w:b/>
          <w:bCs/>
        </w:rPr>
        <w:t xml:space="preserve">8.1</w:t>
      </w:r>
      <w:r>
        <w:t xml:space="preserve"> </w:t>
      </w:r>
      <w:r>
        <w:t xml:space="preserve">Die Wohn- und Schlafräume erhalten einen Bodenbelag in gehobener Qualität nach Wahl aus dem Standardsortiment des Verkäufers. Bad und Gäste-WC erhalten Fliesenbeläge aus dem Standardsortiment.</w:t>
      </w:r>
    </w:p>
    <w:p>
      <w:pPr>
        <w:pStyle w:val="BodyText"/>
      </w:pPr>
      <w:r>
        <w:rPr>
          <w:b/>
          <w:bCs/>
        </w:rPr>
        <w:t xml:space="preserve">8.2</w:t>
      </w:r>
      <w:r>
        <w:t xml:space="preserve"> </w:t>
      </w:r>
      <w:r>
        <w:t xml:space="preserve">Der Käufer kann im Rahmen der Bemusterung aus dem jeweils gültigen Standardsortiment auswählen, soweit der Baufortschritt dies noch zulässt. Eine Auswahl außerhalb des Standardsortiments ist als Sonderwunsch gesondert zu vereinbaren und zu vergüten.</w:t>
      </w:r>
    </w:p>
    <w:bookmarkEnd w:id="18"/>
    <w:bookmarkStart w:id="19" w:name="innentüren"/>
    <w:p>
      <w:pPr>
        <w:pStyle w:val="Heading1"/>
      </w:pPr>
      <w:r>
        <w:t xml:space="preserve">9 Innentüren</w:t>
      </w:r>
    </w:p>
    <w:p>
      <w:pPr>
        <w:pStyle w:val="FirstParagraph"/>
      </w:pPr>
      <w:r>
        <w:rPr>
          <w:b/>
          <w:bCs/>
        </w:rPr>
        <w:t xml:space="preserve">9.1</w:t>
      </w:r>
      <w:r>
        <w:t xml:space="preserve"> </w:t>
      </w:r>
      <w:r>
        <w:t xml:space="preserve">Die Innentüren werden als Zimmertüren in handelsüblicher Ausführung mit Standardbeschlag eingebaut. Oberfläche, Farbe und Drückergarnitur richten sich nach dem Standardsortiment des Verkäufers.</w:t>
      </w:r>
    </w:p>
    <w:bookmarkEnd w:id="19"/>
    <w:bookmarkStart w:id="20"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Die Sanitärräume werden mit Sanitärobjekten in weißer Standardausführung ausgestattet (Waschtisch, WC, Dusche und/oder Badewanne je nach Grundriss). Armaturen werden als Einhebelmischer in marktüblicher Qualität geliefert.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20"/>
    <w:bookmarkStart w:id="21"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erfolgt über eine zentrale Anlage nach Wahl des Verkäufers (Fernwärme, Wärmepumpe, Brennwerttechnik oder eine Kombination hiervon). Die Wohnräume erhalten Heizflächen (Fußbodenheizung und/oder Heizkörper) in einer für die vorgesehene Nutzung geeigneten Auslegung.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21"/>
    <w:bookmarkStart w:id="22" w:name="lüftung"/>
    <w:p>
      <w:pPr>
        <w:pStyle w:val="Heading1"/>
      </w:pPr>
      <w:r>
        <w:t xml:space="preserve">12 Lüftung</w:t>
      </w:r>
    </w:p>
    <w:p>
      <w:pPr>
        <w:pStyle w:val="FirstParagraph"/>
      </w:pPr>
      <w:r>
        <w:rPr>
          <w:b/>
          <w:bCs/>
        </w:rPr>
        <w:t xml:space="preserve">12.1</w:t>
      </w:r>
      <w:r>
        <w:t xml:space="preserve"> </w:t>
      </w:r>
      <w:r>
        <w:t xml:space="preserve">Innenliegende Bäder und fensterlose Räume werden be- und entlüftet. Ob und in welchem Umfang eine kontrollierte Wohnraumlüftung mit Wärmerückgewinnung ausgeführt wird, richtet sich nach den energetischen Nachweisen und der Festlegung des Verkäufers. Eine bestimmte Luftwechselrate oder eine bestimmte sommerliche Raumtemperatur wird nicht geschuldet.</w:t>
      </w:r>
    </w:p>
    <w:bookmarkEnd w:id="22"/>
    <w:bookmarkStart w:id="23"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wird nach den einschlägigen technischen Regeln in einer für Wohnnutzung üblichen Ausstattungsdichte ausgeführt. Anzahl und Position von Steckdosen, Schaltern und Anschlüssen ergeben sich aus den Ausführungsplänen.</w:t>
      </w:r>
    </w:p>
    <w:p>
      <w:pPr>
        <w:pStyle w:val="BodyText"/>
      </w:pPr>
      <w:r>
        <w:rPr>
          <w:b/>
          <w:bCs/>
        </w:rPr>
        <w:t xml:space="preserve">13.2</w:t>
      </w:r>
      <w:r>
        <w:t xml:space="preserve"> </w:t>
      </w:r>
      <w:r>
        <w:t xml:space="preserve">Die Wohnung erhält einen Multimedia-/Datenanschluss in handelsüblicher Ausführung. Eine bestimmte Bandbreite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23"/>
    <w:bookmarkStart w:id="24" w:name="aufzug"/>
    <w:p>
      <w:pPr>
        <w:pStyle w:val="Heading1"/>
      </w:pPr>
      <w:r>
        <w:t xml:space="preserve">14 Aufzug</w:t>
      </w:r>
    </w:p>
    <w:p>
      <w:pPr>
        <w:pStyle w:val="FirstParagraph"/>
      </w:pPr>
      <w:r>
        <w:rPr>
          <w:b/>
          <w:bCs/>
        </w:rPr>
        <w:t xml:space="preserve">14.1</w:t>
      </w:r>
      <w:r>
        <w:t xml:space="preserve"> </w:t>
      </w:r>
      <w:r>
        <w:t xml:space="preserve">Haus 4 erhält einen Personenaufzug in handelsüblicher Ausführung, der die Wohngeschosse und die Tiefgarage erschließt. Fabrikat, Förderhöhe und Kabinenausstattung wählt der Verkäufer.</w:t>
      </w:r>
    </w:p>
    <w:bookmarkEnd w:id="24"/>
    <w:bookmarkStart w:id="25" w:name="tiefgarage"/>
    <w:p>
      <w:pPr>
        <w:pStyle w:val="Heading1"/>
      </w:pPr>
      <w:r>
        <w:t xml:space="preserve">15 Tiefgarage</w:t>
      </w:r>
    </w:p>
    <w:p>
      <w:pPr>
        <w:pStyle w:val="FirstParagraph"/>
      </w:pPr>
      <w:r>
        <w:rPr>
          <w:b/>
          <w:bCs/>
        </w:rPr>
        <w:t xml:space="preserve">15.1</w:t>
      </w:r>
      <w:r>
        <w:t xml:space="preserve"> </w:t>
      </w:r>
      <w:r>
        <w:t xml:space="preserve">Die Tiefgarage wird in Stahlbeton ausgeführt und maschinell be- und entlüftet. Bodenbeschichtung, Markierung und technische Ausstattung erfolgen in für Tiefgaragen üblicher Qualität.</w:t>
      </w:r>
    </w:p>
    <w:p>
      <w:pPr>
        <w:pStyle w:val="BodyText"/>
      </w:pPr>
      <w:r>
        <w:rPr>
          <w:b/>
          <w:bCs/>
        </w:rPr>
        <w:t xml:space="preserve">15.2</w:t>
      </w:r>
      <w:r>
        <w:t xml:space="preserve"> </w:t>
      </w:r>
      <w:r>
        <w:t xml:space="preserve">Der dem Käufer zugeordnete Stellplatz TG-127 wird als Standard-Stellplatz hergestellt. Eine bestimmte Mindestbreite oder Mindesthöhe über das bauordnungsrechtlich Erforderliche hinaus wird nicht geschuldet.</w:t>
      </w:r>
    </w:p>
    <w:bookmarkEnd w:id="25"/>
    <w:bookmarkStart w:id="26"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werden in dem öffentlich-rechtlich erforderlichen Umfang nachgewiesen und ausgeführt. Ein über die Mindestanforderungen hinausgehender, erhöhter Schallschutz wird nur geschuldet, soweit er nachstehend mit Zahlenwerten ausdrücklich vereinbart ist.</w:t>
      </w:r>
    </w:p>
    <w:p>
      <w:pPr>
        <w:pStyle w:val="BodyText"/>
      </w:pPr>
      <w:r>
        <w:rPr>
          <w:b/>
          <w:bCs/>
        </w:rPr>
        <w:t xml:space="preserve">16.2</w:t>
      </w:r>
      <w:r>
        <w:t xml:space="preserve"> </w:t>
      </w:r>
      <w:r>
        <w:t xml:space="preserve">Konkrete Zahlenwerte zum erhöhten Schallschutz:</w:t>
      </w:r>
      <w:r>
        <w:t xml:space="preserve"> </w:t>
      </w:r>
      <w:r>
        <w:rPr>
          <w:i/>
          <w:iCs/>
        </w:rPr>
        <w:t xml:space="preserve">(in dieser Fassung nicht eingetragen)</w:t>
      </w:r>
      <w:r>
        <w:t xml:space="preserve">.</w:t>
      </w:r>
    </w:p>
    <w:bookmarkEnd w:id="26"/>
    <w:bookmarkStart w:id="27" w:name="energetischer-standard"/>
    <w:p>
      <w:pPr>
        <w:pStyle w:val="Heading1"/>
      </w:pPr>
      <w:r>
        <w:t xml:space="preserve">17 Energetischer Standard</w:t>
      </w:r>
    </w:p>
    <w:p>
      <w:pPr>
        <w:pStyle w:val="FirstParagraph"/>
      </w:pPr>
      <w:r>
        <w:rPr>
          <w:b/>
          <w:bCs/>
        </w:rPr>
        <w:t xml:space="preserve">17.1</w:t>
      </w:r>
      <w:r>
        <w:t xml:space="preserve"> </w:t>
      </w:r>
      <w:r>
        <w:t xml:space="preserve">Das Gebäude wird nach den zum Tag der Erteilung der Baugenehmigung geltenden energetischen Anforderungen errichtet. Eine bestimmte KfW-Effizienzhausklasse, ein bestimmter Primärenergiebedarf oder eine bestimmte GEG-Stufe wird nicht geschuldet, soweit nicht ausdrücklich mit Zahlenwert vereinbart.</w:t>
      </w:r>
    </w:p>
    <w:bookmarkEnd w:id="27"/>
    <w:bookmarkStart w:id="28"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(Wege, Zufahrten, Pflanzflächen, Spielplatz, Quartiersplatz, Müllstandorte) werden nach dem Freiflächenkonzept hergestellt. Art, Umfang und Zeitpunkt der Fertigstellung richten sich nach dem Bauablauf des Gesamtquartiers und können nach dem Übergabetag der Wohnung liegen.</w:t>
      </w:r>
    </w:p>
    <w:p>
      <w:pPr>
        <w:pStyle w:val="BodyText"/>
      </w:pPr>
      <w:r>
        <w:rPr>
          <w:b/>
          <w:bCs/>
        </w:rPr>
        <w:t xml:space="preserve">18.2</w:t>
      </w:r>
      <w:r>
        <w:t xml:space="preserve"> </w:t>
      </w:r>
      <w:r>
        <w:t xml:space="preserve">Die Terrasse T-4.27 wird mit einem Bodenbelag in für Außenflächen üblicher Qualität hergestellt.</w:t>
      </w:r>
    </w:p>
    <w:bookmarkEnd w:id="28"/>
    <w:bookmarkStart w:id="29"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Die Ermittlung erfolgt nach DIN 277. Maßgeblich ist die nach Fertigstellung tatsächlich erbrachte Ausführung; die ca.-Angabe ist keine zugesicherte Eigenschaft.</w:t>
      </w:r>
    </w:p>
    <w:bookmarkEnd w:id="29"/>
    <w:bookmarkStart w:id="30"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vom Verkäufer benannten Bemusterungszentrum aus dem jeweils gültigen Standardsortiment.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aus der Standardausstattung. Spätere Änderungen sind nur möglich, soweit der Baufortschritt es zulässt, und gesondert zu vergüten.</w:t>
      </w:r>
    </w:p>
    <w:p>
      <w:pPr>
        <w:pStyle w:val="BodyText"/>
      </w:pPr>
      <w:r>
        <w:rPr>
          <w:b/>
          <w:bCs/>
        </w:rPr>
        <w:t xml:space="preserve">20.3</w:t>
      </w:r>
      <w:r>
        <w:t xml:space="preserve"> </w:t>
      </w:r>
      <w:r>
        <w:t xml:space="preserve">Sonderwünsche außerhalb des Standardsortiments sind vor Beginn der betroffenen Bauleistung vollständig und im Voraus zu zahlen.</w:t>
      </w:r>
    </w:p>
    <w:p>
      <w:r>
        <w:br w:type="page"/>
      </w:r>
    </w:p>
    <w:bookmarkEnd w:id="30"/>
    <w:bookmarkStart w:id="31" w:name="schlussbestimmungen-der-baubeschreibung"/>
    <w:p>
      <w:pPr>
        <w:pStyle w:val="Heading1"/>
      </w:pPr>
      <w:r>
        <w:t xml:space="preserve">Schlussbestimmungen der Baubeschreibung</w:t>
      </w:r>
    </w:p>
    <w:p>
      <w:pPr>
        <w:pStyle w:val="FirstParagraph"/>
      </w:pPr>
      <w:r>
        <w:rPr>
          <w:b/>
          <w:bCs/>
        </w:rPr>
        <w:t xml:space="preserve">S.1</w:t>
      </w:r>
      <w:r>
        <w:t xml:space="preserve"> </w:t>
      </w:r>
      <w:r>
        <w:t xml:space="preserve">Bei Widersprüchen zwischen dieser Baubeschreibung, den Plänen und dem Kaufvertrag gilt die Regelung, die der Verkäufer im Rahmen seines billigen Ermessens für sachgerecht hält.</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Baubeschreibung — Fassung Februar 2026, Version 7.2 (Auszug)</dc:title>
  <dc:creator/>
  <cp:keywords/>
  <dcterms:created xsi:type="dcterms:W3CDTF">2026-06-16T21:08:26Z</dcterms:created>
  <dcterms:modified xsi:type="dcterms:W3CDTF">2026-06-16T21:08:26Z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Fiktive Baubeschreibung zu Schulungszwecken</vt:lpwstr>
  </property>
</Properties>
</file>