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Gemeinschaftsablage</w:t>
      </w:r>
    </w:p>
    <w:p>
      <w:pPr>
        <w:pStyle w:val="Title"/>
      </w:pPr>
      <w:r>
        <w:t>Objektunterlagen Kastanienhof 9</w:t>
      </w:r>
    </w:p>
    <w:p>
      <w:r>
        <w:t>02.01.2026</w:t>
      </w:r>
    </w:p>
    <w:p>
      <w:r>
        <w:t>Die Gemeinschaft besteht aus sechs Wohnungen. Wohnung 1 gehört Hildegard Hummel mit 80/1.000 Anteilen und 48 m², Wohnung 2 Ilyas Ben Salem mit 120/1.000 und 72 m², Wohnung 3 Lotte Wackel mit 150/1.000 und 90 m², Wohnung 4 Benedikt Brösel mit 180/1.000 und 108 m², Wohnung 5 Yuna Albrecht mit 220/1.000 und 132 m², Wohnung 6 Nepomuk Fiedler mit 250/1.000 und 150 m². Zusammen sind dies 600 m² und 1.000 Anteile.</w:t>
      </w:r>
    </w:p>
    <w:p>
      <w:r>
        <w:t>Die Hauseingangstür und die Tür zum gemeinschaftlichen Kellerflur gehören zum gemeinschaftlichen Eigentum. Die Abteile sind den Wohnungen zur ausschließlichen Nutzung zugeordnet. Die vorhandenen Abteiltüren und privaten Vorhängeschlösser sind nach der Teilungserklärung von den jeweiligen Eigentümern zu unterhalten. Das Fahrradregal im Gemeinschaftsflur darf von den Bewohnern mitbenutzt werden; die Hausordnung sieht dafür keine Bewachung vor.</w:t>
      </w:r>
    </w:p>
    <w:p>
      <w:r>
        <w:t>Die Kosten des gemeinschaftlichen Eigentums werden nach Miteigentumsanteilen getragen. Eine abweichende Verteilung nach Einheiten ist nicht eingetragen. Die Verwaltung führt kleinere laufende Maßnahmen aus; für nicht laufende Aufträge sieht der Verwaltervertrag ohne besonderen Beschluss eine interne Wertgrenze von 1.500 EUR brutto vor. Gesetzliche Befugnisse für dringliche Maßnahmen bleiben im Vertrag ausdrücklich unberührt.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Objektunterlagen Kastanienhof 9</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