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Rechtsanwältin Friederike Morgen</w:t>
        <w:br/>
        <w:t>kanzlei@morgen.example</w:t>
      </w:r>
    </w:p>
    <w:p>
      <w:pPr>
        <w:pStyle w:val="Title"/>
      </w:pPr>
      <w:r>
        <w:t>Abrechnung Lindenhof vor der Eigentümerversammlung</w:t>
      </w:r>
    </w:p>
    <w:p>
      <w:r>
        <w:t>18.09.2026</w:t>
      </w:r>
    </w:p>
    <w:p>
      <w:r>
        <w:t>Sehr geehrte Frau Morgen,</w:t>
      </w:r>
    </w:p>
    <w:p>
      <w:r>
        <w:t>bitte prüfen Sie die bereits versandten Abrechnungen für 2025 und erstellen Sie eine verständliche Antwort an Frau Popescu sowie eine belastbare Beschlussvorlage für die Versammlung am 22. Oktober. Acht Einheiten gehören acht verschiedenen Personen. Unsere frühere Buchhalterin hat die Zahlen exportiert, ich habe die Briefe am 8. September verschickt. Nach einer Rückfrage bin ich unsicher, ob die Spalte „Nachzahlung“ überall dasselbe enthält.</w:t>
      </w:r>
    </w:p>
    <w:p>
      <w:r>
        <w:t>Frau Popescu hat im Dezember 2025 ein Hausgeld ausgelassen. Der Beirat findet außerdem die Hausmeisterrechnung zu pauschal. Die Dachreparatur wurde vom laufenden Konto bezahlt, die Rücklage blieb auf ihrem Konto. Die Reserve soll nicht noch einmal als Verbrauch in der Abrechnung erscheinen. Für die Vermietungen stellen wir auf Wunsch Unterlagen bereit; eine Mieterabrechnung ist nicht Bestandteil unseres laufenden Verwaltervertrags.</w:t>
      </w:r>
    </w:p>
    <w:p>
      <w:r>
        <w:t>Ich brauche jetzt korrigierbare Einzelbriefe, eine Liste der noch benötigten Belege und einen eindeutigen Vorschlag, welche Fassung in der Versammlung behandelt wird. Bitte keine Zahlungsaufforderungen oder Einladungsänderungen ohne unsere Freigabe versenden. Die Originalauszüge liegen im Büro bereit. Frau Tüddel möchte die Unterlagen am 25. September einsehen; bitte berücksichtigen Sie, dass ich ihr dafür bereits einen Termin zugesagt habe.</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Abrechnung Lindenhof vor der Eigentümerversammlung</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