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Gemeinschaft der Wohnungseigentümer Lindenhof 18</w:t>
        <w:br/>
        <w:t>Lindenhof 18, Berlin</w:t>
      </w:r>
    </w:p>
    <w:p>
      <w:r>
        <w:t>Niederschrift der Eigentümerversammlung</w:t>
      </w:r>
    </w:p>
    <w:p>
      <w:pPr>
        <w:pStyle w:val="Title"/>
      </w:pPr>
      <w:r>
        <w:t>Beschluss über die Vorschüsse für 2025</w:t>
      </w:r>
    </w:p>
    <w:p>
      <w:r>
        <w:t>21.11.2024</w:t>
      </w:r>
    </w:p>
    <w:p>
      <w:r>
        <w:t>Die Eigentümer beschließen für das Kalenderjahr 2025 Kostenvorschüsse von insgesamt 24.000 EUR und Beiträge zur Erhaltungsrücklage von insgesamt 8.000 EUR. Beide Beträge werden nach Miteigentumsanteilen verteilt. Die in der Anlage ausgewiesenen Monatsraten sind zum dritten Werktag jedes Monats fällig. Die Jahresbeträge je Einheit sind maßgeblich; Rundungsdifferenzen der Monatsraten werden mit der Dezemberrate ausgeglichen.</w:t>
      </w:r>
    </w:p>
    <w:p>
      <w:r>
        <w:t>Für Wohnung 4 entfallen jährlich 2.880 EUR auf die laufenden Kosten und 960 EUR auf die Rücklage. Die Monatsrate beträgt dort 320 EUR. Für die übrigen Einheiten gelten die im Vorschussverzeichnis aufgeführten anteiligen Beträge. Für diesen Beschluss stimmen alle acht Eigentümer; Gegenstimmen und Enthaltungen werden nicht abgegeben.</w:t>
      </w:r>
    </w:p>
    <w:p>
      <w:r>
        <w:t>Die Dachrinnenstelle über dem Hof wird im Frühjahr untersucht. Über eine etwa erforderliche Reparatur soll nach Vorlage eines Angebots gesondert entschieden werden. Der Wirtschaftsplan ermächtigt nicht zur Verwendung von Rücklagemitteln für einen bestimmten Auftrag.</w:t>
      </w:r>
    </w:p>
    <w:p>
      <w:r>
        <w:t>Versammlungsleiterin Noura Selim; Beiratsvorsitzender Alwin Pfitzner; Eigentümerin Edeltraud Tüddel. Die Niederschrift wurde von den Genannten am 25.11.2024 unterzeichnet.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Beschluss über die Vorschüsse für 2025</dc:title>
  <dc:subject/>
  <dc:creator>Gemeinschaft der Wohnungseigentümer Lindenhof 18
Lindenhof 18,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