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Alwin Pfitzner</w:t>
        <w:br/>
        <w:t>Eigentum Wohnung 5, Lindenhof 18</w:t>
      </w:r>
    </w:p>
    <w:p>
      <w:pPr>
        <w:pStyle w:val="Title"/>
      </w:pPr>
      <w:r>
        <w:t>Jahresabrechnung 2025 Wohnung 5</w:t>
      </w:r>
    </w:p>
    <w:p>
      <w:r>
        <w:t>06.09.2026</w:t>
      </w:r>
    </w:p>
    <w:p>
      <w:r>
        <w:t>Sehr geehrte Eigentümerin, sehr geehrter Eigentümer,</w:t>
      </w:r>
    </w:p>
    <w:p>
      <w:r>
        <w:t>Ihre Wohnung ist mit 130 von 1.000 Miteigentumsanteilen an der Anlage beteiligt. Die gemeinschaftlichen Jahreskosten von 24.360 EUR ergeben für Ihre Einheit 3.166,80 EUR. In der Buchhaltung sind für laufende Kosten 3.120,00 EUR als Zahlung berücksichtigt. Daraus weist unser vorliegender Export eine Nachzahlung von 46,80 EUR aus. Der Betrag soll Gegenstand der Beschlussfassung am 22. Oktober sein und ist mit diesem Entwurf noch nicht neu angefordert.</w:t>
      </w:r>
    </w:p>
    <w:p>
      <w:r>
        <w:t>Auf die Erhaltungsrücklage wurden für Ihre Einheit im Jahr 2025 1.040,00 EUR gezahlt. Der anteilige Jahresplanwert beträgt 1.040,00 EUR. Die Rücklage ist in der vorstehenden Kostensumme nicht enthalten. Die vollständigen Gemeinschaftsbestände entnehmen Sie bitte der Gesamtabrechnung.</w:t>
      </w:r>
    </w:p>
    <w:p>
      <w:r>
        <w:t>Die Kosten bestehen aus Wasser, Müll, Gebäudeversicherung, Allgemeinstrom, Treppenreinigung, Hausmeister, Dachreparatur, Verwaltung und Kontoführung. Alle Positionen wurden nach Miteigentumsanteilen verteilt. Ob einzelne Bestandteile gegenüber einem Mieter abzurechnen sind, ist nicht Gegenstand dieses Schreibens. Bitte reichen Sie Rückfragen möglichst vor der Versammlung ein.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5</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